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1F" w:rsidRDefault="0040631F" w:rsidP="00432F0A">
      <w:pPr>
        <w:jc w:val="center"/>
        <w:rPr>
          <w:rFonts w:ascii="Times New Roman" w:hAnsi="Times New Roman"/>
          <w:b/>
          <w:sz w:val="24"/>
          <w:szCs w:val="24"/>
        </w:rPr>
      </w:pPr>
      <w:r w:rsidRPr="00A62965">
        <w:rPr>
          <w:rFonts w:ascii="Times New Roman" w:hAnsi="Times New Roman"/>
          <w:b/>
          <w:sz w:val="24"/>
          <w:szCs w:val="24"/>
        </w:rPr>
        <w:t>Determinantes do Investimento Estrangeiro em Carteira no Brasil de 1995 a 2009</w:t>
      </w:r>
    </w:p>
    <w:p w:rsidR="00432F0A" w:rsidRPr="00432F0A" w:rsidRDefault="00432F0A" w:rsidP="00432F0A">
      <w:pPr>
        <w:spacing w:after="0" w:line="240" w:lineRule="auto"/>
        <w:jc w:val="center"/>
        <w:rPr>
          <w:rFonts w:ascii="Times New Roman" w:hAnsi="Times New Roman"/>
          <w:sz w:val="24"/>
          <w:szCs w:val="24"/>
        </w:rPr>
      </w:pPr>
      <w:r w:rsidRPr="00432F0A">
        <w:rPr>
          <w:rFonts w:ascii="Times New Roman" w:hAnsi="Times New Roman"/>
          <w:sz w:val="24"/>
          <w:szCs w:val="24"/>
        </w:rPr>
        <w:t>Lúcio Otávio Seixas Barbosa</w:t>
      </w:r>
      <w:r>
        <w:rPr>
          <w:rStyle w:val="Refdenotaderodap"/>
          <w:rFonts w:ascii="Times New Roman" w:hAnsi="Times New Roman"/>
          <w:sz w:val="24"/>
          <w:szCs w:val="24"/>
        </w:rPr>
        <w:footnoteReference w:id="1"/>
      </w:r>
      <w:r w:rsidRPr="00432F0A">
        <w:rPr>
          <w:rFonts w:ascii="Times New Roman" w:hAnsi="Times New Roman"/>
          <w:sz w:val="24"/>
          <w:szCs w:val="24"/>
        </w:rPr>
        <w:t xml:space="preserve"> e Roberto Meurer</w:t>
      </w:r>
      <w:r>
        <w:rPr>
          <w:rStyle w:val="Refdenotaderodap"/>
          <w:rFonts w:ascii="Times New Roman" w:hAnsi="Times New Roman"/>
          <w:sz w:val="24"/>
          <w:szCs w:val="24"/>
        </w:rPr>
        <w:footnoteReference w:id="2"/>
      </w:r>
    </w:p>
    <w:p w:rsidR="00432F0A" w:rsidRDefault="00432F0A" w:rsidP="00C957A6">
      <w:pPr>
        <w:spacing w:after="0" w:line="240" w:lineRule="auto"/>
        <w:jc w:val="both"/>
        <w:rPr>
          <w:rFonts w:ascii="Times New Roman" w:hAnsi="Times New Roman"/>
          <w:b/>
          <w:sz w:val="24"/>
          <w:szCs w:val="24"/>
        </w:rPr>
      </w:pPr>
    </w:p>
    <w:p w:rsidR="0040631F" w:rsidRDefault="0040631F" w:rsidP="00C957A6">
      <w:pPr>
        <w:spacing w:after="0" w:line="240" w:lineRule="auto"/>
        <w:jc w:val="both"/>
        <w:rPr>
          <w:rFonts w:ascii="Times New Roman" w:hAnsi="Times New Roman"/>
          <w:sz w:val="24"/>
          <w:szCs w:val="24"/>
        </w:rPr>
      </w:pPr>
      <w:r>
        <w:rPr>
          <w:rFonts w:ascii="Times New Roman" w:hAnsi="Times New Roman"/>
          <w:b/>
          <w:sz w:val="24"/>
          <w:szCs w:val="24"/>
        </w:rPr>
        <w:t xml:space="preserve">Resumo: </w:t>
      </w:r>
      <w:r>
        <w:rPr>
          <w:rFonts w:ascii="Times New Roman" w:hAnsi="Times New Roman"/>
          <w:sz w:val="24"/>
          <w:szCs w:val="24"/>
        </w:rPr>
        <w:t xml:space="preserve">Este artigo estuda como o fluxo de investimento estrangeiro reage a variáveis associadas à economia brasileira e ao mercado externo. São utilizados dados trimestrais para o período de 1995 a 2009. Investigam-se duas hipóteses: a prevalência de fatores externos sobre fatores domésticos enquanto determinantes do fluxo de capital estrangeiro e a dicotomia entre recomposição de portfólio e busca por retornos por parte do investidor externo. Os resultados apontam que os retornos do mercado mundial e a taxa de juros internacional bem como o risco cambial, a variação do risco-país e o crescimento do PIB influenciam a decisão do investidor. A variação do câmbio se configura como um canal de recomposição de portfólio e os retornos do mercado de renda fixa brasileiro atraem o investidor estrangeiro. As crises financeiras do período, a distinção entre o período de câmbio administrado e câmbio flutuante e os estoques acumulados de investimento estrangeiro em carteira não explicam sua oscilação no período analisado. Os testes diagnósticos e os testes de exogeneidade asseguram a robustez do modelo. </w:t>
      </w:r>
    </w:p>
    <w:p w:rsidR="0040631F" w:rsidRPr="00D2637F" w:rsidRDefault="0040631F" w:rsidP="00C957A6">
      <w:pPr>
        <w:spacing w:after="0" w:line="240" w:lineRule="auto"/>
        <w:jc w:val="both"/>
        <w:rPr>
          <w:rFonts w:ascii="Times New Roman" w:hAnsi="Times New Roman"/>
          <w:sz w:val="24"/>
          <w:szCs w:val="24"/>
        </w:rPr>
      </w:pPr>
      <w:r w:rsidRPr="00D2637F">
        <w:rPr>
          <w:rFonts w:ascii="Times New Roman" w:hAnsi="Times New Roman"/>
          <w:b/>
          <w:sz w:val="24"/>
          <w:szCs w:val="24"/>
        </w:rPr>
        <w:t>Palavras-chave:</w:t>
      </w:r>
      <w:r>
        <w:rPr>
          <w:rFonts w:ascii="Times New Roman" w:hAnsi="Times New Roman"/>
          <w:b/>
          <w:sz w:val="24"/>
          <w:szCs w:val="24"/>
        </w:rPr>
        <w:t xml:space="preserve"> </w:t>
      </w:r>
      <w:r>
        <w:rPr>
          <w:rFonts w:ascii="Times New Roman" w:hAnsi="Times New Roman"/>
          <w:sz w:val="24"/>
          <w:szCs w:val="24"/>
        </w:rPr>
        <w:t xml:space="preserve">investimento estrangeiro em carteira, fatores domésticos, fatores externos, recomposição de portfólio, retornos de mercado </w:t>
      </w:r>
    </w:p>
    <w:p w:rsidR="00432F0A" w:rsidRPr="00B60D40" w:rsidRDefault="00432F0A" w:rsidP="00432F0A">
      <w:pPr>
        <w:spacing w:after="0" w:line="240" w:lineRule="auto"/>
        <w:jc w:val="both"/>
        <w:rPr>
          <w:rFonts w:ascii="Times New Roman" w:hAnsi="Times New Roman"/>
          <w:b/>
          <w:sz w:val="24"/>
          <w:szCs w:val="24"/>
        </w:rPr>
      </w:pPr>
      <w:r>
        <w:rPr>
          <w:rFonts w:ascii="Times New Roman" w:hAnsi="Times New Roman"/>
          <w:b/>
          <w:sz w:val="24"/>
          <w:szCs w:val="24"/>
        </w:rPr>
        <w:t xml:space="preserve">Classificação JEL: </w:t>
      </w:r>
      <w:r w:rsidRPr="00544239">
        <w:rPr>
          <w:rFonts w:ascii="Times New Roman" w:hAnsi="Times New Roman"/>
          <w:sz w:val="24"/>
          <w:szCs w:val="24"/>
        </w:rPr>
        <w:t>F32, G15, G11</w:t>
      </w:r>
    </w:p>
    <w:p w:rsidR="0040631F" w:rsidRPr="00544239" w:rsidRDefault="0040631F" w:rsidP="00C957A6">
      <w:pPr>
        <w:spacing w:after="0" w:line="240" w:lineRule="auto"/>
        <w:jc w:val="both"/>
        <w:rPr>
          <w:rFonts w:ascii="Times New Roman" w:hAnsi="Times New Roman"/>
          <w:b/>
          <w:sz w:val="24"/>
          <w:szCs w:val="24"/>
        </w:rPr>
      </w:pPr>
    </w:p>
    <w:p w:rsidR="0040631F" w:rsidRPr="00130596" w:rsidRDefault="0040631F" w:rsidP="00C957A6">
      <w:pPr>
        <w:spacing w:after="0" w:line="240" w:lineRule="auto"/>
        <w:jc w:val="both"/>
        <w:rPr>
          <w:rFonts w:ascii="Times New Roman" w:hAnsi="Times New Roman"/>
          <w:b/>
          <w:sz w:val="24"/>
          <w:szCs w:val="24"/>
          <w:lang w:val="en-US"/>
        </w:rPr>
      </w:pPr>
      <w:r w:rsidRPr="00130596">
        <w:rPr>
          <w:rFonts w:ascii="Times New Roman" w:hAnsi="Times New Roman"/>
          <w:b/>
          <w:sz w:val="24"/>
          <w:szCs w:val="24"/>
          <w:lang w:val="en-US"/>
        </w:rPr>
        <w:t xml:space="preserve">Abstract: </w:t>
      </w:r>
      <w:r>
        <w:rPr>
          <w:rFonts w:ascii="Times New Roman" w:hAnsi="Times New Roman"/>
          <w:sz w:val="24"/>
          <w:szCs w:val="24"/>
          <w:lang w:val="en-US"/>
        </w:rPr>
        <w:t>This work investigates</w:t>
      </w:r>
      <w:r w:rsidRPr="007C09B8">
        <w:rPr>
          <w:rFonts w:ascii="Times New Roman" w:hAnsi="Times New Roman"/>
          <w:sz w:val="24"/>
          <w:szCs w:val="24"/>
          <w:lang w:val="en-US"/>
        </w:rPr>
        <w:t xml:space="preserve"> foreign portfolio investment flows behavior face</w:t>
      </w:r>
      <w:r>
        <w:rPr>
          <w:rFonts w:ascii="Times New Roman" w:hAnsi="Times New Roman"/>
          <w:sz w:val="24"/>
          <w:szCs w:val="24"/>
          <w:lang w:val="en-US"/>
        </w:rPr>
        <w:t xml:space="preserve"> to changes in the Brazilian economy and foreign market. Data are quarterly from 1995 to 2009. Two major assumptions are investigated: dominance of “push factors” over “pull factors” as main determinants of FPI and dichotomy between portfolio rebalancing and “return chasing” as a foreign investor behavior feature. The results show that foreign investor is influenced by world stock market performance and international interest rate as well as exchange rate risk, changes in the Brazilian country-risk and GDP growth. Changes in exchange rate can be regarded as a channel for portfolio rebalancing. On the other hand, the Brazilian bond market returns “pull” FPI. Financial crisis over the period, transition from a pegged exchange rate system to a floating one and FPI stocks liabilities do not explain its fluctuations. Exogeneity tests and diagnostic tests ensure the model adequacy.  </w:t>
      </w:r>
    </w:p>
    <w:p w:rsidR="0040631F" w:rsidRPr="00D008E7" w:rsidRDefault="0040631F" w:rsidP="00C957A6">
      <w:pPr>
        <w:spacing w:after="0"/>
        <w:rPr>
          <w:rFonts w:ascii="Times New Roman" w:hAnsi="Times New Roman"/>
          <w:sz w:val="24"/>
          <w:szCs w:val="24"/>
          <w:lang w:val="en-US"/>
        </w:rPr>
      </w:pPr>
      <w:r w:rsidRPr="00D008E7">
        <w:rPr>
          <w:rFonts w:ascii="Times New Roman" w:hAnsi="Times New Roman"/>
          <w:b/>
          <w:sz w:val="24"/>
          <w:szCs w:val="24"/>
          <w:lang w:val="en-US"/>
        </w:rPr>
        <w:t>Keywords:</w:t>
      </w:r>
      <w:r w:rsidRPr="00D008E7">
        <w:rPr>
          <w:rFonts w:ascii="Times New Roman" w:hAnsi="Times New Roman"/>
          <w:sz w:val="24"/>
          <w:szCs w:val="24"/>
          <w:lang w:val="en-US"/>
        </w:rPr>
        <w:t xml:space="preserve"> Foreign portfolio investment, pull factors, push factor, portfolio rebala</w:t>
      </w:r>
      <w:r>
        <w:rPr>
          <w:rFonts w:ascii="Times New Roman" w:hAnsi="Times New Roman"/>
          <w:sz w:val="24"/>
          <w:szCs w:val="24"/>
          <w:lang w:val="en-US"/>
        </w:rPr>
        <w:t>ncing, market</w:t>
      </w:r>
      <w:r w:rsidRPr="00D008E7">
        <w:rPr>
          <w:rFonts w:ascii="Times New Roman" w:hAnsi="Times New Roman"/>
          <w:sz w:val="24"/>
          <w:szCs w:val="24"/>
          <w:lang w:val="en-US"/>
        </w:rPr>
        <w:t xml:space="preserve"> return</w:t>
      </w:r>
    </w:p>
    <w:p w:rsidR="00432F0A" w:rsidRPr="00B60D40" w:rsidRDefault="00432F0A" w:rsidP="00432F0A">
      <w:pPr>
        <w:spacing w:after="0" w:line="240" w:lineRule="auto"/>
        <w:jc w:val="both"/>
        <w:rPr>
          <w:rFonts w:ascii="Times New Roman" w:hAnsi="Times New Roman"/>
          <w:b/>
          <w:sz w:val="24"/>
          <w:szCs w:val="24"/>
        </w:rPr>
      </w:pPr>
      <w:r>
        <w:rPr>
          <w:rFonts w:ascii="Times New Roman" w:hAnsi="Times New Roman"/>
          <w:b/>
          <w:sz w:val="24"/>
          <w:szCs w:val="24"/>
        </w:rPr>
        <w:t xml:space="preserve">JEL code: </w:t>
      </w:r>
      <w:r w:rsidRPr="00544239">
        <w:rPr>
          <w:rFonts w:ascii="Times New Roman" w:hAnsi="Times New Roman"/>
          <w:sz w:val="24"/>
          <w:szCs w:val="24"/>
        </w:rPr>
        <w:t>F32, G15, G11</w:t>
      </w:r>
    </w:p>
    <w:p w:rsidR="0040631F" w:rsidRPr="00C957A6" w:rsidRDefault="0040631F" w:rsidP="000C3593">
      <w:pPr>
        <w:spacing w:line="240" w:lineRule="auto"/>
        <w:jc w:val="both"/>
        <w:rPr>
          <w:rFonts w:ascii="Times New Roman" w:hAnsi="Times New Roman"/>
          <w:sz w:val="24"/>
          <w:szCs w:val="24"/>
          <w:lang w:val="en-US"/>
        </w:rPr>
      </w:pP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1 Introdução</w:t>
      </w:r>
    </w:p>
    <w:p w:rsidR="0040631F" w:rsidRPr="00A62965" w:rsidRDefault="0040631F" w:rsidP="00965E55">
      <w:pPr>
        <w:spacing w:line="240" w:lineRule="auto"/>
        <w:jc w:val="both"/>
        <w:rPr>
          <w:rFonts w:ascii="Times New Roman" w:hAnsi="Times New Roman"/>
          <w:sz w:val="24"/>
          <w:szCs w:val="24"/>
        </w:rPr>
      </w:pPr>
      <w:r w:rsidRPr="00A62965">
        <w:rPr>
          <w:rFonts w:ascii="Times New Roman" w:hAnsi="Times New Roman"/>
          <w:sz w:val="24"/>
          <w:szCs w:val="24"/>
        </w:rPr>
        <w:t xml:space="preserve">O investimento estrangeiro em carteira (IEC) no Brasil representou 48% da conta financeira do balanço de pagamentos brasileiro de 1995 a 2009. Em valores correntes, esse percentual corresponde a um fluxo líquido próximo de 180 bilhões de dólares, o que por si já mostra a relevância de se identificar as relações que explicam o fluxo de investimento externo no mercado brasileiro.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O capital estrangeiro pode financiar e estimular o crescimento econômico, ajudando a aumentar o padrão de vida em países emergentes, e possibilita aos países desenvolvidos diversificar melhor seus portfólios. Por outro lado, influxos de capitais podem também ter efeitos macroeconômicos menos desejáveis, incluindo expansão monetária rápida, pressões inflacionárias, apreciação real da taxa de câmbio e ampliação de déficits em conta corrente (CALVO </w:t>
      </w:r>
      <w:r w:rsidRPr="00A62965">
        <w:rPr>
          <w:rFonts w:ascii="Times New Roman" w:hAnsi="Times New Roman"/>
          <w:i/>
          <w:sz w:val="24"/>
          <w:szCs w:val="24"/>
        </w:rPr>
        <w:t>et al</w:t>
      </w:r>
      <w:r w:rsidRPr="00A62965">
        <w:rPr>
          <w:rFonts w:ascii="Times New Roman" w:hAnsi="Times New Roman"/>
          <w:sz w:val="24"/>
          <w:szCs w:val="24"/>
        </w:rPr>
        <w:t xml:space="preserve">, 1996; KIM, 2000). Errunza (2001) destaca o compartilhamento de risco e alocação de recursos mais eficiente, a mobilização e melhoria na estrutura de financiamento externo e o desenvolvimento do mercado doméstico. Bekaert e Harvey (1998) apontam que o aumento do fluxo de capital para países emergentes está associado marginalmente com PIB </w:t>
      </w:r>
      <w:r w:rsidRPr="00A62965">
        <w:rPr>
          <w:rFonts w:ascii="Times New Roman" w:hAnsi="Times New Roman"/>
          <w:i/>
          <w:sz w:val="24"/>
          <w:szCs w:val="24"/>
        </w:rPr>
        <w:t>per capita</w:t>
      </w:r>
      <w:r w:rsidRPr="00A62965">
        <w:rPr>
          <w:rFonts w:ascii="Times New Roman" w:hAnsi="Times New Roman"/>
          <w:sz w:val="24"/>
          <w:szCs w:val="24"/>
        </w:rPr>
        <w:t xml:space="preserve"> mais alto, inflação mais baixa, setor de comércio maior, volatilidade da taxa de câmbio mais baixa </w:t>
      </w:r>
      <w:r w:rsidRPr="00A62965">
        <w:rPr>
          <w:rFonts w:ascii="Times New Roman" w:hAnsi="Times New Roman"/>
          <w:sz w:val="24"/>
          <w:szCs w:val="24"/>
        </w:rPr>
        <w:lastRenderedPageBreak/>
        <w:t>e dívida de longo prazo menor. Sugerem, portanto, que os resultados contradizem a visão de que o investidor estrangeiro em portfólio exerce um papel prejudicial às economias emergentes.</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Há uma vasta literatura dedicada ao exame dos determinantes do fluxo de investimento estrangeiro em portfólio com ênfase principalmente nos mercados emergentes. Diversos estudos testam a influência desde variáveis macroeconômicas, institucionais e agregados monetários a variáveis demográficas sobre o IEC. Entre as linhas de pesquisa sobressaem-se duas: a influência dos fatores domésticos e fatores externos na atração do IEC e a dicotomia entre reequilíbrio de portfólio e “</w:t>
      </w:r>
      <w:r w:rsidRPr="00A62965">
        <w:rPr>
          <w:rFonts w:ascii="Times New Roman" w:hAnsi="Times New Roman"/>
          <w:i/>
          <w:sz w:val="24"/>
          <w:szCs w:val="24"/>
        </w:rPr>
        <w:t>return chasing</w:t>
      </w:r>
      <w:r w:rsidRPr="00A62965">
        <w:rPr>
          <w:rFonts w:ascii="Times New Roman" w:hAnsi="Times New Roman"/>
          <w:sz w:val="24"/>
          <w:szCs w:val="24"/>
        </w:rPr>
        <w:t xml:space="preserve">” (“caça” ao retorno). </w:t>
      </w:r>
    </w:p>
    <w:p w:rsidR="0040631F" w:rsidRPr="00A62965" w:rsidRDefault="0040631F" w:rsidP="006258B6">
      <w:pPr>
        <w:spacing w:line="240" w:lineRule="auto"/>
        <w:jc w:val="both"/>
        <w:rPr>
          <w:rFonts w:ascii="Times New Roman" w:hAnsi="Times New Roman"/>
          <w:sz w:val="24"/>
          <w:szCs w:val="24"/>
        </w:rPr>
      </w:pPr>
      <w:r w:rsidRPr="00A62965">
        <w:rPr>
          <w:rFonts w:ascii="Times New Roman" w:hAnsi="Times New Roman"/>
          <w:sz w:val="24"/>
          <w:szCs w:val="24"/>
        </w:rPr>
        <w:t xml:space="preserve">Neste trabalho, ambas as teorias são utilizadas para subsidiar a escolha das variáveis que comporão o modelo econométrico. Ademais, servem de respaldo e de instrumental analítico para o exame dos resultados encontrados. Determinam, portanto, o escopo e os desdobramentos empíricos do presente estudo.  </w:t>
      </w:r>
    </w:p>
    <w:p w:rsidR="0040631F" w:rsidRPr="00A62965" w:rsidRDefault="0040631F" w:rsidP="006258B6">
      <w:pPr>
        <w:spacing w:line="240" w:lineRule="auto"/>
        <w:jc w:val="both"/>
        <w:rPr>
          <w:rFonts w:ascii="Times New Roman" w:hAnsi="Times New Roman"/>
          <w:sz w:val="24"/>
          <w:szCs w:val="24"/>
        </w:rPr>
      </w:pPr>
      <w:r w:rsidRPr="00A62965">
        <w:rPr>
          <w:rFonts w:ascii="Times New Roman" w:hAnsi="Times New Roman"/>
          <w:sz w:val="24"/>
          <w:szCs w:val="24"/>
        </w:rPr>
        <w:t>Na próxima seção é efetuada uma breve revisão de literatura, destacando aspectos teóricos, metodológicos e resultados empíricos de estudos sobre o tema. A terceira seção mostra os dados, os resultados e sua análise. A última seção apresenta a conclusão do artigo.</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2  Determinantes do Investimento Estrangeiro em Carteira</w:t>
      </w:r>
      <w:r w:rsidR="00FC0BE6" w:rsidRPr="00A62965">
        <w:rPr>
          <w:rFonts w:ascii="Times New Roman" w:hAnsi="Times New Roman"/>
          <w:sz w:val="24"/>
          <w:szCs w:val="24"/>
        </w:rPr>
        <w:fldChar w:fldCharType="begin"/>
      </w:r>
      <w:r w:rsidRPr="00A62965">
        <w:rPr>
          <w:rFonts w:ascii="Times New Roman" w:hAnsi="Times New Roman"/>
          <w:sz w:val="24"/>
          <w:szCs w:val="24"/>
        </w:rPr>
        <w:instrText>xe "</w:instrText>
      </w:r>
      <w:r w:rsidRPr="00A62965">
        <w:rPr>
          <w:rFonts w:ascii="Times New Roman" w:hAnsi="Times New Roman"/>
          <w:b/>
          <w:sz w:val="24"/>
          <w:szCs w:val="24"/>
        </w:rPr>
        <w:instrText>2.1 Determinantes do Investimento Estrangeiro em Carteira</w:instrText>
      </w:r>
      <w:r w:rsidRPr="00A62965">
        <w:rPr>
          <w:rFonts w:ascii="Times New Roman" w:hAnsi="Times New Roman"/>
          <w:sz w:val="24"/>
          <w:szCs w:val="24"/>
        </w:rPr>
        <w:instrText>"</w:instrText>
      </w:r>
      <w:r w:rsidR="00FC0BE6" w:rsidRPr="00A62965">
        <w:rPr>
          <w:rFonts w:ascii="Times New Roman" w:hAnsi="Times New Roman"/>
          <w:sz w:val="24"/>
          <w:szCs w:val="24"/>
        </w:rPr>
        <w:fldChar w:fldCharType="end"/>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 xml:space="preserve">2.1 </w:t>
      </w:r>
      <w:r w:rsidRPr="00A62965">
        <w:rPr>
          <w:rFonts w:ascii="Times New Roman" w:hAnsi="Times New Roman"/>
          <w:b/>
          <w:i/>
          <w:sz w:val="24"/>
          <w:szCs w:val="24"/>
        </w:rPr>
        <w:t>Pull</w:t>
      </w:r>
      <w:r w:rsidRPr="00A62965">
        <w:rPr>
          <w:rFonts w:ascii="Times New Roman" w:hAnsi="Times New Roman"/>
          <w:b/>
          <w:sz w:val="24"/>
          <w:szCs w:val="24"/>
        </w:rPr>
        <w:t xml:space="preserve"> ou </w:t>
      </w:r>
      <w:r w:rsidRPr="00A62965">
        <w:rPr>
          <w:rFonts w:ascii="Times New Roman" w:hAnsi="Times New Roman"/>
          <w:b/>
          <w:i/>
          <w:sz w:val="24"/>
          <w:szCs w:val="24"/>
        </w:rPr>
        <w:t>Push</w:t>
      </w:r>
      <w:r w:rsidRPr="00A62965">
        <w:rPr>
          <w:rFonts w:ascii="Times New Roman" w:hAnsi="Times New Roman"/>
          <w:b/>
          <w:sz w:val="24"/>
          <w:szCs w:val="24"/>
        </w:rPr>
        <w:t xml:space="preserve"> factors?</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literatura destaca a importância dos </w:t>
      </w:r>
      <w:r w:rsidRPr="00A62965">
        <w:rPr>
          <w:rFonts w:ascii="Times New Roman" w:hAnsi="Times New Roman"/>
          <w:i/>
          <w:sz w:val="24"/>
          <w:szCs w:val="24"/>
        </w:rPr>
        <w:t>“push-factors”</w:t>
      </w:r>
      <w:r w:rsidRPr="00A62965">
        <w:rPr>
          <w:rFonts w:ascii="Times New Roman" w:hAnsi="Times New Roman"/>
          <w:sz w:val="24"/>
          <w:szCs w:val="24"/>
        </w:rPr>
        <w:t xml:space="preserve"> (fatores externos) e </w:t>
      </w:r>
      <w:r w:rsidRPr="00A62965">
        <w:rPr>
          <w:rFonts w:ascii="Times New Roman" w:hAnsi="Times New Roman"/>
          <w:i/>
          <w:sz w:val="24"/>
          <w:szCs w:val="24"/>
        </w:rPr>
        <w:t>“pull-factors”</w:t>
      </w:r>
      <w:r w:rsidRPr="00A62965">
        <w:rPr>
          <w:rFonts w:ascii="Times New Roman" w:hAnsi="Times New Roman"/>
          <w:sz w:val="24"/>
          <w:szCs w:val="24"/>
        </w:rPr>
        <w:t xml:space="preserve"> (fatores domésticos)</w:t>
      </w:r>
      <w:r w:rsidRPr="00A62965">
        <w:rPr>
          <w:rFonts w:ascii="Times New Roman" w:hAnsi="Times New Roman"/>
          <w:i/>
          <w:sz w:val="24"/>
          <w:szCs w:val="24"/>
        </w:rPr>
        <w:t xml:space="preserve"> </w:t>
      </w:r>
      <w:r w:rsidRPr="00A62965">
        <w:rPr>
          <w:rFonts w:ascii="Times New Roman" w:hAnsi="Times New Roman"/>
          <w:sz w:val="24"/>
          <w:szCs w:val="24"/>
        </w:rPr>
        <w:t>como</w:t>
      </w:r>
      <w:r w:rsidRPr="00A62965">
        <w:rPr>
          <w:rFonts w:ascii="Times New Roman" w:hAnsi="Times New Roman"/>
          <w:i/>
          <w:sz w:val="24"/>
          <w:szCs w:val="24"/>
        </w:rPr>
        <w:t xml:space="preserve"> </w:t>
      </w:r>
      <w:r w:rsidRPr="00A62965">
        <w:rPr>
          <w:rFonts w:ascii="Times New Roman" w:hAnsi="Times New Roman"/>
          <w:sz w:val="24"/>
          <w:szCs w:val="24"/>
        </w:rPr>
        <w:t xml:space="preserve">determinantes do influxo de capital para países emergentes (Fernandez-Arias, 1996; Calvo </w:t>
      </w:r>
      <w:r w:rsidRPr="00A62965">
        <w:rPr>
          <w:rFonts w:ascii="Times New Roman" w:hAnsi="Times New Roman"/>
          <w:i/>
          <w:sz w:val="24"/>
          <w:szCs w:val="24"/>
        </w:rPr>
        <w:t>et al</w:t>
      </w:r>
      <w:r w:rsidRPr="00A62965">
        <w:rPr>
          <w:rFonts w:ascii="Times New Roman" w:hAnsi="Times New Roman"/>
          <w:sz w:val="24"/>
          <w:szCs w:val="24"/>
        </w:rPr>
        <w:t xml:space="preserve"> , 1996; Claessens e Mamingi, 1998; Taylor e Sarno, 1997; Kim, 2000; Hoti, 2004; Baek, 2006). Condições adversas nos países desenvolvidos, como a queda da taxa de juros internacionais, estimulam a saída de capitais estrangeiros em busca de melhores performances (</w:t>
      </w:r>
      <w:r w:rsidRPr="00A62965">
        <w:rPr>
          <w:rFonts w:ascii="Times New Roman" w:hAnsi="Times New Roman"/>
          <w:i/>
          <w:sz w:val="24"/>
          <w:szCs w:val="24"/>
        </w:rPr>
        <w:t>“push-factors”</w:t>
      </w:r>
      <w:r w:rsidRPr="00A62965">
        <w:rPr>
          <w:rFonts w:ascii="Times New Roman" w:hAnsi="Times New Roman"/>
          <w:sz w:val="24"/>
          <w:szCs w:val="24"/>
        </w:rPr>
        <w:t>). No entanto, desenvolvimentos domésticos, tais como políticas monetárias e fiscais orientadas ao mercado (liberalização do mercado de capitais, por exemplo) atraem a entrada de capitais (</w:t>
      </w:r>
      <w:r w:rsidRPr="00A62965">
        <w:rPr>
          <w:rFonts w:ascii="Times New Roman" w:hAnsi="Times New Roman"/>
          <w:i/>
          <w:sz w:val="24"/>
          <w:szCs w:val="24"/>
        </w:rPr>
        <w:t>“pull-factors”</w:t>
      </w:r>
      <w:r w:rsidRPr="00A62965">
        <w:rPr>
          <w:rFonts w:ascii="Times New Roman" w:hAnsi="Times New Roman"/>
          <w:sz w:val="24"/>
          <w:szCs w:val="24"/>
        </w:rPr>
        <w:t>) em países em desenvolvimento. Calvo (1996), Fernandez-Arias (1996), Taylor e Sarno (1997) ressaltam que os fluxos de capitais têm sido impulsionados, sobretudo, pela queda da taxa de juros internacional.</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Fernandez-Arias (1996), em termos analíticos e empíricos, mostra que a melhora na solvabilidade dos países em desenvolvimento se deve à queda das taxas de juros internacionais e, assim, não pode ser interpretada como um “</w:t>
      </w:r>
      <w:r w:rsidRPr="00A62965">
        <w:rPr>
          <w:rFonts w:ascii="Times New Roman" w:hAnsi="Times New Roman"/>
          <w:i/>
          <w:sz w:val="24"/>
          <w:szCs w:val="24"/>
        </w:rPr>
        <w:t xml:space="preserve">pull-factor”. </w:t>
      </w:r>
      <w:r w:rsidRPr="00A62965">
        <w:rPr>
          <w:rFonts w:ascii="Times New Roman" w:hAnsi="Times New Roman"/>
          <w:sz w:val="24"/>
          <w:szCs w:val="24"/>
        </w:rPr>
        <w:t>No entanto, o autor pondera que o fluxo de capital voluntário equilibra choques no sistema através de dois canais: diretamente (ajuste de fluxo) e indiretamente, aumento de seu padrão de estoque (ajuste de estoque). A importância relativa do ajuste do estoque relaciona-se diretamente à relevância do estoque inicial para a determinação de fluxos. Se o mesmo é irrelevante, nenhum ajustamento de estoque acontece. Porém, se o estoque e influxos são substitutos perfeitos, o estoque final é dado e todo fluxo deve-se ao ajustamento de estoque. Os resultados apontam que estoques acumulados de passivos estrangeiros não parecem ser um fator significativo na determinação do nível de fluxos.</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Baek (2006), em um painel contemplando o fluxo de investimentos em portfólio para Ásia e América Latina, inclui entre os “</w:t>
      </w:r>
      <w:r w:rsidRPr="00A62965">
        <w:rPr>
          <w:rFonts w:ascii="Times New Roman" w:hAnsi="Times New Roman"/>
          <w:i/>
          <w:sz w:val="24"/>
          <w:szCs w:val="24"/>
        </w:rPr>
        <w:t>push factors”</w:t>
      </w:r>
      <w:r w:rsidRPr="00A62965">
        <w:rPr>
          <w:rFonts w:ascii="Times New Roman" w:hAnsi="Times New Roman"/>
          <w:sz w:val="24"/>
          <w:szCs w:val="24"/>
        </w:rPr>
        <w:t xml:space="preserve"> a atitude do mercado em relação ao risco. O fluxo de investimento em carteira para os países asiáticos é fortemente dominado por fatores externos, principalmente pelo apetite dos investidores por risco, enquanto para América Latina destaca-se tanto fatores domésticos, como o crescimento econômico, como fatores externos, não incluindo o apetite pelo risco do mercado. Dessa forma, o IEC para a Ásia é caracterizado como </w:t>
      </w:r>
      <w:r w:rsidRPr="00A62965">
        <w:rPr>
          <w:rFonts w:ascii="Times New Roman" w:hAnsi="Times New Roman"/>
          <w:i/>
          <w:sz w:val="24"/>
          <w:szCs w:val="24"/>
        </w:rPr>
        <w:t>“hot money”</w:t>
      </w:r>
      <w:r w:rsidRPr="00A62965">
        <w:rPr>
          <w:rFonts w:ascii="Times New Roman" w:hAnsi="Times New Roman"/>
          <w:sz w:val="24"/>
          <w:szCs w:val="24"/>
        </w:rPr>
        <w:t xml:space="preserve">, capital volátil e transitório, e para a América Latina como </w:t>
      </w:r>
      <w:r w:rsidRPr="00A62965">
        <w:rPr>
          <w:rFonts w:ascii="Times New Roman" w:hAnsi="Times New Roman"/>
          <w:i/>
          <w:sz w:val="24"/>
          <w:szCs w:val="24"/>
        </w:rPr>
        <w:t xml:space="preserve">“cold money”, </w:t>
      </w:r>
      <w:r w:rsidRPr="00A62965">
        <w:rPr>
          <w:rFonts w:ascii="Times New Roman" w:hAnsi="Times New Roman"/>
          <w:sz w:val="24"/>
          <w:szCs w:val="24"/>
        </w:rPr>
        <w:t xml:space="preserve">capital estável e persistente.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Aggarwal (2003) examina a alocação de investimentos em mercados emergentes por fundos mútuos geridos ativamente. As características dos países que atraem maiores investimentos dos fundos em termos </w:t>
      </w:r>
      <w:r w:rsidRPr="00A62965">
        <w:rPr>
          <w:rFonts w:ascii="Times New Roman" w:hAnsi="Times New Roman"/>
          <w:sz w:val="24"/>
          <w:szCs w:val="24"/>
        </w:rPr>
        <w:lastRenderedPageBreak/>
        <w:t xml:space="preserve">de variáveis macroeconômicas são: PIB </w:t>
      </w:r>
      <w:r w:rsidRPr="00A62965">
        <w:rPr>
          <w:rFonts w:ascii="Times New Roman" w:hAnsi="Times New Roman"/>
          <w:i/>
          <w:sz w:val="24"/>
          <w:szCs w:val="24"/>
        </w:rPr>
        <w:t>per capita</w:t>
      </w:r>
      <w:r w:rsidRPr="00A62965">
        <w:rPr>
          <w:rFonts w:ascii="Times New Roman" w:hAnsi="Times New Roman"/>
          <w:sz w:val="24"/>
          <w:szCs w:val="24"/>
        </w:rPr>
        <w:t xml:space="preserve">, regime de taxa de câmbio flutuante e maior capitalização do mercado de capitais. A retenção na fonte dos retornos dos investimentos estrangeiros sugere a importância de regimes de taxação amigáveis (La Porta </w:t>
      </w:r>
      <w:r w:rsidRPr="00A62965">
        <w:rPr>
          <w:rFonts w:ascii="Times New Roman" w:hAnsi="Times New Roman"/>
          <w:i/>
          <w:sz w:val="24"/>
          <w:szCs w:val="24"/>
        </w:rPr>
        <w:t>et al</w:t>
      </w:r>
      <w:r w:rsidRPr="00A62965">
        <w:rPr>
          <w:rFonts w:ascii="Times New Roman" w:hAnsi="Times New Roman"/>
          <w:sz w:val="24"/>
          <w:szCs w:val="24"/>
        </w:rPr>
        <w:t xml:space="preserve">, 1997, 1999). Em termos de variáveis de governança corporativa destacam-se a proteção dos acionistas, eficiência do arcabouço legal e a qualidade da prestação de contas para o investidor externo. Os resultados indicam a necessidade de políticas macroeconômicas estáveis para o desenvolvimento do mercado financeiro e também o desenvolvimento de um ambiente favorável ao investimento estrangeiro. Albuquerque (2003) atribui a alta volatilidade e baixa persistência dos fluxos de investimentos em carteira à resposta ótima de investidores internacionais a mudanças no risco de </w:t>
      </w:r>
      <w:r w:rsidRPr="00A62965">
        <w:rPr>
          <w:rFonts w:ascii="Times New Roman" w:hAnsi="Times New Roman"/>
          <w:i/>
          <w:sz w:val="24"/>
          <w:szCs w:val="24"/>
        </w:rPr>
        <w:t>default</w:t>
      </w:r>
      <w:r w:rsidRPr="00A62965">
        <w:rPr>
          <w:rFonts w:ascii="Times New Roman" w:hAnsi="Times New Roman"/>
          <w:sz w:val="24"/>
          <w:szCs w:val="24"/>
        </w:rPr>
        <w:t>.</w:t>
      </w:r>
    </w:p>
    <w:p w:rsidR="0040631F" w:rsidRPr="00A62965" w:rsidRDefault="0040631F" w:rsidP="00965E55">
      <w:pPr>
        <w:spacing w:after="0" w:line="240" w:lineRule="auto"/>
        <w:jc w:val="both"/>
        <w:rPr>
          <w:rFonts w:ascii="Times New Roman" w:hAnsi="Times New Roman"/>
          <w:sz w:val="24"/>
          <w:szCs w:val="24"/>
        </w:rPr>
      </w:pPr>
      <w:r w:rsidRPr="00A62965">
        <w:rPr>
          <w:rFonts w:ascii="Times New Roman" w:hAnsi="Times New Roman"/>
          <w:sz w:val="24"/>
          <w:szCs w:val="24"/>
        </w:rPr>
        <w:t>De Santis (2009) testa e ratifica a hipótese de que envelhecimento da população, instituições, agregados monetários e desvios da paridade descoberta da taxa de juros (PDJ) afetam os fluxos internacionais de portfólio. Alta taxa de dependência de jovens e idosos causam déficits em conta corrente e influxo líquido de capital, visto que esses segmentos da população têm uma taxa de poupança menor, além de demandarem mais investimentos devido à dependência juvenil. A razão estoque de dinheiro/PIB está associada com influxos líquidos de capital acionário e saídas líquidas de instrumentos de dívida. Sinaliza, dessa forma, movimentos na taxa de juros e é uma</w:t>
      </w:r>
      <w:r w:rsidRPr="00A62965">
        <w:rPr>
          <w:rFonts w:ascii="Times New Roman" w:hAnsi="Times New Roman"/>
          <w:i/>
          <w:sz w:val="24"/>
          <w:szCs w:val="24"/>
        </w:rPr>
        <w:t xml:space="preserve"> proxy</w:t>
      </w:r>
      <w:r w:rsidRPr="00A62965">
        <w:rPr>
          <w:rFonts w:ascii="Times New Roman" w:hAnsi="Times New Roman"/>
          <w:sz w:val="24"/>
          <w:szCs w:val="24"/>
        </w:rPr>
        <w:t xml:space="preserve"> para o efeito de mudança em portfólio. Desvios da PDJ (aumento da taxa de juros de curto prazo acima de sua tendência) provocam a recomposição de portfólio com saída de instrumentos de dívida.</w:t>
      </w:r>
    </w:p>
    <w:p w:rsidR="0040631F" w:rsidRPr="00A62965" w:rsidRDefault="0040631F" w:rsidP="000C3593">
      <w:pPr>
        <w:spacing w:line="240" w:lineRule="auto"/>
        <w:jc w:val="both"/>
        <w:rPr>
          <w:rFonts w:ascii="Times New Roman" w:hAnsi="Times New Roman"/>
          <w:b/>
          <w:sz w:val="24"/>
          <w:szCs w:val="24"/>
        </w:rPr>
      </w:pP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2.2 Reequilíbrio de portfólio ou “</w:t>
      </w:r>
      <w:r w:rsidRPr="00A62965">
        <w:rPr>
          <w:rFonts w:ascii="Times New Roman" w:hAnsi="Times New Roman"/>
          <w:b/>
          <w:i/>
          <w:sz w:val="24"/>
          <w:szCs w:val="24"/>
        </w:rPr>
        <w:t>return chasing</w:t>
      </w:r>
      <w:r w:rsidRPr="00A62965">
        <w:rPr>
          <w:rFonts w:ascii="Times New Roman" w:hAnsi="Times New Roman"/>
          <w:b/>
          <w:sz w:val="24"/>
          <w:szCs w:val="24"/>
        </w:rPr>
        <w:t>”</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Bohn e Tesar (1996) avaliam a tese de reequilíbrio de portfólio, segundo a qual investidores internacionais vendem as “ações vencedoras” de forma a manter um portfólio balanceado. A análise dessa hipótese é fundamentada no papel das compras líquidas de ações em um modelo</w:t>
      </w:r>
      <w:r w:rsidRPr="00A62965">
        <w:rPr>
          <w:rFonts w:ascii="Times New Roman" w:hAnsi="Times New Roman"/>
          <w:i/>
          <w:sz w:val="24"/>
          <w:szCs w:val="24"/>
        </w:rPr>
        <w:t xml:space="preserve"> ICAPM</w:t>
      </w:r>
      <w:r w:rsidRPr="00A62965">
        <w:rPr>
          <w:rFonts w:ascii="Times New Roman" w:hAnsi="Times New Roman"/>
          <w:sz w:val="24"/>
          <w:szCs w:val="24"/>
        </w:rPr>
        <w:t xml:space="preserve"> (</w:t>
      </w:r>
      <w:r w:rsidRPr="00A62965">
        <w:rPr>
          <w:rFonts w:ascii="Times New Roman" w:hAnsi="Times New Roman"/>
          <w:i/>
          <w:sz w:val="24"/>
          <w:szCs w:val="24"/>
        </w:rPr>
        <w:t>International Capital Asset Pricing Model</w:t>
      </w:r>
      <w:r w:rsidRPr="00A62965">
        <w:rPr>
          <w:rFonts w:ascii="Times New Roman" w:hAnsi="Times New Roman"/>
          <w:sz w:val="24"/>
          <w:szCs w:val="24"/>
        </w:rPr>
        <w:t>) intertemporal. Os resultados indicam que as compras líquidas norte-americanas em ações estrangeiras são primariamente movidas por oportunidades de investimento invariante no tempo (</w:t>
      </w:r>
      <w:r w:rsidRPr="00A62965">
        <w:rPr>
          <w:rFonts w:ascii="Times New Roman" w:hAnsi="Times New Roman"/>
          <w:i/>
          <w:sz w:val="24"/>
          <w:szCs w:val="24"/>
        </w:rPr>
        <w:t>return chasing)</w:t>
      </w:r>
      <w:r w:rsidRPr="00A62965">
        <w:rPr>
          <w:rFonts w:ascii="Times New Roman" w:hAnsi="Times New Roman"/>
          <w:sz w:val="24"/>
          <w:szCs w:val="24"/>
        </w:rPr>
        <w:t xml:space="preserve"> e não em transações para manter o equilíbrio do portfólio.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Hau e Rey (2004) ratificam três hipóteses de recomposição de portfólio: choque (apreciação) nos preços de ativos estrangeiros em relação ao mercado doméstico e choques na taxa de câmbio (apreciação da moeda estrangeira) induzem a uma redução de posições em ativos estrangeiros de forma a reduzir a exposição ao risco cambial. Fang e Miller (2002), em estudo para cinco países asiáticos, demonstram que a depreciação da moeda tem efeito estatisticamente significativo no mercado de ações por três canais: a taxa de depreciação do câmbio afeta negativamente o retorno do mercado de ações; a volatilidade da depreciação da taxa de câmbio correlaciona-se positivamente com a volatilidade do retorno do mercado de ações; a volatilidade da depreciação da taxa de câmbio afetou negativamente o retorno do mercado de ações em dois dos cinco países estudados. Sugerem, portanto, que o risco cambial é um dos fatores a serem considerados pelos investidores estrangeiros no momento de compor seu portfólio e corroboram o modelo de portfólio equilibrado.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Froot </w:t>
      </w:r>
      <w:r w:rsidRPr="00A62965">
        <w:rPr>
          <w:rFonts w:ascii="Times New Roman" w:hAnsi="Times New Roman"/>
          <w:i/>
          <w:sz w:val="24"/>
          <w:szCs w:val="24"/>
        </w:rPr>
        <w:t>et  al</w:t>
      </w:r>
      <w:r w:rsidRPr="00A62965">
        <w:rPr>
          <w:rFonts w:ascii="Times New Roman" w:hAnsi="Times New Roman"/>
          <w:sz w:val="24"/>
          <w:szCs w:val="24"/>
        </w:rPr>
        <w:t xml:space="preserve"> (2001) analisam se os fluxos de portfólio de investidores internacionais afetam o retorno dos ativos e se o preço das ações em mercados emergentes são particularmente vulneráveis a esses fluxos. O exame de dados para 44 países mostrou que existe uma correlação positiva no fluxo e no retorno contemporâneo pelos países, sendo maior intra-regiões. O fluxo também é caracterizado por um alto grau de persistência, particularmente quanto maior o número de países analisado em conjunto, evidenciando a existência de persistência do fluxo para o país e a correlação não contemporânea de fluxos pelos países. Os fluxos também são fortemente influenciados por retornos passados, reforçando os resultados de Bohn e Tesar (1996). Não obstante, em mercados emergentes, influxos prevêem retornos futuros em média. Esse resultado é consistente com os investidores internacionais tendo melhor informação que investidores locais em mercados emergentes ou ainda pode estar relacionado com a pressão de preços gerada pela persistência dos influxos de investidores internacionais. A explicação para o co-movimento de retornos e </w:t>
      </w:r>
      <w:r w:rsidRPr="00A62965">
        <w:rPr>
          <w:rFonts w:ascii="Times New Roman" w:hAnsi="Times New Roman"/>
          <w:sz w:val="24"/>
          <w:szCs w:val="24"/>
        </w:rPr>
        <w:lastRenderedPageBreak/>
        <w:t xml:space="preserve">fluxos é que influxos movem preços, que são positivamente correlacionados, e, dessa forma, influxos prevêem retornos.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Bekaert e Harvey (1998) refutam a hipótese de </w:t>
      </w:r>
      <w:r w:rsidRPr="00A62965">
        <w:rPr>
          <w:rFonts w:ascii="Times New Roman" w:hAnsi="Times New Roman"/>
          <w:i/>
          <w:sz w:val="24"/>
          <w:szCs w:val="24"/>
        </w:rPr>
        <w:t>return chasing</w:t>
      </w:r>
      <w:r w:rsidRPr="00A62965">
        <w:rPr>
          <w:rFonts w:ascii="Times New Roman" w:hAnsi="Times New Roman"/>
          <w:sz w:val="24"/>
          <w:szCs w:val="24"/>
        </w:rPr>
        <w:t>. A queda do retorno esperado após significativas mudanças no fluxo de capital para países emergentes associado com a queda do risco e a maior correlação dos retornos do mercado acionário com o mercado mundial é, para os autores, mais consistente com um único ajuste de portfólio relacionado com movimento de mercado segmentado para mercado integrado. Brennan e Cao (1997), por outro lado, desenvolvem um modelo de fluxo de portfólio baseado na premissa de informação assimétrica entre investidores estrangeiros e domésticos cujo principal resultado é a associação positiva entre os fluxos de portfólio e os retornos contemporâneos ou defasados do mercado doméstico conforme previsto pela hipótese de informação assimétrica.</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2.3 Evidências empíricas para o Brasil</w:t>
      </w:r>
      <w:r w:rsidR="00FC0BE6" w:rsidRPr="00A62965">
        <w:rPr>
          <w:rFonts w:ascii="Times New Roman" w:hAnsi="Times New Roman"/>
          <w:sz w:val="24"/>
          <w:szCs w:val="24"/>
        </w:rPr>
        <w:fldChar w:fldCharType="begin"/>
      </w:r>
      <w:r w:rsidRPr="00A62965">
        <w:rPr>
          <w:rFonts w:ascii="Times New Roman" w:hAnsi="Times New Roman"/>
          <w:sz w:val="24"/>
          <w:szCs w:val="24"/>
        </w:rPr>
        <w:instrText>xe "</w:instrText>
      </w:r>
      <w:r w:rsidRPr="00A62965">
        <w:rPr>
          <w:rFonts w:ascii="Times New Roman" w:hAnsi="Times New Roman"/>
          <w:b/>
          <w:sz w:val="24"/>
          <w:szCs w:val="24"/>
        </w:rPr>
        <w:instrText>2.4 Evidências empíricas para o Brasil</w:instrText>
      </w:r>
      <w:r w:rsidRPr="00A62965">
        <w:rPr>
          <w:rFonts w:ascii="Times New Roman" w:hAnsi="Times New Roman"/>
          <w:sz w:val="24"/>
          <w:szCs w:val="24"/>
        </w:rPr>
        <w:instrText>"</w:instrText>
      </w:r>
      <w:r w:rsidR="00FC0BE6" w:rsidRPr="00A62965">
        <w:rPr>
          <w:rFonts w:ascii="Times New Roman" w:hAnsi="Times New Roman"/>
          <w:sz w:val="24"/>
          <w:szCs w:val="24"/>
        </w:rPr>
        <w:fldChar w:fldCharType="end"/>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Tabak (2003) testa a hipótese de caminho aleatório para o mercado de ações brasileiro. Encontra uma relação de longo prazo entre o índice Ibovespa real e fluxos de investimento de portfólio. Os resultados indicam que aumentos no índice Ibovespa real são seguidos por aumentos de influxos de investimento de portfólio. A análise empreendida pelo autor sugere também uma influência bilateral entre o Ibovespa e o fluxo de investimento estrangeiro em portfólio, na qual este influencia diretamente o Ibovespa que, por sua vez, influencia o fluxo de investimento estrangeiro em portfólio.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Meurer (2006), utilizando dados para o período de janeiro de 1995 a julho de 2005, ratifica a inter-relação do mercado externo com o mercado brasileiro, tendo em vista que variáveis, </w:t>
      </w:r>
      <w:r w:rsidRPr="00A62965">
        <w:rPr>
          <w:rFonts w:ascii="Times New Roman" w:hAnsi="Times New Roman"/>
          <w:i/>
          <w:sz w:val="24"/>
          <w:szCs w:val="24"/>
        </w:rPr>
        <w:t>a priori</w:t>
      </w:r>
      <w:r w:rsidRPr="00A62965">
        <w:rPr>
          <w:rFonts w:ascii="Times New Roman" w:hAnsi="Times New Roman"/>
          <w:sz w:val="24"/>
          <w:szCs w:val="24"/>
        </w:rPr>
        <w:t>, negligenciadas pelos investidores domésticos, como o risco país, a taxa de câmbio e o S&amp;P 500, são importantes para explicar os retornos do Ibovespa.</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 Franzen </w:t>
      </w:r>
      <w:r w:rsidRPr="00A62965">
        <w:rPr>
          <w:rFonts w:ascii="Times New Roman" w:hAnsi="Times New Roman"/>
          <w:i/>
          <w:sz w:val="24"/>
          <w:szCs w:val="24"/>
        </w:rPr>
        <w:t xml:space="preserve">et al </w:t>
      </w:r>
      <w:r w:rsidRPr="00A62965">
        <w:rPr>
          <w:rFonts w:ascii="Times New Roman" w:hAnsi="Times New Roman"/>
          <w:sz w:val="24"/>
          <w:szCs w:val="24"/>
        </w:rPr>
        <w:t>(2009) através da estimação de um modelo para a participação estrangeira na capitalização do IBOVESPA concluem que o investidor tem comportamento racional, entrando no mercado quando o mesmo se recupera de baixas. Os retornos defasados do IBOVESPA também são importantes na decisão de investir. Em relação à variação cambial, os investidores estrangeiros buscam diminuir sua exposição ao risco cambial saindo do mercado brasileiro quando a moeda doméstica se valoriza frente ao dólar. A variação defasada da SELIC em seis meses positivamente correlacionada com os fluxos de investimento indica que os investidores estrangeiros associam um aumento da taxa SELIC com um melhor desempenho das empresas, possivelmente em virtude da queda esperada da taxa de inflação.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Veríssimo e Holland (2004) verificam como as variáveis desvios da PDJ, risco-país e a legislação liberalizante sobre fluxo de capitais afetaram o fluxo de investimento em portfólio (especificamente títulos públicos federais, títulos de renda fixa, derivativos e ações) no Brasil no período de 1995 a 2002. As variáveis mais importantes para explicar o comportamento do investidor estrangeiro, segundo o estudo feito, são os desvios da PDJ e o risco-país. A análise da função impulso de um choque positivo na primeira diferença dos desvios da PDJ indica uma redução dos fluxos de investimento em títulos de renda fixa, tanto de curto prazo quanto de longo prazo, sugerindo a preferência dos agentes pela aquisição de títulos pós-fixados para a composição de suas carteiras diante da tendência de elevação da taxa de juros doméstica. Choques positivos no risco-país associam-se à queda de fluxos de investimento estrangeiro em portfólio total e para os mercados de títulos públicos, títulos de renda fixa e de derivativos. A hipótese de pouca relevância da utilização de uma legislação mais liberalizante para explicar o IEC é confirmada pelos autores.</w:t>
      </w:r>
    </w:p>
    <w:p w:rsidR="0040631F" w:rsidRPr="00A62965" w:rsidRDefault="0040631F" w:rsidP="00FA795C">
      <w:pPr>
        <w:spacing w:line="240" w:lineRule="auto"/>
        <w:jc w:val="both"/>
        <w:rPr>
          <w:rFonts w:ascii="Times New Roman" w:hAnsi="Times New Roman"/>
          <w:sz w:val="24"/>
          <w:szCs w:val="24"/>
        </w:rPr>
      </w:pPr>
      <w:r w:rsidRPr="00A62965">
        <w:rPr>
          <w:rFonts w:ascii="Times New Roman" w:hAnsi="Times New Roman"/>
          <w:sz w:val="24"/>
          <w:szCs w:val="24"/>
        </w:rPr>
        <w:t>Val e Corrêa (2009) e Munhoz e Libânio (2009) reportam que a conta investimento estrangeiro em carteira, dentre as contas que compõe o balanço de pagamentos brasileiro, é uma das mais voláteis. Tal conta é caracterizada como sendo de caráter especulativo e de curto prazo. Associa-se, dessa forma, a vulnerabilidade externa do país à volatilidade dos fluxos de capitais, bastantes dependentes de ciclos de liquidez internacional.</w:t>
      </w:r>
    </w:p>
    <w:p w:rsidR="0040631F" w:rsidRPr="00A62965" w:rsidRDefault="0040631F" w:rsidP="00FA795C">
      <w:pPr>
        <w:spacing w:line="240" w:lineRule="auto"/>
        <w:jc w:val="both"/>
        <w:rPr>
          <w:rFonts w:ascii="Times New Roman" w:hAnsi="Times New Roman"/>
          <w:sz w:val="24"/>
          <w:szCs w:val="24"/>
        </w:rPr>
      </w:pPr>
      <w:r w:rsidRPr="00A62965">
        <w:rPr>
          <w:rFonts w:ascii="Times New Roman" w:hAnsi="Times New Roman"/>
          <w:sz w:val="24"/>
          <w:szCs w:val="24"/>
        </w:rPr>
        <w:lastRenderedPageBreak/>
        <w:t>Em síntese, a partir da revisão de literatura, depreende-se que o investidor externo em portfólio respalda suas decisões em parâmetros atinentes à economia mundial e ao local de destino de seus recursos. O comportamento de busca por retornos mais altos não implica necessariamente na ausência de movimentos de reequilíbrio de portfólio, sobretudo em virtude do risco cambial. Os resultados dos estudos voltados para o Brasil, conforme o esperado, ratificam a teoria subjacente ao fluxo de IEC, dando ênfase a sua volatilidade e a fatores como o risco-país e os retornos do IBOVESPA.</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3 Evidência Empírica</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3.1 Dados</w:t>
      </w:r>
    </w:p>
    <w:p w:rsidR="0040631F" w:rsidRPr="00A62965" w:rsidRDefault="0040631F" w:rsidP="00815F11">
      <w:pPr>
        <w:spacing w:line="240" w:lineRule="auto"/>
        <w:jc w:val="both"/>
        <w:rPr>
          <w:rFonts w:ascii="Times New Roman" w:hAnsi="Times New Roman"/>
          <w:sz w:val="24"/>
          <w:szCs w:val="24"/>
        </w:rPr>
      </w:pPr>
      <w:r w:rsidRPr="00A62965">
        <w:rPr>
          <w:rFonts w:ascii="Times New Roman" w:hAnsi="Times New Roman"/>
          <w:sz w:val="24"/>
          <w:szCs w:val="24"/>
        </w:rPr>
        <w:t xml:space="preserve">Os dados utilizados foram agrupados em bases trimestrais e compreendem o período de janeiro de 1995 até dezembro de 2009, posterior à estabilização macroeconômica e à liberalização comercial e financeira.  Este período engloba a mudança do regime cambial de semifixo para flutuante em 1999, além do auge do processo de privatizações no governo Fernando Henrique Cardoso. No período também ocorrem várias crises financeiras mundiais como a crise asiática em 1997, a crise Russa, em 1998, a própria crise brasileira, em 1999, a crise Argentina, em 2001, e a crise no sistema financeiro internacional em 2008 e 2009.  As séries utilizadas são: fluxo líquido de investimento estrangeiro em carteira em razão do PIB (FLIEC), crescimento real do PIB (CPIB), saldo do balanço de transações correntes em razão do PIB (BCC), taxa de inflação (INF), taxa de juros americana (USI), variação cambial (VCAM), o risco cambial (RCAM), o retorno do índice MSCI WORLD (RMSCI), variação do risco país (VRP) e o estoque de investimento estrangeiro em carteira em razão do PIB (EST). O fluxo líquido de investimento estrangeiro em carteira (IEC) representa a soma entre o ingresso e a saída de IEC. O saldo do balanço de transações correntes IEC é expresso como proporção do PIB, em termos percentuais, </w:t>
      </w:r>
      <w:r>
        <w:rPr>
          <w:rFonts w:ascii="Times New Roman" w:hAnsi="Times New Roman"/>
          <w:sz w:val="24"/>
          <w:szCs w:val="24"/>
        </w:rPr>
        <w:t>calculado</w:t>
      </w:r>
      <w:r w:rsidRPr="00A62965">
        <w:rPr>
          <w:rFonts w:ascii="Times New Roman" w:hAnsi="Times New Roman"/>
          <w:sz w:val="24"/>
          <w:szCs w:val="24"/>
        </w:rPr>
        <w:t xml:space="preserve"> a partir de dados do Banco Central do Brasil.</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O crescimento real do PIB, em termos percentuais, foi construído a partir do índice encadeado do PIB a preços de mercado (desconsiderado o efeito sazonal) disponibilizado pelo IBGE. A inflação trimestral foi calculada a partir do IPCA geral obtido junto a IPEADATA ao passo que a taxa de juros americana foi representada pelo título do tesouro americano de três meses (série obtida no St.Louis  Federal Reserve Economic Data - FRED).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taxa de câmbio real foi calculada com as séries da taxa de câmbio Ptax venda de fim de período (Banco Central do Brasil) e dos índices de preços ao consumidor do Brasil, IPCA, e dos Estados Unidos, CPI (séries obtidas no IPEADATA e no FRED), expressa em dólares por real. Foi utilizada a variação percentual da taxa de câmbio real (VCAM). O risco cambial foi calculado a partir do desvio padrão trimestral, com base em cotações diárias, da taxa de câmbio Ptax venda.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O </w:t>
      </w:r>
      <w:r w:rsidRPr="00A62965">
        <w:rPr>
          <w:rFonts w:ascii="Times New Roman" w:hAnsi="Times New Roman"/>
          <w:i/>
          <w:sz w:val="24"/>
          <w:szCs w:val="24"/>
        </w:rPr>
        <w:t xml:space="preserve">MSCI Word Index </w:t>
      </w:r>
      <w:r w:rsidRPr="00A62965">
        <w:rPr>
          <w:rFonts w:ascii="Times New Roman" w:hAnsi="Times New Roman"/>
          <w:sz w:val="24"/>
          <w:szCs w:val="24"/>
        </w:rPr>
        <w:t>é um índice de mercado de 1500 ações “mundiais” calculado pela MSCI Inc e inclui uma coleção de ações de todos os mercados desenvolvidos do mundo (23 países ao todo), mas exclui ações de países emergentes. Foi utilizado seu retorno percentual.</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variação percentual do risco país foi calculada a partir do EMBI+. O </w:t>
      </w:r>
      <w:r w:rsidRPr="00A62965">
        <w:rPr>
          <w:rFonts w:ascii="Times New Roman" w:hAnsi="Times New Roman"/>
          <w:i/>
          <w:sz w:val="24"/>
          <w:szCs w:val="24"/>
        </w:rPr>
        <w:t>Emergent Markets Bonds Index Plus</w:t>
      </w:r>
      <w:r w:rsidRPr="00A62965">
        <w:rPr>
          <w:rFonts w:ascii="Times New Roman" w:hAnsi="Times New Roman"/>
          <w:sz w:val="24"/>
          <w:szCs w:val="24"/>
        </w:rPr>
        <w:t xml:space="preserve"> é um indicador calculado pelo JP Morgan para avaliar o prêmio de risco de títulos de economias emergentes em relação aos títulos do Tesouro dos Estados Unidos.</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Para o cálculo do estoque do IEC partiu-se da proposta de Fernandez-Arias (1996) que utilizou o acúmulo dos fluxos de portfólio como </w:t>
      </w:r>
      <w:r w:rsidRPr="00A62965">
        <w:rPr>
          <w:rFonts w:ascii="Times New Roman" w:hAnsi="Times New Roman"/>
          <w:i/>
          <w:sz w:val="24"/>
          <w:szCs w:val="24"/>
        </w:rPr>
        <w:t xml:space="preserve">proxy </w:t>
      </w:r>
      <w:r w:rsidRPr="00A62965">
        <w:rPr>
          <w:rFonts w:ascii="Times New Roman" w:hAnsi="Times New Roman"/>
          <w:sz w:val="24"/>
          <w:szCs w:val="24"/>
        </w:rPr>
        <w:t xml:space="preserve">para o cálculo do estoque de IEC. Não obstante, de forma a considerar o rendimento do estoque, foi utilizado tanto o retorno do IBOVESPA quanto a taxa Selic efetiva ao mês. O estoque de investimento estrangeiro em títulos de renda fixa foi calculado a partir do acúmulo do fluxo líquido de investimento estrangeiro em títulos de renda fixa e multiplicado pela taxa Selic efetiva ao mês enquanto que o estoque de investimento estrangeiro em ações foi calculado a partir do acúmulo de fluxo líquido de ações e multiplicado pelo retorno do IBOVESPA. A soma de ambos foi utilizada, então, como </w:t>
      </w:r>
      <w:r w:rsidRPr="00A62965">
        <w:rPr>
          <w:rFonts w:ascii="Times New Roman" w:hAnsi="Times New Roman"/>
          <w:i/>
          <w:sz w:val="24"/>
          <w:szCs w:val="24"/>
        </w:rPr>
        <w:t xml:space="preserve">proxy </w:t>
      </w:r>
      <w:r w:rsidRPr="00A62965">
        <w:rPr>
          <w:rFonts w:ascii="Times New Roman" w:hAnsi="Times New Roman"/>
          <w:sz w:val="24"/>
          <w:szCs w:val="24"/>
        </w:rPr>
        <w:t xml:space="preserve">para o estoque de IEC. A série final obtida foi ponderada pelo PIB expresso em milhões de dólares. </w:t>
      </w:r>
      <w:r w:rsidRPr="00A62965">
        <w:rPr>
          <w:rFonts w:ascii="Times New Roman" w:hAnsi="Times New Roman"/>
          <w:sz w:val="24"/>
          <w:szCs w:val="24"/>
        </w:rPr>
        <w:lastRenderedPageBreak/>
        <w:t>Observa-se que o rendimento do IEC não necessariamente segue o padrão do índice e da taxa ora utilizados, no entanto configura-se como uma aproximação razoável. As séries de investimento estrangeiro foram obtidas no Banco Central, o retorno do IBOVESPA e a taxa Selic efetiva ao mês, no software Economática.</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3.2 Estacionariedade e Exogeneidade</w:t>
      </w:r>
    </w:p>
    <w:p w:rsidR="0040631F" w:rsidRPr="00A62965" w:rsidRDefault="0040631F" w:rsidP="00DF6B7A">
      <w:pPr>
        <w:spacing w:line="240" w:lineRule="auto"/>
        <w:jc w:val="both"/>
        <w:rPr>
          <w:rFonts w:ascii="Times New Roman" w:hAnsi="Times New Roman"/>
          <w:sz w:val="24"/>
          <w:szCs w:val="24"/>
        </w:rPr>
      </w:pPr>
      <w:r w:rsidRPr="00A62965">
        <w:rPr>
          <w:rFonts w:ascii="Times New Roman" w:hAnsi="Times New Roman"/>
          <w:sz w:val="24"/>
          <w:szCs w:val="24"/>
        </w:rPr>
        <w:t xml:space="preserve">A estacionariedade das séries foi verificada a partir do teste </w:t>
      </w:r>
      <w:r w:rsidRPr="00A62965">
        <w:rPr>
          <w:rFonts w:ascii="Times New Roman" w:hAnsi="Times New Roman"/>
          <w:i/>
          <w:sz w:val="24"/>
          <w:szCs w:val="24"/>
        </w:rPr>
        <w:t>Dickey-Fuller</w:t>
      </w:r>
      <w:r w:rsidRPr="00A62965">
        <w:rPr>
          <w:rFonts w:ascii="Times New Roman" w:hAnsi="Times New Roman"/>
          <w:sz w:val="24"/>
          <w:szCs w:val="24"/>
        </w:rPr>
        <w:t xml:space="preserve"> aumentado. Foi detectada a presença de raiz unitária nas séries de balanço de transações correntes, do estoque de investimento estrangeiro em carteira e da taxa de juros americana. As demais séries são estacionárias em nível, conforme a tabela 1. </w:t>
      </w:r>
    </w:p>
    <w:p w:rsidR="0040631F" w:rsidRPr="00A62965" w:rsidRDefault="0040631F" w:rsidP="00F72712">
      <w:pPr>
        <w:ind w:firstLine="709"/>
        <w:jc w:val="center"/>
        <w:rPr>
          <w:rFonts w:ascii="Times New Roman" w:hAnsi="Times New Roman"/>
          <w:b/>
          <w:sz w:val="24"/>
          <w:szCs w:val="24"/>
        </w:rPr>
      </w:pPr>
      <w:r w:rsidRPr="00A62965">
        <w:rPr>
          <w:rFonts w:ascii="Times New Roman" w:hAnsi="Times New Roman"/>
          <w:b/>
          <w:sz w:val="24"/>
          <w:szCs w:val="24"/>
        </w:rPr>
        <w:t>Tabela 1 – Teste de Raíz Unitária Dickey-Fuller Aumentado – Jan/1995 a Dez/2009</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1647"/>
        <w:gridCol w:w="709"/>
        <w:gridCol w:w="1701"/>
        <w:gridCol w:w="793"/>
        <w:gridCol w:w="904"/>
        <w:gridCol w:w="764"/>
        <w:gridCol w:w="764"/>
      </w:tblGrid>
      <w:tr w:rsidR="0040631F" w:rsidRPr="00873AF1" w:rsidTr="00873AF1">
        <w:trPr>
          <w:jc w:val="center"/>
        </w:trPr>
        <w:tc>
          <w:tcPr>
            <w:tcW w:w="1614" w:type="dxa"/>
            <w:vMerge w:val="restart"/>
            <w:tcBorders>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Variáveis</w:t>
            </w:r>
          </w:p>
        </w:tc>
        <w:tc>
          <w:tcPr>
            <w:tcW w:w="1647" w:type="dxa"/>
            <w:vMerge w:val="restart"/>
            <w:tcBorders>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Variáveis exógenas</w:t>
            </w:r>
          </w:p>
        </w:tc>
        <w:tc>
          <w:tcPr>
            <w:tcW w:w="709" w:type="dxa"/>
            <w:vMerge w:val="restart"/>
            <w:tcBorders>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Obs.</w:t>
            </w:r>
          </w:p>
        </w:tc>
        <w:tc>
          <w:tcPr>
            <w:tcW w:w="1701" w:type="dxa"/>
            <w:vMerge w:val="restart"/>
            <w:tcBorders>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Estatística Teste Dickey-Fuller aumentado</w:t>
            </w:r>
          </w:p>
        </w:tc>
        <w:tc>
          <w:tcPr>
            <w:tcW w:w="793" w:type="dxa"/>
            <w:vMerge w:val="restart"/>
            <w:tcBorders>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Valor-p</w:t>
            </w:r>
          </w:p>
        </w:tc>
        <w:tc>
          <w:tcPr>
            <w:tcW w:w="2432" w:type="dxa"/>
            <w:gridSpan w:val="3"/>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Valores Críticos do Teste</w:t>
            </w:r>
          </w:p>
        </w:tc>
      </w:tr>
      <w:tr w:rsidR="0040631F" w:rsidRPr="00873AF1" w:rsidTr="00873AF1">
        <w:trPr>
          <w:jc w:val="center"/>
        </w:trPr>
        <w:tc>
          <w:tcPr>
            <w:tcW w:w="1614" w:type="dxa"/>
            <w:vMerge/>
            <w:tcBorders>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p>
        </w:tc>
        <w:tc>
          <w:tcPr>
            <w:tcW w:w="1647" w:type="dxa"/>
            <w:vMerge/>
            <w:tcBorders>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p>
        </w:tc>
        <w:tc>
          <w:tcPr>
            <w:tcW w:w="709" w:type="dxa"/>
            <w:vMerge/>
            <w:tcBorders>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p>
        </w:tc>
        <w:tc>
          <w:tcPr>
            <w:tcW w:w="1701" w:type="dxa"/>
            <w:vMerge/>
            <w:tcBorders>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p>
        </w:tc>
        <w:tc>
          <w:tcPr>
            <w:tcW w:w="793" w:type="dxa"/>
            <w:vMerge/>
            <w:tcBorders>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p>
        </w:tc>
        <w:tc>
          <w:tcPr>
            <w:tcW w:w="904" w:type="dxa"/>
            <w:tcBorders>
              <w:top w:val="nil"/>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w:t>
            </w:r>
          </w:p>
        </w:tc>
        <w:tc>
          <w:tcPr>
            <w:tcW w:w="764" w:type="dxa"/>
            <w:tcBorders>
              <w:top w:val="nil"/>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w:t>
            </w:r>
          </w:p>
        </w:tc>
        <w:tc>
          <w:tcPr>
            <w:tcW w:w="764" w:type="dxa"/>
            <w:tcBorders>
              <w:top w:val="nil"/>
              <w:left w:val="nil"/>
              <w:bottom w:val="single" w:sz="4" w:space="0" w:color="000000"/>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10%</w:t>
            </w:r>
          </w:p>
        </w:tc>
      </w:tr>
      <w:tr w:rsidR="0040631F" w:rsidRPr="00873AF1" w:rsidTr="00873AF1">
        <w:trPr>
          <w:jc w:val="center"/>
        </w:trPr>
        <w:tc>
          <w:tcPr>
            <w:tcW w:w="1614"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FLIEC</w:t>
            </w:r>
          </w:p>
        </w:tc>
        <w:tc>
          <w:tcPr>
            <w:tcW w:w="1647"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-6.82</w:t>
            </w:r>
          </w:p>
        </w:tc>
        <w:tc>
          <w:tcPr>
            <w:tcW w:w="793"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CPIB</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-6.70</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BCC</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55</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-1.11</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0.238</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BCC (variação %)</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58</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-9.22</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USI</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58</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-1.45</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0.135</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USI</w:t>
            </w:r>
          </w:p>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 xml:space="preserve"> (variação %)</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58</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-2.80</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0.005</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INF</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-4.10</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VCAM</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58</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-6.42</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VRP</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58</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-7.95</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RMSCI</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-6.44</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-2.60</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-1.94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-1.61</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RCAM</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-7.19</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0.000</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EST</w:t>
            </w:r>
          </w:p>
        </w:tc>
        <w:tc>
          <w:tcPr>
            <w:tcW w:w="1647"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w:t>
            </w:r>
          </w:p>
        </w:tc>
        <w:tc>
          <w:tcPr>
            <w:tcW w:w="709"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59</w:t>
            </w:r>
          </w:p>
        </w:tc>
        <w:tc>
          <w:tcPr>
            <w:tcW w:w="1701"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-2.30</w:t>
            </w:r>
          </w:p>
        </w:tc>
        <w:tc>
          <w:tcPr>
            <w:tcW w:w="793"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0.173</w:t>
            </w:r>
          </w:p>
        </w:tc>
        <w:tc>
          <w:tcPr>
            <w:tcW w:w="90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-3.54</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-2.91</w:t>
            </w:r>
          </w:p>
        </w:tc>
        <w:tc>
          <w:tcPr>
            <w:tcW w:w="764" w:type="dxa"/>
            <w:tcBorders>
              <w:top w:val="nil"/>
              <w:left w:val="nil"/>
              <w:bottom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-2.59</w:t>
            </w:r>
          </w:p>
        </w:tc>
      </w:tr>
      <w:tr w:rsidR="0040631F" w:rsidRPr="00873AF1" w:rsidTr="00873AF1">
        <w:trPr>
          <w:jc w:val="center"/>
        </w:trPr>
        <w:tc>
          <w:tcPr>
            <w:tcW w:w="1614"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 xml:space="preserve">EST </w:t>
            </w:r>
          </w:p>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(variação %)</w:t>
            </w:r>
          </w:p>
        </w:tc>
        <w:tc>
          <w:tcPr>
            <w:tcW w:w="1647"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Constante, tendência</w:t>
            </w:r>
          </w:p>
        </w:tc>
        <w:tc>
          <w:tcPr>
            <w:tcW w:w="709"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51</w:t>
            </w:r>
          </w:p>
        </w:tc>
        <w:tc>
          <w:tcPr>
            <w:tcW w:w="1701"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-3.94</w:t>
            </w:r>
          </w:p>
        </w:tc>
        <w:tc>
          <w:tcPr>
            <w:tcW w:w="793"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0.017</w:t>
            </w:r>
          </w:p>
        </w:tc>
        <w:tc>
          <w:tcPr>
            <w:tcW w:w="904"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-4.14</w:t>
            </w:r>
          </w:p>
        </w:tc>
        <w:tc>
          <w:tcPr>
            <w:tcW w:w="764"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-3.50</w:t>
            </w:r>
          </w:p>
        </w:tc>
        <w:tc>
          <w:tcPr>
            <w:tcW w:w="764" w:type="dxa"/>
            <w:tcBorders>
              <w:top w:val="nil"/>
              <w:left w:val="nil"/>
              <w:right w:val="nil"/>
            </w:tcBorders>
          </w:tcPr>
          <w:p w:rsidR="0040631F" w:rsidRPr="00873AF1" w:rsidRDefault="0040631F" w:rsidP="00873AF1">
            <w:pPr>
              <w:spacing w:after="0" w:line="240" w:lineRule="auto"/>
              <w:rPr>
                <w:rFonts w:ascii="Times New Roman" w:hAnsi="Times New Roman"/>
                <w:sz w:val="24"/>
                <w:szCs w:val="24"/>
              </w:rPr>
            </w:pPr>
            <w:r w:rsidRPr="00873AF1">
              <w:rPr>
                <w:rFonts w:ascii="Times New Roman" w:hAnsi="Times New Roman"/>
                <w:sz w:val="24"/>
                <w:szCs w:val="24"/>
              </w:rPr>
              <w:t>-3.17</w:t>
            </w:r>
          </w:p>
        </w:tc>
      </w:tr>
    </w:tbl>
    <w:p w:rsidR="0040631F" w:rsidRPr="00A62965" w:rsidRDefault="0040631F" w:rsidP="007D12DD">
      <w:pPr>
        <w:spacing w:line="240" w:lineRule="auto"/>
        <w:jc w:val="both"/>
        <w:rPr>
          <w:rFonts w:ascii="Times New Roman" w:hAnsi="Times New Roman"/>
          <w:sz w:val="24"/>
          <w:szCs w:val="24"/>
        </w:rPr>
      </w:pPr>
    </w:p>
    <w:p w:rsidR="0040631F" w:rsidRPr="00A62965" w:rsidRDefault="0040631F" w:rsidP="007D12DD">
      <w:pPr>
        <w:spacing w:line="240" w:lineRule="auto"/>
        <w:jc w:val="both"/>
        <w:rPr>
          <w:rFonts w:ascii="Times New Roman" w:hAnsi="Times New Roman"/>
          <w:sz w:val="24"/>
          <w:szCs w:val="24"/>
        </w:rPr>
      </w:pPr>
      <w:r w:rsidRPr="00A62965">
        <w:rPr>
          <w:rFonts w:ascii="Times New Roman" w:hAnsi="Times New Roman"/>
          <w:sz w:val="24"/>
          <w:szCs w:val="24"/>
        </w:rPr>
        <w:t>Para as séries não estácionárias em nível, utilizou-se as suas variações percentuais, que são estacionárias, de forma a facilitar a interpretação dos resultados. A utilização da variação percentual da variável BCC e EST se justifica na medida em que tanto o saldo da conta corrente e de estoque de IEC, em razão do PIB, quantos suas respectivas variações, captam fenômenos semelhantes, envolvendo alterações nos ativos e passivos do país. Variações positivas (negativas) da variável BCC sinalizam resultados positivos (negativos) dos compromissos externos do país. Variações, positivas ou negativas, do nível de estoque podem influenciar o fluxo de IEC de forma análoga ao seu saldo.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Quanto à variação percentual da taxa de juros americana, embora possa se argumentar que a decisão de investir é muitas vezes mais sensível à variabilidade da taxa de juros do que a seu nível, sobretudo em um contexto de incerteza (ver INGERSOLL e ROSS, 1992), o fluxo de investimento estrangeiro em carteira está associado ao nível da taxa de juros americana (CALVO, 1996; FERNANDEZ-ARIAS, 1996; TAYLOR e SARNO; 1997). Entretanto, assim como o nível da taxa de juros americana influencia a alocação de IEC, pondera-se, intuitivamente, que sua variação (positiva ou negativa) também deva influenciar. Dessa forma, foram testados tanto a sua variação percentual quanto seu nível, ressaltando que a variável em nível pode ser considerada estacionária desde que se rejeite a hipótese nula do Teste Dickey-Fuller aumentado a 13% (vide tabela 1).</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lastRenderedPageBreak/>
        <w:t xml:space="preserve">A tabela 2 mostra a matriz de correlação das variáveis utilizadas no modelo. Destaca-se que nenhuma das variáveis utilizadas apresenta níveis de correlação </w:t>
      </w:r>
      <w:r>
        <w:rPr>
          <w:rFonts w:ascii="Times New Roman" w:hAnsi="Times New Roman"/>
          <w:sz w:val="24"/>
          <w:szCs w:val="24"/>
        </w:rPr>
        <w:t xml:space="preserve">superiores </w:t>
      </w:r>
      <w:r w:rsidRPr="00A62965">
        <w:rPr>
          <w:rFonts w:ascii="Times New Roman" w:hAnsi="Times New Roman"/>
          <w:sz w:val="24"/>
          <w:szCs w:val="24"/>
        </w:rPr>
        <w:t>a 65%.</w:t>
      </w:r>
    </w:p>
    <w:p w:rsidR="0040631F" w:rsidRPr="00A62965" w:rsidRDefault="0040631F" w:rsidP="00F72712">
      <w:pPr>
        <w:ind w:hanging="142"/>
        <w:jc w:val="center"/>
        <w:rPr>
          <w:rFonts w:ascii="Times New Roman" w:hAnsi="Times New Roman"/>
          <w:b/>
          <w:sz w:val="24"/>
          <w:szCs w:val="24"/>
        </w:rPr>
      </w:pPr>
      <w:r w:rsidRPr="00A62965">
        <w:rPr>
          <w:rFonts w:ascii="Times New Roman" w:hAnsi="Times New Roman"/>
          <w:b/>
          <w:sz w:val="24"/>
          <w:szCs w:val="24"/>
        </w:rPr>
        <w:t>Tabela 2 – Matriz de Correlações</w:t>
      </w:r>
    </w:p>
    <w:tbl>
      <w:tblPr>
        <w:tblW w:w="10560" w:type="dxa"/>
        <w:jc w:val="center"/>
        <w:tblBorders>
          <w:top w:val="single" w:sz="4" w:space="0" w:color="auto"/>
          <w:bottom w:val="single" w:sz="4" w:space="0" w:color="auto"/>
        </w:tblBorders>
        <w:tblCellMar>
          <w:left w:w="70" w:type="dxa"/>
          <w:right w:w="70" w:type="dxa"/>
        </w:tblCellMar>
        <w:tblLook w:val="04A0"/>
      </w:tblPr>
      <w:tblGrid>
        <w:gridCol w:w="1088"/>
        <w:gridCol w:w="850"/>
        <w:gridCol w:w="953"/>
        <w:gridCol w:w="831"/>
        <w:gridCol w:w="992"/>
        <w:gridCol w:w="1040"/>
        <w:gridCol w:w="954"/>
        <w:gridCol w:w="958"/>
        <w:gridCol w:w="1159"/>
        <w:gridCol w:w="776"/>
        <w:gridCol w:w="959"/>
      </w:tblGrid>
      <w:tr w:rsidR="0040631F" w:rsidRPr="00873AF1" w:rsidTr="007A29B8">
        <w:trPr>
          <w:trHeight w:val="300"/>
          <w:jc w:val="center"/>
        </w:trPr>
        <w:tc>
          <w:tcPr>
            <w:tcW w:w="1088" w:type="dxa"/>
            <w:tcBorders>
              <w:top w:val="single" w:sz="4" w:space="0" w:color="auto"/>
              <w:bottom w:val="single" w:sz="4" w:space="0" w:color="auto"/>
            </w:tcBorders>
            <w:vAlign w:val="bottom"/>
            <w:hideMark/>
          </w:tcPr>
          <w:p w:rsidR="0040631F" w:rsidRPr="00A62965" w:rsidRDefault="0040631F" w:rsidP="002807C4">
            <w:pPr>
              <w:spacing w:after="0" w:line="240" w:lineRule="auto"/>
              <w:rPr>
                <w:rFonts w:ascii="Times New Roman" w:hAnsi="Times New Roman"/>
                <w:color w:val="000000"/>
                <w:sz w:val="24"/>
                <w:szCs w:val="24"/>
                <w:lang w:eastAsia="pt-BR"/>
              </w:rPr>
            </w:pPr>
          </w:p>
        </w:tc>
        <w:tc>
          <w:tcPr>
            <w:tcW w:w="850"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RCAM</w:t>
            </w:r>
          </w:p>
        </w:tc>
        <w:tc>
          <w:tcPr>
            <w:tcW w:w="953"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INF</w:t>
            </w:r>
          </w:p>
        </w:tc>
        <w:tc>
          <w:tcPr>
            <w:tcW w:w="831"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FLIEC</w:t>
            </w:r>
          </w:p>
        </w:tc>
        <w:tc>
          <w:tcPr>
            <w:tcW w:w="992" w:type="dxa"/>
            <w:tcBorders>
              <w:top w:val="single" w:sz="4" w:space="0" w:color="auto"/>
              <w:bottom w:val="single" w:sz="4" w:space="0" w:color="auto"/>
            </w:tcBorders>
            <w:vAlign w:val="bottom"/>
            <w:hideMark/>
          </w:tcPr>
          <w:p w:rsidR="0040631F" w:rsidRPr="00A62965" w:rsidRDefault="007A29B8"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EST (</w:t>
            </w:r>
            <w:r w:rsidR="0040631F" w:rsidRPr="00A62965">
              <w:rPr>
                <w:rFonts w:ascii="Times New Roman" w:hAnsi="Times New Roman"/>
                <w:color w:val="000000"/>
                <w:sz w:val="24"/>
                <w:szCs w:val="24"/>
                <w:lang w:eastAsia="pt-BR"/>
              </w:rPr>
              <w:t>%)</w:t>
            </w:r>
          </w:p>
        </w:tc>
        <w:tc>
          <w:tcPr>
            <w:tcW w:w="1040" w:type="dxa"/>
            <w:tcBorders>
              <w:top w:val="single" w:sz="4" w:space="0" w:color="auto"/>
              <w:bottom w:val="single" w:sz="4" w:space="0" w:color="auto"/>
            </w:tcBorders>
            <w:vAlign w:val="bottom"/>
            <w:hideMark/>
          </w:tcPr>
          <w:p w:rsidR="0040631F" w:rsidRPr="00A62965" w:rsidRDefault="007A29B8"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USI (%)</w:t>
            </w:r>
          </w:p>
        </w:tc>
        <w:tc>
          <w:tcPr>
            <w:tcW w:w="954"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VRP</w:t>
            </w:r>
          </w:p>
        </w:tc>
        <w:tc>
          <w:tcPr>
            <w:tcW w:w="958"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VCAM</w:t>
            </w:r>
          </w:p>
        </w:tc>
        <w:tc>
          <w:tcPr>
            <w:tcW w:w="1159" w:type="dxa"/>
            <w:tcBorders>
              <w:top w:val="single" w:sz="4" w:space="0" w:color="auto"/>
              <w:bottom w:val="single" w:sz="4" w:space="0" w:color="auto"/>
            </w:tcBorders>
            <w:vAlign w:val="bottom"/>
            <w:hideMark/>
          </w:tcPr>
          <w:p w:rsidR="0040631F" w:rsidRPr="00A62965" w:rsidRDefault="0040631F" w:rsidP="002807C4">
            <w:pPr>
              <w:spacing w:after="0" w:line="240" w:lineRule="auto"/>
              <w:rPr>
                <w:rFonts w:ascii="Times New Roman" w:hAnsi="Times New Roman"/>
                <w:color w:val="000000"/>
                <w:sz w:val="24"/>
                <w:szCs w:val="24"/>
                <w:lang w:eastAsia="pt-BR"/>
              </w:rPr>
            </w:pPr>
            <w:r w:rsidRPr="00A62965">
              <w:rPr>
                <w:rFonts w:ascii="Times New Roman" w:hAnsi="Times New Roman"/>
                <w:color w:val="000000"/>
                <w:sz w:val="24"/>
                <w:szCs w:val="24"/>
                <w:lang w:eastAsia="pt-BR"/>
              </w:rPr>
              <w:t xml:space="preserve"> </w:t>
            </w:r>
            <w:r w:rsidR="007A29B8" w:rsidRPr="00A62965">
              <w:rPr>
                <w:rFonts w:ascii="Times New Roman" w:hAnsi="Times New Roman"/>
                <w:color w:val="000000"/>
                <w:sz w:val="24"/>
                <w:szCs w:val="24"/>
                <w:lang w:eastAsia="pt-BR"/>
              </w:rPr>
              <w:t>BCC (</w:t>
            </w:r>
            <w:r w:rsidRPr="00A62965">
              <w:rPr>
                <w:rFonts w:ascii="Times New Roman" w:hAnsi="Times New Roman"/>
                <w:color w:val="000000"/>
                <w:sz w:val="24"/>
                <w:szCs w:val="24"/>
                <w:lang w:eastAsia="pt-BR"/>
              </w:rPr>
              <w:t>%)</w:t>
            </w:r>
          </w:p>
        </w:tc>
        <w:tc>
          <w:tcPr>
            <w:tcW w:w="776"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CPIB</w:t>
            </w:r>
          </w:p>
        </w:tc>
        <w:tc>
          <w:tcPr>
            <w:tcW w:w="959" w:type="dxa"/>
            <w:tcBorders>
              <w:top w:val="single" w:sz="4" w:space="0" w:color="auto"/>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RMSCI</w:t>
            </w:r>
          </w:p>
        </w:tc>
      </w:tr>
      <w:tr w:rsidR="0040631F" w:rsidRPr="00873AF1" w:rsidTr="007A29B8">
        <w:trPr>
          <w:trHeight w:val="300"/>
          <w:jc w:val="center"/>
        </w:trPr>
        <w:tc>
          <w:tcPr>
            <w:tcW w:w="1088"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RCAM</w:t>
            </w:r>
          </w:p>
        </w:tc>
        <w:tc>
          <w:tcPr>
            <w:tcW w:w="850"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953"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831"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92"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040"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4"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8"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tcBorders>
              <w:top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INF</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0.08</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FLIEC</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-0.45</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-0.02</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EST</w:t>
            </w:r>
            <w:r w:rsidR="00FD507A">
              <w:rPr>
                <w:rFonts w:ascii="Times New Roman" w:hAnsi="Times New Roman"/>
                <w:color w:val="000000"/>
                <w:sz w:val="24"/>
                <w:szCs w:val="24"/>
                <w:lang w:eastAsia="pt-BR"/>
              </w:rPr>
              <w:t xml:space="preserve"> </w:t>
            </w:r>
            <w:r w:rsidR="00FD507A" w:rsidRPr="00A62965">
              <w:rPr>
                <w:rFonts w:ascii="Times New Roman" w:hAnsi="Times New Roman"/>
                <w:color w:val="000000"/>
                <w:sz w:val="24"/>
                <w:szCs w:val="24"/>
                <w:lang w:eastAsia="pt-BR"/>
              </w:rPr>
              <w:t>(%)</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0.01</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0.32</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0.16</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7A29B8"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USI (%)</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-0.10</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0.00</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0.08</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0.00</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VRP</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0.17</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0.08</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-0.51</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-0.04</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-0.31</w:t>
            </w: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VCAM</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-0.46</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0.14</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0.34</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-0.03</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0.04</w:t>
            </w: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-0.46</w:t>
            </w: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7A29B8"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BCC (</w:t>
            </w:r>
            <w:r w:rsidR="00173BB5" w:rsidRPr="00A62965">
              <w:rPr>
                <w:rFonts w:ascii="Times New Roman" w:hAnsi="Times New Roman"/>
                <w:color w:val="000000"/>
                <w:sz w:val="24"/>
                <w:szCs w:val="24"/>
                <w:lang w:eastAsia="pt-BR"/>
              </w:rPr>
              <w:t>%)</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-0.10</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-0.22</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0.09</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-0.09</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-0.05</w:t>
            </w: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-0.05</w:t>
            </w: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0.02</w:t>
            </w: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CPIB</w:t>
            </w:r>
          </w:p>
        </w:tc>
        <w:tc>
          <w:tcPr>
            <w:tcW w:w="85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-0.13</w:t>
            </w:r>
          </w:p>
        </w:tc>
        <w:tc>
          <w:tcPr>
            <w:tcW w:w="953"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-0.16</w:t>
            </w:r>
          </w:p>
        </w:tc>
        <w:tc>
          <w:tcPr>
            <w:tcW w:w="831"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0.21</w:t>
            </w:r>
          </w:p>
        </w:tc>
        <w:tc>
          <w:tcPr>
            <w:tcW w:w="992"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-0.27</w:t>
            </w:r>
          </w:p>
        </w:tc>
        <w:tc>
          <w:tcPr>
            <w:tcW w:w="1040"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0.22</w:t>
            </w:r>
          </w:p>
        </w:tc>
        <w:tc>
          <w:tcPr>
            <w:tcW w:w="954"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-0.24</w:t>
            </w:r>
          </w:p>
        </w:tc>
        <w:tc>
          <w:tcPr>
            <w:tcW w:w="958"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0.13</w:t>
            </w:r>
          </w:p>
        </w:tc>
        <w:tc>
          <w:tcPr>
            <w:tcW w:w="11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0.21</w:t>
            </w:r>
          </w:p>
        </w:tc>
        <w:tc>
          <w:tcPr>
            <w:tcW w:w="776"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c>
          <w:tcPr>
            <w:tcW w:w="959" w:type="dxa"/>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p>
        </w:tc>
      </w:tr>
      <w:tr w:rsidR="0040631F" w:rsidRPr="00873AF1" w:rsidTr="007A29B8">
        <w:trPr>
          <w:trHeight w:val="300"/>
          <w:jc w:val="center"/>
        </w:trPr>
        <w:tc>
          <w:tcPr>
            <w:tcW w:w="1088"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RMSCI</w:t>
            </w:r>
          </w:p>
        </w:tc>
        <w:tc>
          <w:tcPr>
            <w:tcW w:w="850"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-0.13</w:t>
            </w:r>
          </w:p>
        </w:tc>
        <w:tc>
          <w:tcPr>
            <w:tcW w:w="953"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0.04</w:t>
            </w:r>
          </w:p>
        </w:tc>
        <w:tc>
          <w:tcPr>
            <w:tcW w:w="831"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0.41</w:t>
            </w:r>
          </w:p>
        </w:tc>
        <w:tc>
          <w:tcPr>
            <w:tcW w:w="992"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0.06</w:t>
            </w:r>
          </w:p>
        </w:tc>
        <w:tc>
          <w:tcPr>
            <w:tcW w:w="1040"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0.25</w:t>
            </w:r>
          </w:p>
        </w:tc>
        <w:tc>
          <w:tcPr>
            <w:tcW w:w="954"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-0.37</w:t>
            </w:r>
          </w:p>
        </w:tc>
        <w:tc>
          <w:tcPr>
            <w:tcW w:w="958"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0.59</w:t>
            </w:r>
          </w:p>
        </w:tc>
        <w:tc>
          <w:tcPr>
            <w:tcW w:w="1159"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0.08</w:t>
            </w:r>
          </w:p>
        </w:tc>
        <w:tc>
          <w:tcPr>
            <w:tcW w:w="776"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0.11</w:t>
            </w:r>
          </w:p>
        </w:tc>
        <w:tc>
          <w:tcPr>
            <w:tcW w:w="959" w:type="dxa"/>
            <w:tcBorders>
              <w:bottom w:val="single" w:sz="4" w:space="0" w:color="auto"/>
            </w:tcBorders>
            <w:vAlign w:val="bottom"/>
            <w:hideMark/>
          </w:tcPr>
          <w:p w:rsidR="0040631F" w:rsidRPr="00A62965" w:rsidRDefault="0040631F" w:rsidP="002807C4">
            <w:pPr>
              <w:spacing w:after="0" w:line="240" w:lineRule="auto"/>
              <w:jc w:val="center"/>
              <w:rPr>
                <w:rFonts w:ascii="Times New Roman" w:hAnsi="Times New Roman"/>
                <w:color w:val="000000"/>
                <w:sz w:val="24"/>
                <w:szCs w:val="24"/>
                <w:lang w:eastAsia="pt-BR"/>
              </w:rPr>
            </w:pPr>
            <w:r w:rsidRPr="00A62965">
              <w:rPr>
                <w:rFonts w:ascii="Times New Roman" w:hAnsi="Times New Roman"/>
                <w:color w:val="000000"/>
                <w:sz w:val="24"/>
                <w:szCs w:val="24"/>
                <w:lang w:eastAsia="pt-BR"/>
              </w:rPr>
              <w:t>1.00</w:t>
            </w:r>
          </w:p>
        </w:tc>
      </w:tr>
    </w:tbl>
    <w:p w:rsidR="0040631F" w:rsidRPr="00A62965" w:rsidRDefault="0040631F" w:rsidP="000C3593">
      <w:pPr>
        <w:spacing w:line="240" w:lineRule="auto"/>
        <w:jc w:val="both"/>
        <w:rPr>
          <w:rFonts w:ascii="Times New Roman" w:hAnsi="Times New Roman"/>
          <w:sz w:val="24"/>
          <w:szCs w:val="24"/>
        </w:rPr>
      </w:pP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Para assegurar que os parâmetros estimados sejam não viesados e que o modelo seja eficiente recorre-se ao teste de exogeneidade fraca das variáveis. Engle (1983) ressalta que ao assumir que uma variável é exógena ao modelo, quando, na verdade, ela não é, a estimação por uma única equação gera estimadores viesados (viés de endogeneidade). Ademais, a estimação de um sistema uniequacional não é eficiente caso as variáveis assumidas como exógenas não o sejam. O teste de exogeneidade fraca utilizado busca verificar se os resíduos da equação do fluxo de IEC (equação principal) são significativos nos processos marginais. Constitui, portanto, uma versão do teste proposto por Engle (1983) e demonstrado por Nakane (1993). </w:t>
      </w:r>
    </w:p>
    <w:p w:rsidR="0040631F" w:rsidRPr="00A62965" w:rsidRDefault="0040631F" w:rsidP="00F72712">
      <w:pPr>
        <w:spacing w:line="240" w:lineRule="auto"/>
        <w:jc w:val="both"/>
        <w:rPr>
          <w:rFonts w:ascii="Times New Roman" w:hAnsi="Times New Roman"/>
          <w:sz w:val="24"/>
          <w:szCs w:val="24"/>
        </w:rPr>
      </w:pPr>
      <w:r w:rsidRPr="00A62965">
        <w:rPr>
          <w:rFonts w:ascii="Times New Roman" w:hAnsi="Times New Roman"/>
          <w:sz w:val="24"/>
          <w:szCs w:val="24"/>
        </w:rPr>
        <w:t xml:space="preserve">Os resultados da estimação são apresentados nas tabelas em anexo e a modelagem das equações marginais é apresentada no quadro abaixo. É importante frisar que necessariamente devem-se utilizar variáveis exógenas ou predeterminadas na formulação da equação marginal. Nesse sentido, a variação percentual da taxa Selic a.a. (SEL), determinada exogenamente pelo Banco Central, ainda que não conste no rol de variáveis do modelo, foi também empregada na construção das equações marginais. Além da variável SEL, utilizou-se uma variável </w:t>
      </w:r>
      <w:r w:rsidRPr="00A62965">
        <w:rPr>
          <w:rFonts w:ascii="Times New Roman" w:hAnsi="Times New Roman"/>
          <w:i/>
          <w:sz w:val="24"/>
          <w:szCs w:val="24"/>
        </w:rPr>
        <w:t>dummy</w:t>
      </w:r>
      <w:r w:rsidRPr="00A62965">
        <w:rPr>
          <w:rFonts w:ascii="Times New Roman" w:hAnsi="Times New Roman"/>
          <w:sz w:val="24"/>
          <w:szCs w:val="24"/>
        </w:rPr>
        <w:t xml:space="preserve"> para o câmbio (DCAM) cujo valor é igual 1 nos seguintes períodos: desvalorização cambial em 1999, eleições de 2002 e o período da crise americana em que houve variação mais acentuada do câmbio real - terceiro trimestre de 2008. Observa-se também a presença de não normalidade dos resíduos em parte das equações marginais. Para tal problema, nos modelos com heteroscedasticidade condicional, utilizaram-se erros-padrão e covariância robustos de Bollerslev-Wooldbridge.</w:t>
      </w:r>
    </w:p>
    <w:p w:rsidR="0040631F" w:rsidRDefault="0040631F" w:rsidP="00A62965">
      <w:pPr>
        <w:jc w:val="center"/>
        <w:rPr>
          <w:rFonts w:ascii="Times New Roman" w:hAnsi="Times New Roman"/>
          <w:b/>
          <w:sz w:val="24"/>
          <w:szCs w:val="24"/>
        </w:rPr>
      </w:pPr>
    </w:p>
    <w:p w:rsidR="0040631F" w:rsidRDefault="0040631F" w:rsidP="00A62965">
      <w:pPr>
        <w:jc w:val="center"/>
        <w:rPr>
          <w:rFonts w:ascii="Times New Roman" w:hAnsi="Times New Roman"/>
          <w:b/>
          <w:sz w:val="24"/>
          <w:szCs w:val="24"/>
        </w:rPr>
      </w:pPr>
    </w:p>
    <w:p w:rsidR="00554699" w:rsidRDefault="00554699" w:rsidP="00A62965">
      <w:pPr>
        <w:jc w:val="center"/>
        <w:rPr>
          <w:rFonts w:ascii="Times New Roman" w:hAnsi="Times New Roman"/>
          <w:b/>
          <w:sz w:val="24"/>
          <w:szCs w:val="24"/>
        </w:rPr>
      </w:pPr>
    </w:p>
    <w:p w:rsidR="00554699" w:rsidRDefault="00554699" w:rsidP="00A62965">
      <w:pPr>
        <w:jc w:val="center"/>
        <w:rPr>
          <w:rFonts w:ascii="Times New Roman" w:hAnsi="Times New Roman"/>
          <w:b/>
          <w:sz w:val="24"/>
          <w:szCs w:val="24"/>
        </w:rPr>
      </w:pPr>
    </w:p>
    <w:p w:rsidR="00554699" w:rsidRDefault="00554699" w:rsidP="00A62965">
      <w:pPr>
        <w:jc w:val="center"/>
        <w:rPr>
          <w:rFonts w:ascii="Times New Roman" w:hAnsi="Times New Roman"/>
          <w:b/>
          <w:sz w:val="24"/>
          <w:szCs w:val="24"/>
        </w:rPr>
      </w:pPr>
    </w:p>
    <w:p w:rsidR="00554699" w:rsidRDefault="00554699" w:rsidP="00A62965">
      <w:pPr>
        <w:jc w:val="center"/>
        <w:rPr>
          <w:rFonts w:ascii="Times New Roman" w:hAnsi="Times New Roman"/>
          <w:b/>
          <w:sz w:val="24"/>
          <w:szCs w:val="24"/>
        </w:rPr>
      </w:pPr>
    </w:p>
    <w:p w:rsidR="00554699" w:rsidRDefault="00554699" w:rsidP="00A62965">
      <w:pPr>
        <w:jc w:val="center"/>
        <w:rPr>
          <w:rFonts w:ascii="Times New Roman" w:hAnsi="Times New Roman"/>
          <w:b/>
          <w:sz w:val="24"/>
          <w:szCs w:val="24"/>
        </w:rPr>
      </w:pPr>
    </w:p>
    <w:p w:rsidR="0040631F" w:rsidRPr="00A62965" w:rsidRDefault="0040631F" w:rsidP="00A62965">
      <w:pPr>
        <w:jc w:val="center"/>
        <w:rPr>
          <w:rFonts w:ascii="Times New Roman" w:hAnsi="Times New Roman"/>
          <w:b/>
          <w:sz w:val="24"/>
          <w:szCs w:val="24"/>
        </w:rPr>
      </w:pPr>
      <w:r w:rsidRPr="00A62965">
        <w:rPr>
          <w:rFonts w:ascii="Times New Roman" w:hAnsi="Times New Roman"/>
          <w:b/>
          <w:sz w:val="24"/>
          <w:szCs w:val="24"/>
        </w:rPr>
        <w:lastRenderedPageBreak/>
        <w:t>Quadro 1 – Modelagem das equações marginais para as variáveis independentes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6483"/>
      </w:tblGrid>
      <w:tr w:rsidR="0040631F" w:rsidRPr="00873AF1" w:rsidTr="00873AF1">
        <w:trPr>
          <w:jc w:val="center"/>
        </w:trPr>
        <w:tc>
          <w:tcPr>
            <w:tcW w:w="2161" w:type="dxa"/>
            <w:tcBorders>
              <w:left w:val="nil"/>
              <w:bottom w:val="single" w:sz="4" w:space="0" w:color="000000"/>
              <w:right w:val="single" w:sz="4" w:space="0" w:color="000000"/>
            </w:tcBorders>
          </w:tcPr>
          <w:p w:rsidR="0040631F" w:rsidRPr="00873AF1" w:rsidRDefault="0040631F" w:rsidP="00873AF1">
            <w:pPr>
              <w:spacing w:after="0" w:line="240" w:lineRule="auto"/>
              <w:jc w:val="both"/>
            </w:pPr>
            <w:r w:rsidRPr="00873AF1">
              <w:t>Variável Independente</w:t>
            </w:r>
          </w:p>
        </w:tc>
        <w:tc>
          <w:tcPr>
            <w:tcW w:w="6483" w:type="dxa"/>
            <w:tcBorders>
              <w:left w:val="single" w:sz="4" w:space="0" w:color="000000"/>
              <w:bottom w:val="single" w:sz="4" w:space="0" w:color="000000"/>
              <w:right w:val="nil"/>
            </w:tcBorders>
          </w:tcPr>
          <w:p w:rsidR="0040631F" w:rsidRPr="00873AF1" w:rsidRDefault="0040631F" w:rsidP="00873AF1">
            <w:pPr>
              <w:spacing w:after="0" w:line="240" w:lineRule="auto"/>
              <w:jc w:val="both"/>
            </w:pPr>
            <w:r w:rsidRPr="00873AF1">
              <w:t>Equação</w:t>
            </w:r>
          </w:p>
        </w:tc>
      </w:tr>
      <w:tr w:rsidR="0040631F" w:rsidRPr="00873AF1" w:rsidTr="00873AF1">
        <w:trPr>
          <w:jc w:val="center"/>
        </w:trPr>
        <w:tc>
          <w:tcPr>
            <w:tcW w:w="2161" w:type="dxa"/>
            <w:tcBorders>
              <w:left w:val="nil"/>
              <w:bottom w:val="nil"/>
              <w:right w:val="nil"/>
            </w:tcBorders>
          </w:tcPr>
          <w:p w:rsidR="0040631F" w:rsidRPr="00873AF1" w:rsidRDefault="0040631F" w:rsidP="00873AF1">
            <w:pPr>
              <w:spacing w:after="0" w:line="240" w:lineRule="auto"/>
              <w:jc w:val="both"/>
            </w:pPr>
            <w:r w:rsidRPr="00873AF1">
              <w:t>CPIB</w:t>
            </w:r>
          </w:p>
        </w:tc>
        <w:tc>
          <w:tcPr>
            <w:tcW w:w="6483" w:type="dxa"/>
            <w:tcBorders>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CPIB</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CPIB</m:t>
                    </m:r>
                  </m:e>
                  <m:sub>
                    <m:r>
                      <w:rPr>
                        <w:rFonts w:ascii="Cambria Math" w:hAnsi="Cambria Math"/>
                      </w:rPr>
                      <m:t>t-4</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SEL</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CPIB, t</m:t>
                    </m:r>
                  </m:sub>
                </m:sSub>
              </m:oMath>
            </m:oMathPara>
          </w:p>
          <w:p w:rsidR="0040631F" w:rsidRPr="00873AF1" w:rsidRDefault="0040631F" w:rsidP="00873AF1">
            <w:pPr>
              <w:spacing w:after="0" w:line="240" w:lineRule="auto"/>
            </w:pPr>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INF</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INF</m:t>
                </m:r>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INF</m:t>
                    </m:r>
                  </m:e>
                  <m:sub>
                    <m:r>
                      <w:rPr>
                        <w:rFonts w:ascii="Cambria Math" w:hAnsi="Cambria Math"/>
                      </w:rPr>
                      <m:t>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VCAM</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INF, t</m:t>
                    </m:r>
                  </m:sub>
                </m:sSub>
              </m:oMath>
            </m:oMathPara>
          </w:p>
          <w:p w:rsidR="0040631F" w:rsidRPr="00873AF1" w:rsidRDefault="0040631F" w:rsidP="00873AF1">
            <w:pPr>
              <w:spacing w:after="0" w:line="240" w:lineRule="auto"/>
            </w:pPr>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RCAM</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RCAM</m:t>
                </m:r>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RCAM</m:t>
                    </m:r>
                  </m:e>
                  <m:sub>
                    <m:r>
                      <w:rPr>
                        <w:rFonts w:ascii="Cambria Math" w:hAnsi="Cambria Math"/>
                      </w:rPr>
                      <m:t>t-6</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USI+</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DCAM+ </m:t>
                </m:r>
                <m:sSub>
                  <m:sSubPr>
                    <m:ctrlPr>
                      <w:rPr>
                        <w:rFonts w:ascii="Cambria Math" w:hAnsi="Cambria Math"/>
                        <w:i/>
                      </w:rPr>
                    </m:ctrlPr>
                  </m:sSubPr>
                  <m:e>
                    <m:r>
                      <w:rPr>
                        <w:rFonts w:ascii="Cambria Math" w:hAnsi="Cambria Math"/>
                      </w:rPr>
                      <m:t>e</m:t>
                    </m:r>
                  </m:e>
                  <m:sub>
                    <m:r>
                      <w:rPr>
                        <w:rFonts w:ascii="Cambria Math" w:hAnsi="Cambria Math"/>
                      </w:rPr>
                      <m:t>INF, t</m:t>
                    </m:r>
                  </m:sub>
                </m:sSub>
              </m:oMath>
            </m:oMathPara>
          </w:p>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Sup>
                  <m:sSubSupPr>
                    <m:ctrlPr>
                      <w:rPr>
                        <w:rFonts w:ascii="Cambria Math" w:hAnsi="Cambria Math"/>
                        <w:i/>
                      </w:rPr>
                    </m:ctrlPr>
                  </m:sSubSupPr>
                  <m:e>
                    <m:r>
                      <w:rPr>
                        <w:rFonts w:ascii="Cambria Math" w:hAnsi="Cambria Math"/>
                      </w:rPr>
                      <m:t>ε</m:t>
                    </m:r>
                  </m:e>
                  <m:sub>
                    <m:r>
                      <w:rPr>
                        <w:rFonts w:ascii="Cambria Math" w:hAnsi="Cambria Math"/>
                      </w:rPr>
                      <m:t>t-1</m:t>
                    </m:r>
                  </m:sub>
                  <m:sup>
                    <m:r>
                      <w:rPr>
                        <w:rFonts w:ascii="Cambria Math" w:hAnsi="Cambria Math"/>
                      </w:rPr>
                      <m:t>2</m:t>
                    </m:r>
                  </m:sup>
                </m:sSubSup>
              </m:oMath>
            </m:oMathPara>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RMSCI</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RMSCI</m:t>
                </m:r>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2</m:t>
                    </m:r>
                  </m:sub>
                </m:sSub>
                <m:sSub>
                  <m:sSubPr>
                    <m:ctrlPr>
                      <w:rPr>
                        <w:rFonts w:ascii="Cambria Math" w:hAnsi="Cambria Math"/>
                        <w:i/>
                      </w:rPr>
                    </m:ctrlPr>
                  </m:sSubPr>
                  <m:e>
                    <m:r>
                      <w:rPr>
                        <w:rFonts w:ascii="Cambria Math" w:hAnsi="Cambria Math"/>
                      </w:rPr>
                      <m:t>RMSCI</m:t>
                    </m:r>
                  </m:e>
                  <m:sub>
                    <m:r>
                      <w:rPr>
                        <w:rFonts w:ascii="Cambria Math" w:hAnsi="Cambria Math"/>
                      </w:rPr>
                      <m:t>t-5</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3</m:t>
                    </m:r>
                  </m:sub>
                </m:sSub>
                <m:r>
                  <w:rPr>
                    <w:rFonts w:ascii="Cambria Math" w:hAnsi="Cambria Math"/>
                  </w:rPr>
                  <m:t>USI+</m:t>
                </m:r>
                <m:sSub>
                  <m:sSubPr>
                    <m:ctrlPr>
                      <w:rPr>
                        <w:rFonts w:ascii="Cambria Math" w:hAnsi="Cambria Math"/>
                        <w:i/>
                      </w:rPr>
                    </m:ctrlPr>
                  </m:sSubPr>
                  <m:e>
                    <m:r>
                      <w:rPr>
                        <w:rFonts w:ascii="Cambria Math" w:hAnsi="Cambria Math"/>
                      </w:rPr>
                      <m:t>η</m:t>
                    </m:r>
                  </m:e>
                  <m:sub>
                    <m:r>
                      <w:rPr>
                        <w:rFonts w:ascii="Cambria Math" w:hAnsi="Cambria Math"/>
                      </w:rPr>
                      <m:t>4</m:t>
                    </m:r>
                  </m:sub>
                </m:sSub>
                <m:r>
                  <w:rPr>
                    <w:rFonts w:ascii="Cambria Math" w:hAnsi="Cambria Math"/>
                  </w:rPr>
                  <m:t>DCAM+</m:t>
                </m:r>
                <m:sSub>
                  <m:sSubPr>
                    <m:ctrlPr>
                      <w:rPr>
                        <w:rFonts w:ascii="Cambria Math" w:hAnsi="Cambria Math"/>
                        <w:i/>
                      </w:rPr>
                    </m:ctrlPr>
                  </m:sSubPr>
                  <m:e>
                    <m:r>
                      <w:rPr>
                        <w:rFonts w:ascii="Cambria Math" w:hAnsi="Cambria Math"/>
                      </w:rPr>
                      <m:t>e</m:t>
                    </m:r>
                  </m:e>
                  <m:sub>
                    <m:r>
                      <w:rPr>
                        <w:rFonts w:ascii="Cambria Math" w:hAnsi="Cambria Math"/>
                      </w:rPr>
                      <m:t>RMSCI, t</m:t>
                    </m:r>
                  </m:sub>
                </m:sSub>
              </m:oMath>
            </m:oMathPara>
          </w:p>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t-2</m:t>
                    </m:r>
                  </m:sub>
                </m:sSub>
              </m:oMath>
            </m:oMathPara>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BCC</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BCC</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BCC</m:t>
                    </m:r>
                  </m:e>
                  <m:sub>
                    <m:r>
                      <w:rPr>
                        <w:rFonts w:ascii="Cambria Math" w:hAnsi="Cambria Math"/>
                      </w:rPr>
                      <m:t>t-3</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BCC</m:t>
                    </m:r>
                  </m:e>
                  <m:sub>
                    <m:r>
                      <w:rPr>
                        <w:rFonts w:ascii="Cambria Math" w:hAnsi="Cambria Math"/>
                      </w:rPr>
                      <m:t>t-5</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BCC, t</m:t>
                    </m:r>
                  </m:sub>
                </m:sSub>
              </m:oMath>
            </m:oMathPara>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VCAM</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VCAM</m:t>
                </m:r>
                <m:r>
                  <w:rPr>
                    <w:rFonts w:ascii="Cambria Math" w:hAnsi="Cambria Math"/>
                  </w:rPr>
                  <m:t>=</m:t>
                </m:r>
                <m:sSub>
                  <m:sSubPr>
                    <m:ctrlPr>
                      <w:rPr>
                        <w:rFonts w:ascii="Cambria Math" w:hAnsi="Cambria Math"/>
                        <w:i/>
                      </w:rPr>
                    </m:ctrlPr>
                  </m:sSubPr>
                  <m:e>
                    <m:r>
                      <w:rPr>
                        <w:rFonts w:ascii="Cambria Math" w:hAnsi="Cambria Math"/>
                      </w:rPr>
                      <m:t>ϑ</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ϑ</m:t>
                    </m:r>
                  </m:e>
                  <m:sub>
                    <m:r>
                      <w:rPr>
                        <w:rFonts w:ascii="Cambria Math" w:hAnsi="Cambria Math"/>
                      </w:rPr>
                      <m:t>1</m:t>
                    </m:r>
                  </m:sub>
                </m:sSub>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m:t>
                        </m:r>
                      </m:sub>
                    </m:sSub>
                  </m:e>
                </m:rad>
                <m:r>
                  <w:rPr>
                    <w:rFonts w:ascii="Cambria Math" w:hAnsi="Cambria Math"/>
                  </w:rPr>
                  <m:t>+</m:t>
                </m:r>
                <m:sSub>
                  <m:sSubPr>
                    <m:ctrlPr>
                      <w:rPr>
                        <w:rFonts w:ascii="Cambria Math" w:hAnsi="Cambria Math"/>
                        <w:i/>
                      </w:rPr>
                    </m:ctrlPr>
                  </m:sSubPr>
                  <m:e>
                    <m:r>
                      <w:rPr>
                        <w:rFonts w:ascii="Cambria Math" w:hAnsi="Cambria Math"/>
                      </w:rPr>
                      <m:t>ϑ</m:t>
                    </m:r>
                  </m:e>
                  <m:sub>
                    <m:r>
                      <w:rPr>
                        <w:rFonts w:ascii="Cambria Math" w:hAnsi="Cambria Math"/>
                      </w:rPr>
                      <m:t>2</m:t>
                    </m:r>
                  </m:sub>
                </m:sSub>
                <m:r>
                  <w:rPr>
                    <w:rFonts w:ascii="Cambria Math" w:hAnsi="Cambria Math"/>
                  </w:rPr>
                  <m:t>DCAM+</m:t>
                </m:r>
                <m:sSub>
                  <m:sSubPr>
                    <m:ctrlPr>
                      <w:rPr>
                        <w:rFonts w:ascii="Cambria Math" w:hAnsi="Cambria Math"/>
                        <w:i/>
                      </w:rPr>
                    </m:ctrlPr>
                  </m:sSubPr>
                  <m:e>
                    <m:r>
                      <w:rPr>
                        <w:rFonts w:ascii="Cambria Math" w:hAnsi="Cambria Math"/>
                      </w:rPr>
                      <m:t>e</m:t>
                    </m:r>
                  </m:e>
                  <m:sub>
                    <m:r>
                      <w:rPr>
                        <w:rFonts w:ascii="Cambria Math" w:hAnsi="Cambria Math"/>
                      </w:rPr>
                      <m:t>VCAM, t</m:t>
                    </m:r>
                  </m:sub>
                </m:sSub>
              </m:oMath>
            </m:oMathPara>
          </w:p>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ι</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ι</m:t>
                    </m:r>
                  </m:e>
                  <m:sub>
                    <m:r>
                      <w:rPr>
                        <w:rFonts w:ascii="Cambria Math" w:hAnsi="Cambria Math"/>
                      </w:rPr>
                      <m:t>1</m:t>
                    </m:r>
                  </m:sub>
                </m:sSub>
                <m:sSubSup>
                  <m:sSubSupPr>
                    <m:ctrlPr>
                      <w:rPr>
                        <w:rFonts w:ascii="Cambria Math" w:hAnsi="Cambria Math"/>
                        <w:i/>
                      </w:rPr>
                    </m:ctrlPr>
                  </m:sSubSupPr>
                  <m:e>
                    <m:r>
                      <w:rPr>
                        <w:rFonts w:ascii="Cambria Math" w:hAnsi="Cambria Math"/>
                      </w:rPr>
                      <m:t>ε</m:t>
                    </m:r>
                  </m:e>
                  <m:sub>
                    <m:r>
                      <w:rPr>
                        <w:rFonts w:ascii="Cambria Math" w:hAnsi="Cambria Math"/>
                      </w:rPr>
                      <m:t>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ι</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t-1</m:t>
                    </m:r>
                  </m:sub>
                </m:sSub>
              </m:oMath>
            </m:oMathPara>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EST</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EST</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κ</m:t>
                        </m:r>
                      </m:e>
                      <m:sub>
                        <m:r>
                          <w:rPr>
                            <w:rFonts w:ascii="Cambria Math" w:hAnsi="Cambria Math"/>
                          </w:rPr>
                          <m:t>1</m:t>
                        </m:r>
                      </m:sub>
                    </m:sSub>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m:t>
                            </m:r>
                          </m:sub>
                        </m:sSub>
                      </m:e>
                    </m:rad>
                    <m:r>
                      <w:rPr>
                        <w:rFonts w:ascii="Cambria Math" w:hAnsi="Cambria Math"/>
                      </w:rPr>
                      <m:t>+κ</m:t>
                    </m:r>
                  </m:e>
                  <m:sub>
                    <m:r>
                      <w:rPr>
                        <w:rFonts w:ascii="Cambria Math" w:hAnsi="Cambria Math"/>
                      </w:rPr>
                      <m:t>2</m:t>
                    </m:r>
                  </m:sub>
                </m:sSub>
                <m:sSub>
                  <m:sSubPr>
                    <m:ctrlPr>
                      <w:rPr>
                        <w:rFonts w:ascii="Cambria Math" w:hAnsi="Cambria Math"/>
                        <w:i/>
                      </w:rPr>
                    </m:ctrlPr>
                  </m:sSubPr>
                  <m:e>
                    <m:r>
                      <w:rPr>
                        <w:rFonts w:ascii="Cambria Math" w:hAnsi="Cambria Math"/>
                      </w:rPr>
                      <m:t>EST</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κ</m:t>
                    </m:r>
                  </m:e>
                  <m:sub>
                    <m:r>
                      <w:rPr>
                        <w:rFonts w:ascii="Cambria Math" w:hAnsi="Cambria Math"/>
                      </w:rPr>
                      <m:t>3</m:t>
                    </m:r>
                  </m:sub>
                </m:sSub>
                <m:r>
                  <w:rPr>
                    <w:rFonts w:ascii="Cambria Math" w:hAnsi="Cambria Math"/>
                  </w:rPr>
                  <m:t>RCAM+</m:t>
                </m:r>
                <m:sSub>
                  <m:sSubPr>
                    <m:ctrlPr>
                      <w:rPr>
                        <w:rFonts w:ascii="Cambria Math" w:hAnsi="Cambria Math"/>
                        <w:i/>
                      </w:rPr>
                    </m:ctrlPr>
                  </m:sSubPr>
                  <m:e>
                    <m:r>
                      <w:rPr>
                        <w:rFonts w:ascii="Cambria Math" w:hAnsi="Cambria Math"/>
                      </w:rPr>
                      <m:t>κ</m:t>
                    </m:r>
                  </m:e>
                  <m:sub>
                    <m:r>
                      <w:rPr>
                        <w:rFonts w:ascii="Cambria Math" w:hAnsi="Cambria Math"/>
                      </w:rPr>
                      <m:t>4</m:t>
                    </m:r>
                  </m:sub>
                </m:sSub>
                <m:sSub>
                  <m:sSubPr>
                    <m:ctrlPr>
                      <w:rPr>
                        <w:rFonts w:ascii="Cambria Math" w:hAnsi="Cambria Math"/>
                        <w:i/>
                      </w:rPr>
                    </m:ctrlPr>
                  </m:sSubPr>
                  <m:e>
                    <m:r>
                      <w:rPr>
                        <w:rFonts w:ascii="Cambria Math" w:hAnsi="Cambria Math"/>
                      </w:rPr>
                      <m:t>RCAM</m:t>
                    </m:r>
                  </m:e>
                  <m:sub>
                    <m:r>
                      <w:rPr>
                        <w:rFonts w:ascii="Cambria Math" w:hAnsi="Cambria Math"/>
                      </w:rPr>
                      <m:t>t-3</m:t>
                    </m:r>
                  </m:sub>
                </m:sSub>
                <m:sSub>
                  <m:sSubPr>
                    <m:ctrlPr>
                      <w:rPr>
                        <w:rFonts w:ascii="Cambria Math" w:hAnsi="Cambria Math"/>
                        <w:i/>
                      </w:rPr>
                    </m:ctrlPr>
                  </m:sSubPr>
                  <m:e>
                    <m:r>
                      <w:rPr>
                        <w:rFonts w:ascii="Cambria Math" w:hAnsi="Cambria Math"/>
                      </w:rPr>
                      <m:t>+e</m:t>
                    </m:r>
                  </m:e>
                  <m:sub>
                    <m:r>
                      <w:rPr>
                        <w:rFonts w:ascii="Cambria Math" w:hAnsi="Cambria Math"/>
                      </w:rPr>
                      <m:t>EST, t</m:t>
                    </m:r>
                  </m:sub>
                </m:sSub>
              </m:oMath>
            </m:oMathPara>
          </w:p>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t-1</m:t>
                    </m:r>
                  </m:sub>
                </m:sSub>
              </m:oMath>
            </m:oMathPara>
          </w:p>
        </w:tc>
      </w:tr>
      <w:tr w:rsidR="0040631F" w:rsidRPr="00873AF1" w:rsidTr="00873AF1">
        <w:trPr>
          <w:jc w:val="center"/>
        </w:trPr>
        <w:tc>
          <w:tcPr>
            <w:tcW w:w="2161" w:type="dxa"/>
            <w:tcBorders>
              <w:top w:val="nil"/>
              <w:left w:val="nil"/>
              <w:bottom w:val="nil"/>
              <w:right w:val="nil"/>
            </w:tcBorders>
          </w:tcPr>
          <w:p w:rsidR="0040631F" w:rsidRPr="00873AF1" w:rsidRDefault="0040631F" w:rsidP="00873AF1">
            <w:pPr>
              <w:spacing w:after="0" w:line="240" w:lineRule="auto"/>
              <w:jc w:val="both"/>
            </w:pPr>
            <w:r w:rsidRPr="00873AF1">
              <w:t>VRP</w:t>
            </w:r>
          </w:p>
        </w:tc>
        <w:tc>
          <w:tcPr>
            <w:tcW w:w="6483" w:type="dxa"/>
            <w:tcBorders>
              <w:top w:val="nil"/>
              <w:left w:val="nil"/>
              <w:bottom w:val="nil"/>
              <w:right w:val="nil"/>
            </w:tcBorders>
          </w:tcPr>
          <w:p w:rsidR="0040631F" w:rsidRPr="00873AF1" w:rsidRDefault="004D5DDD" w:rsidP="00873AF1">
            <w:pPr>
              <w:spacing w:after="0" w:line="240" w:lineRule="auto"/>
            </w:pPr>
            <m:oMathPara>
              <m:oMath>
                <m:r>
                  <w:rPr>
                    <w:rFonts w:ascii="Cambria Math" w:eastAsia="Calibri" w:hAnsi="Cambria Math"/>
                  </w:rPr>
                  <m:t>VRP</m:t>
                </m:r>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1</m:t>
                    </m:r>
                  </m:sub>
                </m:sSub>
                <m:r>
                  <w:rPr>
                    <w:rFonts w:ascii="Cambria Math" w:hAnsi="Cambria Math"/>
                  </w:rPr>
                  <m:t>VSEL</m:t>
                </m:r>
                <m:sSub>
                  <m:sSubPr>
                    <m:ctrlPr>
                      <w:rPr>
                        <w:rFonts w:ascii="Cambria Math" w:hAnsi="Cambria Math"/>
                        <w:i/>
                      </w:rPr>
                    </m:ctrlPr>
                  </m:sSubPr>
                  <m:e>
                    <m:r>
                      <w:rPr>
                        <w:rFonts w:ascii="Cambria Math" w:hAnsi="Cambria Math"/>
                      </w:rPr>
                      <m:t>+e</m:t>
                    </m:r>
                  </m:e>
                  <m:sub>
                    <m:r>
                      <w:rPr>
                        <w:rFonts w:ascii="Cambria Math" w:hAnsi="Cambria Math"/>
                      </w:rPr>
                      <m:t>VRP, t</m:t>
                    </m:r>
                  </m:sub>
                </m:sSub>
              </m:oMath>
            </m:oMathPara>
          </w:p>
        </w:tc>
      </w:tr>
      <w:tr w:rsidR="0040631F" w:rsidRPr="00873AF1" w:rsidTr="00873AF1">
        <w:trPr>
          <w:jc w:val="center"/>
        </w:trPr>
        <w:tc>
          <w:tcPr>
            <w:tcW w:w="2161" w:type="dxa"/>
            <w:tcBorders>
              <w:top w:val="nil"/>
              <w:left w:val="nil"/>
              <w:right w:val="nil"/>
            </w:tcBorders>
          </w:tcPr>
          <w:p w:rsidR="0040631F" w:rsidRPr="00873AF1" w:rsidRDefault="0040631F" w:rsidP="00873AF1">
            <w:pPr>
              <w:spacing w:after="0" w:line="240" w:lineRule="auto"/>
              <w:jc w:val="both"/>
            </w:pPr>
            <w:r w:rsidRPr="00873AF1">
              <w:t>USI</w:t>
            </w:r>
          </w:p>
        </w:tc>
        <w:tc>
          <w:tcPr>
            <w:tcW w:w="6483" w:type="dxa"/>
            <w:tcBorders>
              <w:top w:val="nil"/>
              <w:left w:val="nil"/>
              <w:right w:val="nil"/>
            </w:tcBorders>
          </w:tcPr>
          <w:p w:rsidR="0040631F" w:rsidRPr="00873AF1" w:rsidRDefault="004D5DDD" w:rsidP="00873AF1">
            <w:pPr>
              <w:spacing w:after="0" w:line="240" w:lineRule="auto"/>
            </w:pPr>
            <m:oMathPara>
              <m:oMath>
                <m:r>
                  <w:rPr>
                    <w:rFonts w:ascii="Cambria Math" w:eastAsia="Calibri" w:hAnsi="Cambria Math"/>
                  </w:rPr>
                  <m:t>USI</m:t>
                </m:r>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1</m:t>
                    </m:r>
                  </m:sub>
                </m:sSub>
                <m:sSub>
                  <m:sSubPr>
                    <m:ctrlPr>
                      <w:rPr>
                        <w:rFonts w:ascii="Cambria Math" w:hAnsi="Cambria Math"/>
                        <w:i/>
                      </w:rPr>
                    </m:ctrlPr>
                  </m:sSubPr>
                  <m:e>
                    <m:r>
                      <w:rPr>
                        <w:rFonts w:ascii="Cambria Math" w:hAnsi="Cambria Math"/>
                      </w:rPr>
                      <m:t>USI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2</m:t>
                    </m:r>
                  </m:sub>
                </m:sSub>
                <m:r>
                  <w:rPr>
                    <w:rFonts w:ascii="Cambria Math" w:hAnsi="Cambria Math"/>
                  </w:rPr>
                  <m:t>VRP+</m:t>
                </m:r>
                <m:sSub>
                  <m:sSubPr>
                    <m:ctrlPr>
                      <w:rPr>
                        <w:rFonts w:ascii="Cambria Math" w:hAnsi="Cambria Math"/>
                        <w:i/>
                      </w:rPr>
                    </m:ctrlPr>
                  </m:sSubPr>
                  <m:e>
                    <m:r>
                      <w:rPr>
                        <w:rFonts w:ascii="Cambria Math" w:hAnsi="Cambria Math"/>
                      </w:rPr>
                      <m:t>ξ</m:t>
                    </m:r>
                  </m:e>
                  <m:sub>
                    <m:r>
                      <w:rPr>
                        <w:rFonts w:ascii="Cambria Math" w:hAnsi="Cambria Math"/>
                      </w:rPr>
                      <m:t>3</m:t>
                    </m:r>
                  </m:sub>
                </m:sSub>
                <m:r>
                  <w:rPr>
                    <w:rFonts w:ascii="Cambria Math" w:hAnsi="Cambria Math"/>
                  </w:rPr>
                  <m:t>DCAM+</m:t>
                </m:r>
                <m:sSub>
                  <m:sSubPr>
                    <m:ctrlPr>
                      <w:rPr>
                        <w:rFonts w:ascii="Cambria Math" w:hAnsi="Cambria Math"/>
                        <w:i/>
                      </w:rPr>
                    </m:ctrlPr>
                  </m:sSubPr>
                  <m:e>
                    <m:r>
                      <w:rPr>
                        <w:rFonts w:ascii="Cambria Math" w:hAnsi="Cambria Math"/>
                      </w:rPr>
                      <m:t>e</m:t>
                    </m:r>
                  </m:e>
                  <m:sub>
                    <m:r>
                      <w:rPr>
                        <w:rFonts w:ascii="Cambria Math" w:hAnsi="Cambria Math"/>
                      </w:rPr>
                      <m:t>USI, t</m:t>
                    </m:r>
                  </m:sub>
                </m:sSub>
              </m:oMath>
            </m:oMathPara>
          </w:p>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2</m:t>
                    </m:r>
                  </m:sub>
                </m:sSub>
                <m:sSubSup>
                  <m:sSubSupPr>
                    <m:ctrlPr>
                      <w:rPr>
                        <w:rFonts w:ascii="Cambria Math" w:hAnsi="Cambria Math"/>
                        <w:i/>
                      </w:rPr>
                    </m:ctrlPr>
                  </m:sSubSupPr>
                  <m:e>
                    <m:r>
                      <w:rPr>
                        <w:rFonts w:ascii="Cambria Math" w:hAnsi="Cambria Math"/>
                      </w:rPr>
                      <m:t>ε</m:t>
                    </m:r>
                  </m:e>
                  <m:sub>
                    <m:r>
                      <w:rPr>
                        <w:rFonts w:ascii="Cambria Math" w:hAnsi="Cambria Math"/>
                      </w:rPr>
                      <m:t>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t-1</m:t>
                    </m:r>
                  </m:sub>
                </m:sSub>
              </m:oMath>
            </m:oMathPara>
          </w:p>
        </w:tc>
      </w:tr>
    </w:tbl>
    <w:p w:rsidR="0040631F" w:rsidRDefault="0040631F" w:rsidP="000C3593">
      <w:pPr>
        <w:spacing w:line="240" w:lineRule="auto"/>
        <w:jc w:val="both"/>
        <w:rPr>
          <w:rFonts w:ascii="Times New Roman" w:hAnsi="Times New Roman"/>
          <w:sz w:val="24"/>
          <w:szCs w:val="24"/>
        </w:rPr>
      </w:pP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hipótese de exogeneidade fraca implica que os resíduos da estimação do modelo condicional não devem ser significativos nas equações marginais. Para averiguar a exogeneidade fraca das variáveis foi utilizado o teste de restrição de coeficiente de Wald, que consiste em um teste F para aferir se </w:t>
      </w:r>
      <m:oMath>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FLIEC</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=0</m:t>
        </m:r>
      </m:oMath>
      <w:r w:rsidRPr="00A62965">
        <w:rPr>
          <w:rFonts w:ascii="Times New Roman" w:hAnsi="Times New Roman"/>
          <w:sz w:val="24"/>
          <w:szCs w:val="24"/>
        </w:rPr>
        <w:t>. A tabela A.10, em anexo, mostra que as variáveis independentes da equação principal são fracamente exógenas, indicando, portanto, que o modelo uniequacional estimado é não viesado e eficiente. A tabela A.11 mostra que as variáveis explicativas das equações marginais são também exógenas. Para tanto, foi testado se os resíduos da equação marginal da variável VCAM são significantes quando inseridos na equação marginal da variável INF, se os resíduos da equação marginal da variável USI são significantes quando inseridos nas equações marginais das variáveis RCAM e RMSCI, se os resíduos da equação marginal da variável RCAM são significantes quando inseridos na equação marginal EST e se os resíduos da equação marginal da variável VRP são significantes quando inseridos na equação marginal da variável USI.</w:t>
      </w:r>
    </w:p>
    <w:p w:rsidR="0040631F" w:rsidRPr="00A62965" w:rsidRDefault="0040631F" w:rsidP="000C3593">
      <w:pPr>
        <w:spacing w:line="240" w:lineRule="auto"/>
        <w:jc w:val="both"/>
        <w:rPr>
          <w:rFonts w:ascii="Times New Roman" w:hAnsi="Times New Roman"/>
          <w:b/>
          <w:sz w:val="24"/>
          <w:szCs w:val="24"/>
        </w:rPr>
      </w:pPr>
      <w:r w:rsidRPr="00A62965">
        <w:rPr>
          <w:rFonts w:ascii="Times New Roman" w:hAnsi="Times New Roman"/>
          <w:b/>
          <w:sz w:val="24"/>
          <w:szCs w:val="24"/>
        </w:rPr>
        <w:t>3.3 O Modelo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Para a estimação do modelo, foram implementadas duas alternativas. </w:t>
      </w:r>
      <w:r w:rsidRPr="00A62965">
        <w:rPr>
          <w:rFonts w:ascii="Times New Roman" w:hAnsi="Times New Roman"/>
          <w:i/>
          <w:sz w:val="24"/>
          <w:szCs w:val="24"/>
        </w:rPr>
        <w:t>A priori</w:t>
      </w:r>
      <w:r w:rsidRPr="00A62965">
        <w:rPr>
          <w:rFonts w:ascii="Times New Roman" w:hAnsi="Times New Roman"/>
          <w:sz w:val="24"/>
          <w:szCs w:val="24"/>
        </w:rPr>
        <w:t>, partiu-se da matriz de correlações ampliada, utilizando até duas defasagens das variáveis analisadas. Em seguida, utilizando-se o método geral-específico, as variáveis e defasagens não significativas a 5% de significância foram excluídas até se chegar à equação final, tendo como parâmetro de comparação os critérios de AIC e SBC. Entretanto, haja vista que as variáveis defasadas não foram úteis para explicar o fluxo de investimento estrangeiro em carteira, foi estimado o modelo geral com todas as variáveis explicativas não defasadas.</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não significância das variáveis defasadas indica que o investidor estrangeiro ajusta rapidamente sua decisão de investimento às novas informações. Nota-se, portanto, que o capital transfronteiriço direcionado para investimentos em portfólio, caracterizado por Val e Corrêa (2009) e Munhoz e Libânio (2009) como altamente volátil, se movimenta rapidamente, reagindo às oscilações do mercado. Entretanto, no estudo de Franzen </w:t>
      </w:r>
      <w:r w:rsidRPr="00A62965">
        <w:rPr>
          <w:rFonts w:ascii="Times New Roman" w:hAnsi="Times New Roman"/>
          <w:i/>
          <w:sz w:val="24"/>
          <w:szCs w:val="24"/>
        </w:rPr>
        <w:t>et al</w:t>
      </w:r>
      <w:r w:rsidRPr="00A62965">
        <w:rPr>
          <w:rFonts w:ascii="Times New Roman" w:hAnsi="Times New Roman"/>
          <w:sz w:val="24"/>
          <w:szCs w:val="24"/>
        </w:rPr>
        <w:t xml:space="preserve"> (2009), com dados de freqüência mensal, variáveis defasadas foram úteis para explicar a participação da investidor estrangeiro no mercado de ações brasileiro. Dessa forma, em freqüências mais elevadas é possível que o ajuste de portfólio do investidor estrangeiro seja também influenciado por informações passadas. O modelo geral foi especificado conforme equação abaixo. </w:t>
      </w:r>
    </w:p>
    <w:p w:rsidR="0040631F" w:rsidRPr="000C3593" w:rsidRDefault="0040631F" w:rsidP="000C3593">
      <w:pPr>
        <w:pStyle w:val="Legenda"/>
        <w:keepNext/>
        <w:jc w:val="both"/>
        <w:rPr>
          <w:rFonts w:ascii="Times New Roman" w:hAnsi="Times New Roman"/>
          <w:bCs w:val="0"/>
          <w:color w:val="auto"/>
          <w:sz w:val="24"/>
          <w:szCs w:val="24"/>
        </w:rPr>
      </w:pPr>
      <w:r w:rsidRPr="000C3593">
        <w:rPr>
          <w:rFonts w:ascii="Times New Roman" w:hAnsi="Times New Roman"/>
          <w:bCs w:val="0"/>
          <w:color w:val="auto"/>
          <w:sz w:val="24"/>
          <w:szCs w:val="24"/>
        </w:rPr>
        <w:lastRenderedPageBreak/>
        <w:t xml:space="preserve">Eq. </w:t>
      </w:r>
      <w:r w:rsidR="00FC0BE6" w:rsidRPr="000C3593">
        <w:rPr>
          <w:rFonts w:ascii="Times New Roman" w:hAnsi="Times New Roman"/>
          <w:bCs w:val="0"/>
          <w:color w:val="auto"/>
          <w:sz w:val="24"/>
          <w:szCs w:val="24"/>
        </w:rPr>
        <w:fldChar w:fldCharType="begin"/>
      </w:r>
      <w:r w:rsidRPr="000C3593">
        <w:rPr>
          <w:rFonts w:ascii="Times New Roman" w:hAnsi="Times New Roman"/>
          <w:bCs w:val="0"/>
          <w:color w:val="auto"/>
          <w:sz w:val="24"/>
          <w:szCs w:val="24"/>
        </w:rPr>
        <w:instrText xml:space="preserve"> SEQ Eq. \* ARABIC </w:instrText>
      </w:r>
      <w:r w:rsidR="00FC0BE6" w:rsidRPr="000C3593">
        <w:rPr>
          <w:rFonts w:ascii="Times New Roman" w:hAnsi="Times New Roman"/>
          <w:bCs w:val="0"/>
          <w:color w:val="auto"/>
          <w:sz w:val="24"/>
          <w:szCs w:val="24"/>
        </w:rPr>
        <w:fldChar w:fldCharType="separate"/>
      </w:r>
      <w:r w:rsidR="008837C0">
        <w:rPr>
          <w:rFonts w:ascii="Times New Roman" w:hAnsi="Times New Roman"/>
          <w:bCs w:val="0"/>
          <w:noProof/>
          <w:color w:val="auto"/>
          <w:sz w:val="24"/>
          <w:szCs w:val="24"/>
        </w:rPr>
        <w:t>1</w:t>
      </w:r>
      <w:r w:rsidR="00FC0BE6" w:rsidRPr="000C3593">
        <w:rPr>
          <w:rFonts w:ascii="Times New Roman" w:hAnsi="Times New Roman"/>
          <w:bCs w:val="0"/>
          <w:color w:val="auto"/>
          <w:sz w:val="24"/>
          <w:szCs w:val="24"/>
        </w:rPr>
        <w:fldChar w:fldCharType="end"/>
      </w:r>
    </w:p>
    <w:p w:rsidR="0040631F" w:rsidRPr="000C3593" w:rsidRDefault="004D5DDD" w:rsidP="000C3593">
      <w:pPr>
        <w:spacing w:line="240" w:lineRule="auto"/>
        <w:jc w:val="both"/>
        <w:rPr>
          <w:rFonts w:ascii="Times New Roman" w:hAnsi="Times New Roman"/>
          <w:sz w:val="24"/>
          <w:szCs w:val="24"/>
        </w:rPr>
      </w:pPr>
      <m:oMathPara>
        <m:oMath>
          <m:r>
            <w:rPr>
              <w:rFonts w:ascii="Cambria Math" w:hAnsi="Cambria Math"/>
              <w:sz w:val="24"/>
              <w:szCs w:val="24"/>
            </w:rPr>
            <m:t>FLIEC</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2</m:t>
              </m:r>
            </m:sub>
          </m:sSub>
          <m:r>
            <w:rPr>
              <w:rFonts w:ascii="Cambria Math" w:hAnsi="Cambria Math"/>
              <w:sz w:val="24"/>
              <w:szCs w:val="24"/>
            </w:rPr>
            <m:t>VCAM</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3</m:t>
              </m:r>
            </m:sub>
          </m:sSub>
          <m:r>
            <w:rPr>
              <w:rFonts w:ascii="Cambria Math" w:hAnsi="Cambria Math"/>
              <w:sz w:val="24"/>
              <w:szCs w:val="24"/>
            </w:rPr>
            <m:t>BCC</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4</m:t>
              </m:r>
            </m:sub>
          </m:sSub>
          <m:r>
            <w:rPr>
              <w:rFonts w:ascii="Cambria Math" w:hAnsi="Cambria Math"/>
              <w:sz w:val="24"/>
              <w:szCs w:val="24"/>
            </w:rPr>
            <m:t>CPIB</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5</m:t>
              </m:r>
            </m:sub>
          </m:sSub>
          <m:r>
            <w:rPr>
              <w:rFonts w:ascii="Cambria Math" w:hAnsi="Cambria Math"/>
              <w:sz w:val="24"/>
              <w:szCs w:val="24"/>
            </w:rPr>
            <m:t>EST</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6</m:t>
              </m:r>
            </m:sub>
          </m:sSub>
          <m:r>
            <w:rPr>
              <w:rFonts w:ascii="Cambria Math" w:hAnsi="Cambria Math"/>
              <w:sz w:val="24"/>
              <w:szCs w:val="24"/>
            </w:rPr>
            <m:t>INF</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7</m:t>
              </m:r>
            </m:sub>
          </m:sSub>
          <m:r>
            <w:rPr>
              <w:rFonts w:ascii="Cambria Math" w:hAnsi="Cambria Math"/>
              <w:sz w:val="24"/>
              <w:szCs w:val="24"/>
            </w:rPr>
            <m:t>RCAM</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8</m:t>
              </m:r>
            </m:sub>
          </m:sSub>
          <m:r>
            <w:rPr>
              <w:rFonts w:ascii="Cambria Math" w:hAnsi="Cambria Math"/>
              <w:sz w:val="24"/>
              <w:szCs w:val="24"/>
            </w:rPr>
            <m:t>RMSCI</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9</m:t>
              </m:r>
            </m:sub>
          </m:sSub>
          <m:r>
            <w:rPr>
              <w:rFonts w:ascii="Cambria Math" w:hAnsi="Cambria Math"/>
              <w:sz w:val="24"/>
              <w:szCs w:val="24"/>
            </w:rPr>
            <m:t>VRP</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ψ</m:t>
              </m:r>
            </m:e>
            <m:sub>
              <m:r>
                <w:rPr>
                  <w:rFonts w:ascii="Cambria Math" w:hAnsi="Times New Roman"/>
                  <w:sz w:val="24"/>
                  <w:szCs w:val="24"/>
                </w:rPr>
                <m:t>10</m:t>
              </m:r>
            </m:sub>
          </m:sSub>
          <m:r>
            <w:rPr>
              <w:rFonts w:ascii="Cambria Math" w:hAnsi="Cambria Math"/>
              <w:sz w:val="24"/>
              <w:szCs w:val="24"/>
            </w:rPr>
            <m:t>USI</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FLIEC</m:t>
              </m:r>
              <m:r>
                <w:rPr>
                  <w:rFonts w:ascii="Cambria Math" w:hAnsi="Times New Roman"/>
                  <w:sz w:val="24"/>
                  <w:szCs w:val="24"/>
                </w:rPr>
                <m:t>,</m:t>
              </m:r>
              <m:r>
                <w:rPr>
                  <w:rFonts w:ascii="Cambria Math" w:hAnsi="Cambria Math"/>
                  <w:sz w:val="24"/>
                  <w:szCs w:val="24"/>
                </w:rPr>
                <m:t>t</m:t>
              </m:r>
            </m:sub>
          </m:sSub>
        </m:oMath>
      </m:oMathPara>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A estatística de Breush-Godfrey atesta a não existência de correlação serial no modelo. Os testes de WHITE para heterocedasticidade e heterocedasticidade incluindo termos cruzados dos resíduos asseguram a sua homocedasticidade. O teste RESET, de Ramsey, confirma que o modelo está especificado de forma correta. O teste ARCH descarta a presença de heterocedasticidade condicional do resíduo. A estabilidade dos parâmetros é verificada graficamente pelo teste de CUSUM. Os resultados estão apresentados na tabela 3.</w:t>
      </w:r>
    </w:p>
    <w:p w:rsidR="0040631F" w:rsidRPr="00A62965" w:rsidRDefault="0040631F" w:rsidP="00C95531">
      <w:pPr>
        <w:jc w:val="center"/>
        <w:rPr>
          <w:rFonts w:ascii="Times New Roman" w:hAnsi="Times New Roman"/>
          <w:b/>
          <w:sz w:val="24"/>
          <w:szCs w:val="24"/>
        </w:rPr>
      </w:pPr>
      <w:r w:rsidRPr="00A62965">
        <w:rPr>
          <w:rFonts w:ascii="Times New Roman" w:hAnsi="Times New Roman"/>
          <w:b/>
          <w:sz w:val="24"/>
          <w:szCs w:val="24"/>
        </w:rPr>
        <w:t>Tabela 3 – Estimação da equação 1 por Mínimos Quadrados Ordinários</w:t>
      </w:r>
    </w:p>
    <w:tbl>
      <w:tblPr>
        <w:tblpPr w:leftFromText="141" w:rightFromText="141"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506" w:type="dxa"/>
            <w:tcBorders>
              <w:left w:val="nil"/>
              <w:bottom w:val="nil"/>
              <w:right w:val="nil"/>
            </w:tcBorders>
          </w:tcPr>
          <w:p w:rsidR="0040631F" w:rsidRPr="00873AF1" w:rsidRDefault="0040631F" w:rsidP="00873AF1">
            <w:pPr>
              <w:spacing w:after="0" w:line="240" w:lineRule="auto"/>
              <w:jc w:val="both"/>
            </w:pPr>
            <w:r w:rsidRPr="00873AF1">
              <w:t>1.85</w:t>
            </w:r>
          </w:p>
        </w:tc>
        <w:tc>
          <w:tcPr>
            <w:tcW w:w="1729" w:type="dxa"/>
            <w:tcBorders>
              <w:left w:val="nil"/>
              <w:bottom w:val="nil"/>
              <w:right w:val="nil"/>
            </w:tcBorders>
          </w:tcPr>
          <w:p w:rsidR="0040631F" w:rsidRPr="00873AF1" w:rsidRDefault="0040631F" w:rsidP="00873AF1">
            <w:pPr>
              <w:spacing w:after="0" w:line="240" w:lineRule="auto"/>
              <w:jc w:val="both"/>
            </w:pPr>
            <w:r w:rsidRPr="00873AF1">
              <w:t>0.48</w:t>
            </w:r>
          </w:p>
        </w:tc>
        <w:tc>
          <w:tcPr>
            <w:tcW w:w="1729" w:type="dxa"/>
            <w:tcBorders>
              <w:left w:val="nil"/>
              <w:bottom w:val="nil"/>
              <w:right w:val="nil"/>
            </w:tcBorders>
          </w:tcPr>
          <w:p w:rsidR="0040631F" w:rsidRPr="00873AF1" w:rsidRDefault="0040631F" w:rsidP="00873AF1">
            <w:pPr>
              <w:spacing w:after="0" w:line="240" w:lineRule="auto"/>
              <w:jc w:val="both"/>
            </w:pPr>
            <w:r w:rsidRPr="00873AF1">
              <w:t>3.81</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554699" w:rsidP="00873AF1">
            <w:pPr>
              <w:spacing w:after="0" w:line="240" w:lineRule="auto"/>
              <w:jc w:val="both"/>
            </w:pPr>
            <m:oMathPara>
              <m:oMath>
                <m:r>
                  <w:rPr>
                    <w:rFonts w:ascii="Cambria Math" w:eastAsia="Calibri" w:hAnsi="Cambria Math"/>
                  </w:rPr>
                  <m:t>V</m:t>
                </m:r>
                <m:r>
                  <w:rPr>
                    <w:rFonts w:ascii="Cambria Math" w:eastAsia="Calibri" w:hAnsi="Cambria Math"/>
                  </w:rPr>
                  <m:t>CAM</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-2.18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r>
      <w:tr w:rsidR="0040631F" w:rsidRPr="00873AF1" w:rsidTr="00873AF1">
        <w:tc>
          <w:tcPr>
            <w:tcW w:w="1951"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BCC</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0.70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CPIB</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1.12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0.26</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EST</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1.37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0.17</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INF</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0.82</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RCAM</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-82.16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19.57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-4.19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RMSCI</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3.19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VRP</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-3.97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Default="004D5DDD" w:rsidP="00873AF1">
            <w:pPr>
              <w:spacing w:after="0" w:line="240" w:lineRule="auto"/>
              <w:jc w:val="both"/>
            </w:pPr>
            <m:oMathPara>
              <m:oMath>
                <m:r>
                  <w:rPr>
                    <w:rFonts w:ascii="Cambria Math" w:hAnsi="Cambria Math"/>
                  </w:rPr>
                  <m:t>USI</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0.61</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0.73</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3.97</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0.13</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0.04</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0.82</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0.99</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0.54</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4.15</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0.46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4.50</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1.89</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59</w:t>
            </w:r>
          </w:p>
        </w:tc>
      </w:tr>
    </w:tbl>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Default="0040631F" w:rsidP="000C3593">
      <w:pPr>
        <w:spacing w:line="240" w:lineRule="auto"/>
        <w:jc w:val="both"/>
        <w:rPr>
          <w:rFonts w:ascii="Times New Roman" w:hAnsi="Times New Roman"/>
          <w:sz w:val="24"/>
          <w:szCs w:val="24"/>
        </w:rPr>
      </w:pP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As variáveis associadas aos “</w:t>
      </w:r>
      <w:r w:rsidRPr="00A62965">
        <w:rPr>
          <w:rFonts w:ascii="Times New Roman" w:hAnsi="Times New Roman"/>
          <w:i/>
          <w:sz w:val="24"/>
          <w:szCs w:val="24"/>
        </w:rPr>
        <w:t>pull-factors”</w:t>
      </w:r>
      <w:r w:rsidRPr="00A62965">
        <w:rPr>
          <w:rFonts w:ascii="Times New Roman" w:hAnsi="Times New Roman"/>
          <w:sz w:val="24"/>
          <w:szCs w:val="24"/>
        </w:rPr>
        <w:t xml:space="preserve">, a saber, crescimento real do PIB, inflação e variação da razão BCC/PIB, não foram significativas, embora o sinal para as duas primeiras variáveis referidas, estejam em consonância com a teoria. </w:t>
      </w:r>
      <w:r w:rsidRPr="00703C41">
        <w:rPr>
          <w:rFonts w:ascii="Times New Roman" w:hAnsi="Times New Roman"/>
          <w:sz w:val="24"/>
          <w:szCs w:val="24"/>
        </w:rPr>
        <w:t>O si</w:t>
      </w:r>
      <w:r>
        <w:rPr>
          <w:rFonts w:ascii="Times New Roman" w:hAnsi="Times New Roman"/>
          <w:sz w:val="24"/>
          <w:szCs w:val="24"/>
        </w:rPr>
        <w:t>nal negativo da variável BCC</w:t>
      </w:r>
      <w:r w:rsidRPr="00703C41">
        <w:rPr>
          <w:rFonts w:ascii="Times New Roman" w:hAnsi="Times New Roman"/>
          <w:sz w:val="24"/>
          <w:szCs w:val="24"/>
        </w:rPr>
        <w:t xml:space="preserve"> pode indicar que déficits em conta corrente são financiados pelo fluxo de investimento estrangeiro em carteira.</w:t>
      </w:r>
      <w:r>
        <w:t xml:space="preserve"> </w:t>
      </w:r>
      <w:r w:rsidRPr="00A62965">
        <w:rPr>
          <w:rFonts w:ascii="Times New Roman" w:hAnsi="Times New Roman"/>
          <w:sz w:val="24"/>
          <w:szCs w:val="24"/>
        </w:rPr>
        <w:t>Por outro lado, a variação da taxa de juros americana (USI) e o retorno do mercado mundial (RMSCI) explicam o fluxo de IEC. Uma variação positiva de 1% na taxa de juros americana implica em uma queda de 0.02% na razão FLIEC/PIB. O aumento de 1% na taxa de retorno do índice RMSCI, em contrapartida, aumenta 0.1% essa mesma razão. A taxa de juros americana quando utilizada em detrimento de sua variação não se mostra significativa, reforçando o argumento de que a decisão de investir é mais sensível a variabilidade da taxa de juros do que ao seu nível (INGERSOLL; ROSS, 2002). A associação positiva entre o retorno do mercado mundial e o fluxo de investimento estrangeiro em carteira mostra que o investidor expande seus investimentos para mercados emergentes mesmo face aos retornos positivos em mercados desenvolvidos. Há, assim, uma busca por retornos mais altos em mercados de maiores riscos. Os resultados encontrados são compatíveis com a tese de que os fluxos de investimento em portfólio para países emergente são direcionados, sobretudo, por fatores externos a economia doméstica (CALVO, 1996; FERNANDEZ-ARIAS, 1996; TAYLOR E SARNO, 1997; BAEK, 2006).</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variação do risco país e o risco cambial também afetam o fluxo de IEC. Uma variação positiva de 1% no EMBI+ diminui o fluxo de IEC em razão do PIB em 0.02% (resultado compatível com Radzin e Sadka (2002), Vieira (2004) e Franzen </w:t>
      </w:r>
      <w:r w:rsidRPr="00A62965">
        <w:rPr>
          <w:rFonts w:ascii="Times New Roman" w:hAnsi="Times New Roman"/>
          <w:i/>
          <w:sz w:val="24"/>
          <w:szCs w:val="24"/>
        </w:rPr>
        <w:t>et al</w:t>
      </w:r>
      <w:r w:rsidRPr="00A62965">
        <w:rPr>
          <w:rFonts w:ascii="Times New Roman" w:hAnsi="Times New Roman"/>
          <w:sz w:val="24"/>
          <w:szCs w:val="24"/>
        </w:rPr>
        <w:t xml:space="preserve"> (2009)). O aumento do risco cambial gera uma queda na razão </w:t>
      </w:r>
      <w:r w:rsidRPr="00A62965">
        <w:rPr>
          <w:rFonts w:ascii="Times New Roman" w:hAnsi="Times New Roman"/>
          <w:sz w:val="24"/>
          <w:szCs w:val="24"/>
        </w:rPr>
        <w:lastRenderedPageBreak/>
        <w:t>FLIEC/PIB.  Ambas as variáveis estão relacionadas à economia brasileira e, por isso, configuram-se em “</w:t>
      </w:r>
      <w:r w:rsidRPr="00A62965">
        <w:rPr>
          <w:rFonts w:ascii="Times New Roman" w:hAnsi="Times New Roman"/>
          <w:i/>
          <w:sz w:val="24"/>
          <w:szCs w:val="24"/>
        </w:rPr>
        <w:t>pull-factors</w:t>
      </w:r>
      <w:r w:rsidRPr="00A62965">
        <w:rPr>
          <w:rFonts w:ascii="Times New Roman" w:hAnsi="Times New Roman"/>
          <w:sz w:val="24"/>
          <w:szCs w:val="24"/>
        </w:rPr>
        <w:t>”. Dessa forma, a decisão do investidor estrangeiro se pauta também em características do país de destino do investimento, embora o crescimento real do PIB e a razão BCC/PIB – dados associados ao lado real da economia – não expliquem seu comportamento.</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hipótese de reequilíbrio de portfólio devido a choques na taxa de câmbio, conforme apontado por Hau e Rey (2004), é ratificada. A apreciação da taxa de câmbio real em 1% leva a uma queda na razão FLIEC/PIB de 0.08%. Conclui-se, então, que o investidor externo limita sua exposição ao risco cambial, vendendo ativos da economia brasileira quando há uma apreciação do real.   </w:t>
      </w:r>
    </w:p>
    <w:p w:rsidR="0040631F" w:rsidRPr="00A62965" w:rsidRDefault="0040631F" w:rsidP="00227FA9">
      <w:pPr>
        <w:spacing w:line="240" w:lineRule="auto"/>
        <w:jc w:val="both"/>
        <w:rPr>
          <w:rFonts w:ascii="Times New Roman" w:hAnsi="Times New Roman"/>
          <w:sz w:val="24"/>
          <w:szCs w:val="24"/>
        </w:rPr>
      </w:pPr>
      <w:r w:rsidRPr="00A62965">
        <w:rPr>
          <w:rFonts w:ascii="Times New Roman" w:hAnsi="Times New Roman"/>
          <w:sz w:val="24"/>
          <w:szCs w:val="24"/>
        </w:rPr>
        <w:t>No entanto, a razão FLIEC/PIB pode cair em função de um aumento do PIB superior ao fluxo de IEC. Para testar a robustez desse resultado, utilizou-se uma estimação alternativa da equação 1, tendo como variável endógena o fluxo de IEC deflacionado pelo índice de preços ao consumidor dos Estados Unidos, CPI. O resultado aponta que há uma saída de cerca de 226 milhões de dólares em função de uma apreciação em 1% da taxa de câmbio real. Além disso, para tal estimativa, o crescimento do PIB é também significativo, evidenciando a percepção sobre a capacidade do governo e das empresas honrarem seus compromissos aliada à própria capacidade de gerar lucros das empresas também atraem o investidor externo.</w:t>
      </w:r>
    </w:p>
    <w:p w:rsidR="0040631F" w:rsidRPr="00A62965" w:rsidRDefault="0040631F" w:rsidP="00D77A4F">
      <w:pPr>
        <w:spacing w:line="240" w:lineRule="auto"/>
        <w:jc w:val="both"/>
        <w:rPr>
          <w:rFonts w:ascii="Times New Roman" w:hAnsi="Times New Roman"/>
          <w:sz w:val="24"/>
          <w:szCs w:val="24"/>
        </w:rPr>
      </w:pPr>
      <w:r w:rsidRPr="00A62965">
        <w:rPr>
          <w:rFonts w:ascii="Times New Roman" w:hAnsi="Times New Roman"/>
          <w:sz w:val="24"/>
          <w:szCs w:val="24"/>
        </w:rPr>
        <w:t>Além da variação da taxa de câmbio real foi testada também a variação da taxa de câmbio real efetiva. Entretanto, a mesma não se mostrou significativa quando inserida no modelo. Conjectura-se, assim, que o investidor externo tem como base de cálculo para suas transações o dólar e o índice de preços americano, seja por preferência ou mesmo por estar locado no Estados Unidos  ao invés da composição de moedas e índices de preços implícita no cômputo da taxa de câmbio real efetiva.</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 xml:space="preserve">A variação da razão de estoque de IEC ponderada pelo PIB não é significativa. Resultado semelhante ao obtido por Fernandez-Arias (1996) na aplicação empírica de seu modelo. Visto que a variação do nível de estoque não é importante para determinar os fluxos de IEC, observa-se que choques na taxa de juros americana resultariam em menores influxos de capital ao invés de pressões para saídas massivas de capital. </w:t>
      </w:r>
    </w:p>
    <w:p w:rsidR="0040631F" w:rsidRPr="00A62965" w:rsidRDefault="0040631F" w:rsidP="000C3593">
      <w:pPr>
        <w:spacing w:line="240" w:lineRule="auto"/>
        <w:jc w:val="both"/>
        <w:rPr>
          <w:rFonts w:ascii="Times New Roman" w:hAnsi="Times New Roman"/>
          <w:sz w:val="24"/>
          <w:szCs w:val="24"/>
        </w:rPr>
      </w:pPr>
      <w:r w:rsidRPr="00A62965">
        <w:rPr>
          <w:rFonts w:ascii="Times New Roman" w:hAnsi="Times New Roman"/>
          <w:sz w:val="24"/>
          <w:szCs w:val="24"/>
        </w:rPr>
        <w:t>Além das variáveis do modelo, foram testados, de forma alternada, os retornos do IBOVESPA e a variação da taxa SELIC a.a. em até duas defasagens. A primeira defasagem da variação da taxa SELIC foi significativa ao passo que as defasagens do retorno do IBOVESPA não o foram</w:t>
      </w:r>
      <w:r w:rsidRPr="00A62965">
        <w:rPr>
          <w:rFonts w:ascii="Times New Roman" w:hAnsi="Times New Roman"/>
          <w:i/>
          <w:sz w:val="24"/>
          <w:szCs w:val="24"/>
        </w:rPr>
        <w:t xml:space="preserve">. </w:t>
      </w:r>
      <w:r w:rsidRPr="00A62965">
        <w:rPr>
          <w:rFonts w:ascii="Times New Roman" w:hAnsi="Times New Roman"/>
          <w:sz w:val="24"/>
          <w:szCs w:val="24"/>
        </w:rPr>
        <w:t xml:space="preserve">Foi, então, especificado um modelo com a variável </w:t>
      </w:r>
      <w:r>
        <w:rPr>
          <w:rFonts w:ascii="Times New Roman" w:hAnsi="Times New Roman"/>
          <w:sz w:val="24"/>
          <w:szCs w:val="24"/>
        </w:rPr>
        <w:t xml:space="preserve">variação da </w:t>
      </w:r>
      <w:r w:rsidRPr="00A62965">
        <w:rPr>
          <w:rFonts w:ascii="Times New Roman" w:hAnsi="Times New Roman"/>
          <w:sz w:val="24"/>
          <w:szCs w:val="24"/>
        </w:rPr>
        <w:t xml:space="preserve">taxa Selic defasada em um período, conforme equação abaixo. </w:t>
      </w:r>
    </w:p>
    <w:p w:rsidR="0040631F" w:rsidRPr="00237A64" w:rsidRDefault="0040631F" w:rsidP="00237A64">
      <w:pPr>
        <w:pStyle w:val="Legenda"/>
        <w:keepNext/>
        <w:jc w:val="both"/>
        <w:rPr>
          <w:bCs w:val="0"/>
          <w:color w:val="auto"/>
          <w:sz w:val="22"/>
          <w:szCs w:val="22"/>
        </w:rPr>
      </w:pPr>
      <w:r w:rsidRPr="00237A64">
        <w:rPr>
          <w:bCs w:val="0"/>
          <w:color w:val="auto"/>
          <w:sz w:val="22"/>
          <w:szCs w:val="22"/>
        </w:rPr>
        <w:t xml:space="preserve">Eq. </w:t>
      </w:r>
      <w:r w:rsidR="00FC0BE6" w:rsidRPr="00237A64">
        <w:rPr>
          <w:bCs w:val="0"/>
          <w:color w:val="auto"/>
          <w:sz w:val="22"/>
          <w:szCs w:val="22"/>
        </w:rPr>
        <w:fldChar w:fldCharType="begin"/>
      </w:r>
      <w:r w:rsidRPr="00237A64">
        <w:rPr>
          <w:bCs w:val="0"/>
          <w:color w:val="auto"/>
          <w:sz w:val="22"/>
          <w:szCs w:val="22"/>
        </w:rPr>
        <w:instrText xml:space="preserve"> SEQ Eq. \* ARABIC </w:instrText>
      </w:r>
      <w:r w:rsidR="00FC0BE6" w:rsidRPr="00237A64">
        <w:rPr>
          <w:bCs w:val="0"/>
          <w:color w:val="auto"/>
          <w:sz w:val="22"/>
          <w:szCs w:val="22"/>
        </w:rPr>
        <w:fldChar w:fldCharType="separate"/>
      </w:r>
      <w:r w:rsidR="008837C0">
        <w:rPr>
          <w:bCs w:val="0"/>
          <w:noProof/>
          <w:color w:val="auto"/>
          <w:sz w:val="22"/>
          <w:szCs w:val="22"/>
        </w:rPr>
        <w:t>2</w:t>
      </w:r>
      <w:r w:rsidR="00FC0BE6" w:rsidRPr="00237A64">
        <w:rPr>
          <w:bCs w:val="0"/>
          <w:color w:val="auto"/>
          <w:sz w:val="22"/>
          <w:szCs w:val="22"/>
        </w:rPr>
        <w:fldChar w:fldCharType="end"/>
      </w:r>
    </w:p>
    <w:p w:rsidR="0040631F" w:rsidRDefault="004D5DDD" w:rsidP="00237A64">
      <w:pPr>
        <w:jc w:val="both"/>
      </w:pPr>
      <m:oMathPara>
        <m:oMath>
          <m:r>
            <w:rPr>
              <w:rFonts w:ascii="Cambria Math" w:hAnsi="Cambria Math"/>
            </w:rPr>
            <m:t xml:space="preserve">FLIEC= </m:t>
          </m:r>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2</m:t>
              </m:r>
            </m:sub>
          </m:sSub>
          <m:r>
            <w:rPr>
              <w:rFonts w:ascii="Cambria Math" w:hAnsi="Cambria Math"/>
            </w:rPr>
            <m:t>VCAM+</m:t>
          </m:r>
          <m:sSub>
            <m:sSubPr>
              <m:ctrlPr>
                <w:rPr>
                  <w:rFonts w:ascii="Cambria Math" w:hAnsi="Cambria Math"/>
                  <w:i/>
                </w:rPr>
              </m:ctrlPr>
            </m:sSubPr>
            <m:e>
              <m:r>
                <w:rPr>
                  <w:rFonts w:ascii="Cambria Math" w:hAnsi="Cambria Math"/>
                </w:rPr>
                <m:t>ψ</m:t>
              </m:r>
            </m:e>
            <m:sub>
              <m:r>
                <w:rPr>
                  <w:rFonts w:ascii="Cambria Math" w:hAnsi="Cambria Math"/>
                </w:rPr>
                <m:t>3</m:t>
              </m:r>
            </m:sub>
          </m:sSub>
          <m:r>
            <w:rPr>
              <w:rFonts w:ascii="Cambria Math" w:hAnsi="Cambria Math"/>
            </w:rPr>
            <m:t>BCC+</m:t>
          </m:r>
          <m:sSub>
            <m:sSubPr>
              <m:ctrlPr>
                <w:rPr>
                  <w:rFonts w:ascii="Cambria Math" w:hAnsi="Cambria Math"/>
                  <w:i/>
                </w:rPr>
              </m:ctrlPr>
            </m:sSubPr>
            <m:e>
              <m:r>
                <w:rPr>
                  <w:rFonts w:ascii="Cambria Math" w:hAnsi="Cambria Math"/>
                </w:rPr>
                <m:t>ψ</m:t>
              </m:r>
            </m:e>
            <m:sub>
              <m:r>
                <w:rPr>
                  <w:rFonts w:ascii="Cambria Math" w:hAnsi="Cambria Math"/>
                </w:rPr>
                <m:t>4</m:t>
              </m:r>
            </m:sub>
          </m:sSub>
          <m:r>
            <w:rPr>
              <w:rFonts w:ascii="Cambria Math" w:hAnsi="Cambria Math"/>
            </w:rPr>
            <m:t>CPIB+</m:t>
          </m:r>
          <m:sSub>
            <m:sSubPr>
              <m:ctrlPr>
                <w:rPr>
                  <w:rFonts w:ascii="Cambria Math" w:hAnsi="Cambria Math"/>
                  <w:i/>
                </w:rPr>
              </m:ctrlPr>
            </m:sSubPr>
            <m:e>
              <m:r>
                <w:rPr>
                  <w:rFonts w:ascii="Cambria Math" w:hAnsi="Cambria Math"/>
                </w:rPr>
                <m:t>ψ</m:t>
              </m:r>
            </m:e>
            <m:sub>
              <m:r>
                <w:rPr>
                  <w:rFonts w:ascii="Cambria Math" w:hAnsi="Cambria Math"/>
                </w:rPr>
                <m:t>5</m:t>
              </m:r>
            </m:sub>
          </m:sSub>
          <m:r>
            <w:rPr>
              <w:rFonts w:ascii="Cambria Math" w:hAnsi="Cambria Math"/>
            </w:rPr>
            <m:t>EST+</m:t>
          </m:r>
          <m:sSub>
            <m:sSubPr>
              <m:ctrlPr>
                <w:rPr>
                  <w:rFonts w:ascii="Cambria Math" w:hAnsi="Cambria Math"/>
                  <w:i/>
                </w:rPr>
              </m:ctrlPr>
            </m:sSubPr>
            <m:e>
              <m:r>
                <w:rPr>
                  <w:rFonts w:ascii="Cambria Math" w:hAnsi="Cambria Math"/>
                </w:rPr>
                <m:t>ψ</m:t>
              </m:r>
            </m:e>
            <m:sub>
              <m:r>
                <w:rPr>
                  <w:rFonts w:ascii="Cambria Math" w:hAnsi="Cambria Math"/>
                </w:rPr>
                <m:t>6</m:t>
              </m:r>
            </m:sub>
          </m:sSub>
          <m:r>
            <w:rPr>
              <w:rFonts w:ascii="Cambria Math" w:hAnsi="Cambria Math"/>
            </w:rPr>
            <m:t>INF+</m:t>
          </m:r>
          <m:sSub>
            <m:sSubPr>
              <m:ctrlPr>
                <w:rPr>
                  <w:rFonts w:ascii="Cambria Math" w:hAnsi="Cambria Math"/>
                  <w:i/>
                </w:rPr>
              </m:ctrlPr>
            </m:sSubPr>
            <m:e>
              <m:r>
                <w:rPr>
                  <w:rFonts w:ascii="Cambria Math" w:hAnsi="Cambria Math"/>
                </w:rPr>
                <m:t>ψ</m:t>
              </m:r>
            </m:e>
            <m:sub>
              <m:r>
                <w:rPr>
                  <w:rFonts w:ascii="Cambria Math" w:hAnsi="Cambria Math"/>
                </w:rPr>
                <m:t>7</m:t>
              </m:r>
            </m:sub>
          </m:sSub>
          <m:r>
            <w:rPr>
              <w:rFonts w:ascii="Cambria Math" w:hAnsi="Cambria Math"/>
            </w:rPr>
            <m:t>RCAM+</m:t>
          </m:r>
          <m:sSub>
            <m:sSubPr>
              <m:ctrlPr>
                <w:rPr>
                  <w:rFonts w:ascii="Cambria Math" w:hAnsi="Cambria Math"/>
                  <w:i/>
                </w:rPr>
              </m:ctrlPr>
            </m:sSubPr>
            <m:e>
              <m:r>
                <w:rPr>
                  <w:rFonts w:ascii="Cambria Math" w:hAnsi="Cambria Math"/>
                </w:rPr>
                <m:t>ψ</m:t>
              </m:r>
            </m:e>
            <m:sub>
              <m:r>
                <w:rPr>
                  <w:rFonts w:ascii="Cambria Math" w:hAnsi="Cambria Math"/>
                </w:rPr>
                <m:t>8</m:t>
              </m:r>
            </m:sub>
          </m:sSub>
          <m:r>
            <w:rPr>
              <w:rFonts w:ascii="Cambria Math" w:hAnsi="Cambria Math"/>
            </w:rPr>
            <m:t>RMSCI+</m:t>
          </m:r>
          <m:sSub>
            <m:sSubPr>
              <m:ctrlPr>
                <w:rPr>
                  <w:rFonts w:ascii="Cambria Math" w:hAnsi="Cambria Math"/>
                  <w:i/>
                </w:rPr>
              </m:ctrlPr>
            </m:sSubPr>
            <m:e>
              <m:r>
                <w:rPr>
                  <w:rFonts w:ascii="Cambria Math" w:hAnsi="Cambria Math"/>
                </w:rPr>
                <m:t>ψ</m:t>
              </m:r>
            </m:e>
            <m:sub>
              <m:r>
                <w:rPr>
                  <w:rFonts w:ascii="Cambria Math" w:hAnsi="Cambria Math"/>
                </w:rPr>
                <m:t>9</m:t>
              </m:r>
            </m:sub>
          </m:sSub>
          <m:r>
            <w:rPr>
              <w:rFonts w:ascii="Cambria Math" w:hAnsi="Cambria Math"/>
            </w:rPr>
            <m:t>VRP+</m:t>
          </m:r>
          <m:sSub>
            <m:sSubPr>
              <m:ctrlPr>
                <w:rPr>
                  <w:rFonts w:ascii="Cambria Math" w:hAnsi="Cambria Math"/>
                  <w:i/>
                </w:rPr>
              </m:ctrlPr>
            </m:sSubPr>
            <m:e>
              <m:r>
                <w:rPr>
                  <w:rFonts w:ascii="Cambria Math" w:hAnsi="Cambria Math"/>
                </w:rPr>
                <m:t>ψ</m:t>
              </m:r>
            </m:e>
            <m:sub>
              <m:r>
                <w:rPr>
                  <w:rFonts w:ascii="Cambria Math" w:hAnsi="Cambria Math"/>
                </w:rPr>
                <m:t>10</m:t>
              </m:r>
            </m:sub>
          </m:sSub>
          <m:r>
            <w:rPr>
              <w:rFonts w:ascii="Cambria Math" w:hAnsi="Cambria Math"/>
            </w:rPr>
            <m:t>USI+</m:t>
          </m:r>
          <m:sSub>
            <m:sSubPr>
              <m:ctrlPr>
                <w:rPr>
                  <w:rFonts w:ascii="Cambria Math" w:hAnsi="Cambria Math"/>
                  <w:i/>
                </w:rPr>
              </m:ctrlPr>
            </m:sSubPr>
            <m:e>
              <m:r>
                <w:rPr>
                  <w:rFonts w:ascii="Cambria Math" w:hAnsi="Cambria Math"/>
                </w:rPr>
                <m:t>ψ</m:t>
              </m:r>
            </m:e>
            <m:sub>
              <m:r>
                <w:rPr>
                  <w:rFonts w:ascii="Cambria Math" w:hAnsi="Cambria Math"/>
                </w:rPr>
                <m:t>10</m:t>
              </m:r>
            </m:sub>
          </m:sSub>
          <m:sSub>
            <m:sSubPr>
              <m:ctrlPr>
                <w:rPr>
                  <w:rFonts w:ascii="Cambria Math" w:hAnsi="Cambria Math"/>
                  <w:i/>
                </w:rPr>
              </m:ctrlPr>
            </m:sSubPr>
            <m:e>
              <m:r>
                <w:rPr>
                  <w:rFonts w:ascii="Cambria Math" w:hAnsi="Cambria Math"/>
                </w:rPr>
                <m:t>SEL</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FLIEC,t</m:t>
              </m:r>
            </m:sub>
          </m:sSub>
        </m:oMath>
      </m:oMathPara>
    </w:p>
    <w:p w:rsidR="0040631F" w:rsidRDefault="0040631F" w:rsidP="00445919">
      <w:pPr>
        <w:pStyle w:val="Textodenotaderodap"/>
        <w:spacing w:after="200"/>
        <w:jc w:val="both"/>
        <w:rPr>
          <w:rFonts w:ascii="Times New Roman" w:hAnsi="Times New Roman"/>
          <w:sz w:val="24"/>
          <w:szCs w:val="24"/>
        </w:rPr>
      </w:pPr>
      <w:r w:rsidRPr="000C3593">
        <w:rPr>
          <w:rFonts w:ascii="Times New Roman" w:hAnsi="Times New Roman"/>
          <w:sz w:val="24"/>
          <w:szCs w:val="24"/>
        </w:rPr>
        <w:t>Um aumento de 1% na variação da taxa Selic gera um aumento de 0.02% na razão FLIEC/PIB</w:t>
      </w:r>
      <w:r>
        <w:rPr>
          <w:rFonts w:ascii="Times New Roman" w:hAnsi="Times New Roman"/>
          <w:sz w:val="24"/>
          <w:szCs w:val="24"/>
        </w:rPr>
        <w:t xml:space="preserve">, conforme disposto na tabela 4. </w:t>
      </w:r>
      <w:r w:rsidRPr="00631BC7">
        <w:rPr>
          <w:rFonts w:ascii="Times New Roman" w:hAnsi="Times New Roman"/>
          <w:sz w:val="24"/>
          <w:szCs w:val="24"/>
        </w:rPr>
        <w:t xml:space="preserve">A utilização da variação do diferencial da taxa de juros mensurado através de desvios da Paridade Descoberta da Taxa de Juros </w:t>
      </w:r>
      <w:r>
        <w:rPr>
          <w:rFonts w:ascii="Times New Roman" w:hAnsi="Times New Roman"/>
          <w:sz w:val="24"/>
          <w:szCs w:val="24"/>
        </w:rPr>
        <w:t xml:space="preserve">em detrimento </w:t>
      </w:r>
      <w:r w:rsidRPr="00631BC7">
        <w:rPr>
          <w:rFonts w:ascii="Times New Roman" w:hAnsi="Times New Roman"/>
          <w:sz w:val="24"/>
          <w:szCs w:val="24"/>
        </w:rPr>
        <w:t xml:space="preserve">da variação da taxa Selic a.a gera resultados semelhantes. </w:t>
      </w:r>
      <w:r w:rsidRPr="000C3593">
        <w:rPr>
          <w:rFonts w:ascii="Times New Roman" w:hAnsi="Times New Roman"/>
          <w:sz w:val="24"/>
          <w:szCs w:val="24"/>
        </w:rPr>
        <w:t>Levando em conta que a participação relativa média</w:t>
      </w:r>
      <w:r>
        <w:rPr>
          <w:rFonts w:ascii="Times New Roman" w:hAnsi="Times New Roman"/>
          <w:sz w:val="24"/>
          <w:szCs w:val="24"/>
        </w:rPr>
        <w:t xml:space="preserve"> (</w:t>
      </w:r>
      <w:r w:rsidRPr="00631BC7">
        <w:rPr>
          <w:rFonts w:ascii="Times New Roman" w:hAnsi="Times New Roman"/>
          <w:sz w:val="24"/>
          <w:szCs w:val="24"/>
        </w:rPr>
        <w:t>para o cálculo das participações relativas médias foi utilizado o módulo de cada valor da sub-conta, uma vez que não seria possível contabilizar o peso de cada uma delas na sub-conta de Investimento Estrangeiro em Carteira se a mesma contribuísse negativament</w:t>
      </w:r>
      <w:r>
        <w:rPr>
          <w:rFonts w:ascii="Times New Roman" w:hAnsi="Times New Roman"/>
          <w:sz w:val="24"/>
          <w:szCs w:val="24"/>
        </w:rPr>
        <w:t xml:space="preserve">e) </w:t>
      </w:r>
      <w:r w:rsidRPr="000C3593">
        <w:rPr>
          <w:rFonts w:ascii="Times New Roman" w:hAnsi="Times New Roman"/>
          <w:sz w:val="24"/>
          <w:szCs w:val="24"/>
        </w:rPr>
        <w:t>da conta investimento estrangeiro em títulos de renda fixa é 1,5 superior à participação da conta investimento estrangeiro em ações (enquanto a primeira detém participação de cerca de 60%, a segunda tem a fatia de cerca de 40%), o investimento estrangeiro em carteira, naturalmente, reage aos retornos e às oportunidades do mercado de títulos de renda fixa. Prevalece, portanto, a tese de que os investidores são movidos por oportunidades de investimento invariante no tempo (</w:t>
      </w:r>
      <w:r w:rsidRPr="000C3593">
        <w:rPr>
          <w:rFonts w:ascii="Times New Roman" w:hAnsi="Times New Roman"/>
          <w:i/>
          <w:sz w:val="24"/>
          <w:szCs w:val="24"/>
        </w:rPr>
        <w:t>return chasing)</w:t>
      </w:r>
      <w:r w:rsidRPr="000C3593">
        <w:rPr>
          <w:rFonts w:ascii="Times New Roman" w:hAnsi="Times New Roman"/>
          <w:sz w:val="24"/>
          <w:szCs w:val="24"/>
        </w:rPr>
        <w:t>.</w:t>
      </w:r>
    </w:p>
    <w:p w:rsidR="0040631F" w:rsidRDefault="0040631F" w:rsidP="002807C4">
      <w:pPr>
        <w:jc w:val="center"/>
        <w:rPr>
          <w:b/>
        </w:rPr>
      </w:pPr>
      <w:r>
        <w:rPr>
          <w:b/>
        </w:rPr>
        <w:lastRenderedPageBreak/>
        <w:t>Tabela 4</w:t>
      </w:r>
      <w:r w:rsidRPr="00AD1B9A">
        <w:rPr>
          <w:b/>
        </w:rPr>
        <w:t xml:space="preserve"> – Estimação da equação </w:t>
      </w:r>
      <w:r>
        <w:rPr>
          <w:b/>
        </w:rPr>
        <w:t xml:space="preserve">2 </w:t>
      </w:r>
      <w:r w:rsidRPr="00AD1B9A">
        <w:rPr>
          <w:b/>
        </w:rPr>
        <w:t>por Mínimos Quadrados Ordinários</w:t>
      </w:r>
    </w:p>
    <w:tbl>
      <w:tblPr>
        <w:tblpPr w:leftFromText="141" w:rightFromText="141"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506" w:type="dxa"/>
            <w:tcBorders>
              <w:left w:val="nil"/>
              <w:bottom w:val="nil"/>
              <w:right w:val="nil"/>
            </w:tcBorders>
          </w:tcPr>
          <w:p w:rsidR="0040631F" w:rsidRPr="00873AF1" w:rsidRDefault="0040631F" w:rsidP="00873AF1">
            <w:pPr>
              <w:spacing w:after="0" w:line="240" w:lineRule="auto"/>
              <w:jc w:val="both"/>
            </w:pPr>
            <w:r w:rsidRPr="00873AF1">
              <w:t>2.11</w:t>
            </w:r>
          </w:p>
        </w:tc>
        <w:tc>
          <w:tcPr>
            <w:tcW w:w="1729" w:type="dxa"/>
            <w:tcBorders>
              <w:left w:val="nil"/>
              <w:bottom w:val="nil"/>
              <w:right w:val="nil"/>
            </w:tcBorders>
          </w:tcPr>
          <w:p w:rsidR="0040631F" w:rsidRPr="00873AF1" w:rsidRDefault="0040631F" w:rsidP="00873AF1">
            <w:pPr>
              <w:spacing w:after="0" w:line="240" w:lineRule="auto"/>
              <w:jc w:val="both"/>
            </w:pPr>
            <w:r w:rsidRPr="00873AF1">
              <w:t>0.49</w:t>
            </w:r>
          </w:p>
        </w:tc>
        <w:tc>
          <w:tcPr>
            <w:tcW w:w="1729" w:type="dxa"/>
            <w:tcBorders>
              <w:left w:val="nil"/>
              <w:bottom w:val="nil"/>
              <w:right w:val="nil"/>
            </w:tcBorders>
          </w:tcPr>
          <w:p w:rsidR="0040631F" w:rsidRPr="00873AF1" w:rsidRDefault="0040631F" w:rsidP="00873AF1">
            <w:pPr>
              <w:spacing w:after="0" w:line="240" w:lineRule="auto"/>
              <w:jc w:val="both"/>
            </w:pPr>
            <w:r w:rsidRPr="00873AF1">
              <w:t>4.27</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554699" w:rsidP="00873AF1">
            <w:pPr>
              <w:spacing w:after="0" w:line="240" w:lineRule="auto"/>
              <w:jc w:val="both"/>
            </w:pPr>
            <m:oMathPara>
              <m:oMath>
                <m:r>
                  <w:rPr>
                    <w:rFonts w:ascii="Cambria Math" w:eastAsia="Calibri" w:hAnsi="Cambria Math"/>
                  </w:rPr>
                  <m:t>V</m:t>
                </m:r>
                <m:r>
                  <w:rPr>
                    <w:rFonts w:ascii="Cambria Math" w:eastAsia="Calibri" w:hAnsi="Cambria Math"/>
                  </w:rPr>
                  <m:t>CAM</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-2.12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r>
      <w:tr w:rsidR="0040631F" w:rsidRPr="00873AF1" w:rsidTr="00873AF1">
        <w:tc>
          <w:tcPr>
            <w:tcW w:w="1951"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BCC</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0.70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CPIB</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0.46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1.99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0.05</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EST</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0.22</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INF</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-0.81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0.42</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RCAM</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-94.86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20.89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-4.53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RMSCI</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2.92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D71BAE" w:rsidRDefault="004D5DDD" w:rsidP="00873AF1">
            <w:pPr>
              <w:spacing w:after="0" w:line="240" w:lineRule="auto"/>
              <w:jc w:val="both"/>
            </w:pPr>
            <m:oMathPara>
              <m:oMath>
                <m:r>
                  <w:rPr>
                    <w:rFonts w:ascii="Cambria Math" w:hAnsi="Cambria Math"/>
                  </w:rPr>
                  <m:t>VRP</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-3.91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554699" w:rsidRPr="00873AF1" w:rsidTr="00873AF1">
        <w:tc>
          <w:tcPr>
            <w:tcW w:w="1951" w:type="dxa"/>
            <w:tcBorders>
              <w:top w:val="nil"/>
              <w:left w:val="nil"/>
              <w:bottom w:val="nil"/>
              <w:right w:val="nil"/>
            </w:tcBorders>
          </w:tcPr>
          <w:p w:rsidR="00554699" w:rsidRPr="00FC0BE6" w:rsidRDefault="00554699" w:rsidP="00554699">
            <w:pPr>
              <w:spacing w:after="0" w:line="240" w:lineRule="auto"/>
              <w:jc w:val="both"/>
            </w:pPr>
            <m:oMathPara>
              <m:oMath>
                <m:r>
                  <w:rPr>
                    <w:rFonts w:ascii="Cambria Math" w:hAnsi="Cambria Math"/>
                  </w:rPr>
                  <m:t>USI</m:t>
                </m:r>
              </m:oMath>
            </m:oMathPara>
          </w:p>
        </w:tc>
        <w:tc>
          <w:tcPr>
            <w:tcW w:w="1506" w:type="dxa"/>
            <w:tcBorders>
              <w:top w:val="nil"/>
              <w:left w:val="nil"/>
              <w:bottom w:val="nil"/>
              <w:right w:val="nil"/>
            </w:tcBorders>
          </w:tcPr>
          <w:p w:rsidR="00554699" w:rsidRPr="00873AF1" w:rsidRDefault="00554699" w:rsidP="00873AF1">
            <w:pPr>
              <w:spacing w:after="0" w:line="240" w:lineRule="auto"/>
              <w:jc w:val="both"/>
            </w:pPr>
            <w:r>
              <w:t>-0.02</w:t>
            </w:r>
          </w:p>
        </w:tc>
        <w:tc>
          <w:tcPr>
            <w:tcW w:w="1729" w:type="dxa"/>
            <w:tcBorders>
              <w:top w:val="nil"/>
              <w:left w:val="nil"/>
              <w:bottom w:val="nil"/>
              <w:right w:val="nil"/>
            </w:tcBorders>
          </w:tcPr>
          <w:p w:rsidR="00554699" w:rsidRPr="00873AF1" w:rsidRDefault="00554699" w:rsidP="00873AF1">
            <w:pPr>
              <w:spacing w:after="0" w:line="240" w:lineRule="auto"/>
              <w:jc w:val="both"/>
            </w:pPr>
            <w:r>
              <w:t>0.01</w:t>
            </w:r>
          </w:p>
        </w:tc>
        <w:tc>
          <w:tcPr>
            <w:tcW w:w="1729" w:type="dxa"/>
            <w:tcBorders>
              <w:top w:val="nil"/>
              <w:left w:val="nil"/>
              <w:bottom w:val="nil"/>
              <w:right w:val="nil"/>
            </w:tcBorders>
          </w:tcPr>
          <w:p w:rsidR="00554699" w:rsidRPr="00873AF1" w:rsidRDefault="00554699" w:rsidP="00873AF1">
            <w:pPr>
              <w:spacing w:after="0" w:line="240" w:lineRule="auto"/>
              <w:jc w:val="both"/>
            </w:pPr>
            <w:r>
              <w:t>-2.21</w:t>
            </w:r>
          </w:p>
        </w:tc>
        <w:tc>
          <w:tcPr>
            <w:tcW w:w="1729" w:type="dxa"/>
            <w:tcBorders>
              <w:top w:val="nil"/>
              <w:left w:val="nil"/>
              <w:bottom w:val="nil"/>
              <w:right w:val="nil"/>
            </w:tcBorders>
          </w:tcPr>
          <w:p w:rsidR="00554699" w:rsidRPr="00873AF1" w:rsidRDefault="00554699" w:rsidP="00873AF1">
            <w:pPr>
              <w:spacing w:after="0" w:line="240" w:lineRule="auto"/>
              <w:jc w:val="both"/>
            </w:pPr>
            <w:r>
              <w:t>0.03</w:t>
            </w:r>
          </w:p>
        </w:tc>
      </w:tr>
      <w:tr w:rsidR="0040631F" w:rsidRPr="00873AF1" w:rsidTr="00873AF1">
        <w:tc>
          <w:tcPr>
            <w:tcW w:w="1951" w:type="dxa"/>
            <w:tcBorders>
              <w:top w:val="nil"/>
              <w:left w:val="nil"/>
              <w:bottom w:val="nil"/>
              <w:right w:val="nil"/>
            </w:tcBorders>
          </w:tcPr>
          <w:p w:rsidR="0040631F" w:rsidRDefault="00FC0BE6" w:rsidP="00873AF1">
            <w:pPr>
              <w:spacing w:after="0" w:line="240" w:lineRule="auto"/>
              <w:jc w:val="both"/>
            </w:pPr>
            <m:oMathPara>
              <m:oMath>
                <m:sSub>
                  <m:sSubPr>
                    <m:ctrlPr>
                      <w:rPr>
                        <w:rFonts w:ascii="Cambria Math" w:hAnsi="Cambria Math"/>
                        <w:i/>
                      </w:rPr>
                    </m:ctrlPr>
                  </m:sSubPr>
                  <m:e>
                    <m:r>
                      <w:rPr>
                        <w:rFonts w:ascii="Cambria Math" w:hAnsi="Cambria Math"/>
                      </w:rPr>
                      <m:t>SEL</m:t>
                    </m:r>
                  </m:e>
                  <m:sub>
                    <m:r>
                      <w:rPr>
                        <w:rFonts w:ascii="Cambria Math" w:hAnsi="Cambria Math"/>
                      </w:rPr>
                      <m:t>t-1</m:t>
                    </m: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1.79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0.59</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0.74</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5.66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0.06*</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0.24</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0.61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0.18</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0.91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0.58</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4.12</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0.49</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4.15</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1.93</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59</w:t>
            </w:r>
          </w:p>
        </w:tc>
      </w:tr>
    </w:tbl>
    <w:p w:rsidR="0040631F" w:rsidRPr="00A62965" w:rsidRDefault="0040631F" w:rsidP="002807C4">
      <w:pPr>
        <w:spacing w:line="240" w:lineRule="auto"/>
      </w:pPr>
    </w:p>
    <w:p w:rsidR="0040631F" w:rsidRPr="00A62965" w:rsidRDefault="0040631F" w:rsidP="002807C4">
      <w:pPr>
        <w:spacing w:line="240" w:lineRule="auto"/>
      </w:pPr>
    </w:p>
    <w:p w:rsidR="0040631F" w:rsidRPr="00A62965" w:rsidRDefault="0040631F" w:rsidP="002807C4">
      <w:pPr>
        <w:spacing w:line="240" w:lineRule="auto"/>
      </w:pPr>
    </w:p>
    <w:p w:rsidR="0040631F" w:rsidRPr="00A62965" w:rsidRDefault="0040631F" w:rsidP="002807C4">
      <w:pPr>
        <w:spacing w:line="240" w:lineRule="auto"/>
      </w:pPr>
    </w:p>
    <w:p w:rsidR="0040631F" w:rsidRPr="00A62965" w:rsidRDefault="0040631F" w:rsidP="002807C4">
      <w:pPr>
        <w:spacing w:after="0" w:line="240" w:lineRule="auto"/>
      </w:pPr>
    </w:p>
    <w:p w:rsidR="0040631F" w:rsidRPr="00A62965" w:rsidRDefault="0040631F" w:rsidP="002807C4">
      <w:pPr>
        <w:spacing w:line="240" w:lineRule="auto"/>
        <w:ind w:left="851"/>
      </w:pPr>
    </w:p>
    <w:p w:rsidR="0040631F" w:rsidRDefault="0040631F" w:rsidP="002807C4">
      <w:pPr>
        <w:spacing w:line="240" w:lineRule="auto"/>
        <w:ind w:left="851"/>
        <w:rPr>
          <w:sz w:val="18"/>
          <w:szCs w:val="18"/>
        </w:rPr>
      </w:pPr>
      <w:r w:rsidRPr="00987747">
        <w:rPr>
          <w:sz w:val="18"/>
          <w:szCs w:val="18"/>
        </w:rPr>
        <w:t>*</w:t>
      </w:r>
    </w:p>
    <w:p w:rsidR="0040631F" w:rsidRDefault="0040631F" w:rsidP="002807C4">
      <w:pPr>
        <w:spacing w:line="240" w:lineRule="auto"/>
        <w:ind w:left="851"/>
        <w:rPr>
          <w:sz w:val="18"/>
          <w:szCs w:val="18"/>
        </w:rPr>
      </w:pPr>
    </w:p>
    <w:p w:rsidR="0040631F" w:rsidRDefault="0040631F" w:rsidP="002807C4">
      <w:pPr>
        <w:spacing w:line="240" w:lineRule="auto"/>
        <w:ind w:left="851"/>
        <w:rPr>
          <w:sz w:val="18"/>
          <w:szCs w:val="18"/>
        </w:rPr>
      </w:pPr>
    </w:p>
    <w:p w:rsidR="0040631F" w:rsidRDefault="0040631F" w:rsidP="002807C4">
      <w:pPr>
        <w:spacing w:line="240" w:lineRule="auto"/>
        <w:ind w:left="851"/>
        <w:rPr>
          <w:sz w:val="18"/>
          <w:szCs w:val="18"/>
        </w:rPr>
      </w:pPr>
    </w:p>
    <w:p w:rsidR="0040631F" w:rsidRDefault="0040631F" w:rsidP="002807C4">
      <w:pPr>
        <w:spacing w:line="240" w:lineRule="auto"/>
        <w:ind w:left="851"/>
        <w:rPr>
          <w:sz w:val="18"/>
          <w:szCs w:val="18"/>
        </w:rPr>
      </w:pPr>
    </w:p>
    <w:p w:rsidR="0040631F" w:rsidRDefault="0040631F" w:rsidP="002807C4">
      <w:pPr>
        <w:spacing w:line="240" w:lineRule="auto"/>
        <w:ind w:left="851"/>
        <w:rPr>
          <w:sz w:val="18"/>
          <w:szCs w:val="18"/>
        </w:rPr>
      </w:pPr>
    </w:p>
    <w:p w:rsidR="00554699" w:rsidRDefault="00554699" w:rsidP="002807C4">
      <w:pPr>
        <w:spacing w:line="240" w:lineRule="auto"/>
        <w:ind w:left="851"/>
        <w:rPr>
          <w:sz w:val="18"/>
          <w:szCs w:val="18"/>
        </w:rPr>
      </w:pPr>
    </w:p>
    <w:p w:rsidR="0040631F" w:rsidRDefault="0040631F" w:rsidP="002807C4">
      <w:pPr>
        <w:spacing w:line="240" w:lineRule="auto"/>
        <w:ind w:left="851"/>
        <w:rPr>
          <w:sz w:val="18"/>
          <w:szCs w:val="18"/>
        </w:rPr>
      </w:pPr>
      <w:r w:rsidRPr="00987747">
        <w:rPr>
          <w:sz w:val="18"/>
          <w:szCs w:val="18"/>
        </w:rPr>
        <w:t>Nota:</w:t>
      </w:r>
      <w:r>
        <w:t xml:space="preserve"> </w:t>
      </w:r>
      <w:r w:rsidRPr="00720085">
        <w:rPr>
          <w:sz w:val="18"/>
          <w:szCs w:val="18"/>
        </w:rPr>
        <w:t xml:space="preserve">a estatística Q do correlogramo dos resíduos aceita a hipótese nula a 5% de que a segunda defasagem do resíduo não é correlacionada </w:t>
      </w:r>
      <w:r>
        <w:rPr>
          <w:sz w:val="18"/>
          <w:szCs w:val="18"/>
        </w:rPr>
        <w:t>a</w:t>
      </w:r>
      <w:r w:rsidRPr="00720085">
        <w:rPr>
          <w:sz w:val="18"/>
          <w:szCs w:val="18"/>
        </w:rPr>
        <w:t>o resíduo</w:t>
      </w:r>
    </w:p>
    <w:p w:rsidR="0040631F" w:rsidRPr="000C3593" w:rsidRDefault="0040631F" w:rsidP="000C3593">
      <w:pPr>
        <w:spacing w:line="240" w:lineRule="auto"/>
        <w:jc w:val="both"/>
        <w:rPr>
          <w:rFonts w:ascii="Times New Roman" w:hAnsi="Times New Roman"/>
          <w:sz w:val="24"/>
          <w:szCs w:val="24"/>
        </w:rPr>
      </w:pPr>
      <w:r w:rsidRPr="000C3593">
        <w:rPr>
          <w:rFonts w:ascii="Times New Roman" w:hAnsi="Times New Roman"/>
          <w:sz w:val="24"/>
          <w:szCs w:val="24"/>
        </w:rPr>
        <w:t xml:space="preserve">Além disso, o modelo da equação 2, </w:t>
      </w:r>
      <w:r>
        <w:rPr>
          <w:rFonts w:ascii="Times New Roman" w:hAnsi="Times New Roman"/>
          <w:sz w:val="24"/>
          <w:szCs w:val="24"/>
        </w:rPr>
        <w:t xml:space="preserve">assim como </w:t>
      </w:r>
      <w:r w:rsidRPr="000C3593">
        <w:rPr>
          <w:rFonts w:ascii="Times New Roman" w:hAnsi="Times New Roman"/>
          <w:sz w:val="24"/>
          <w:szCs w:val="24"/>
        </w:rPr>
        <w:t>os resultados do primeiro modelo</w:t>
      </w:r>
      <w:r>
        <w:rPr>
          <w:rFonts w:ascii="Times New Roman" w:hAnsi="Times New Roman"/>
          <w:sz w:val="24"/>
          <w:szCs w:val="24"/>
        </w:rPr>
        <w:t xml:space="preserve"> quando utilizado o fluxo de IEC deflacionado pelo CPI</w:t>
      </w:r>
      <w:r w:rsidRPr="000C3593">
        <w:rPr>
          <w:rFonts w:ascii="Times New Roman" w:hAnsi="Times New Roman"/>
          <w:sz w:val="24"/>
          <w:szCs w:val="24"/>
        </w:rPr>
        <w:t xml:space="preserve">, mostra que o crescimento do PIB também é significativo. Resultado compatível com a análise de Baek (2006) para os países latino-americanos. Assim, além do risco cambial e da variação do risco-país, </w:t>
      </w:r>
      <w:r>
        <w:rPr>
          <w:rFonts w:ascii="Times New Roman" w:hAnsi="Times New Roman"/>
          <w:sz w:val="24"/>
          <w:szCs w:val="24"/>
        </w:rPr>
        <w:t xml:space="preserve">corrobora-se a tese de que </w:t>
      </w:r>
      <w:r w:rsidRPr="000C3593">
        <w:rPr>
          <w:rFonts w:ascii="Times New Roman" w:hAnsi="Times New Roman"/>
          <w:sz w:val="24"/>
          <w:szCs w:val="24"/>
        </w:rPr>
        <w:t>o crescimento do PIB brasileiro também é um fator que “puxa” o investimento estrangeiro em carteira.</w:t>
      </w:r>
    </w:p>
    <w:p w:rsidR="0040631F" w:rsidRPr="000C3593" w:rsidRDefault="0040631F" w:rsidP="000C3593">
      <w:pPr>
        <w:spacing w:line="240" w:lineRule="auto"/>
        <w:jc w:val="both"/>
        <w:rPr>
          <w:rFonts w:ascii="Times New Roman" w:hAnsi="Times New Roman"/>
          <w:sz w:val="24"/>
          <w:szCs w:val="24"/>
        </w:rPr>
      </w:pPr>
      <w:r>
        <w:rPr>
          <w:rFonts w:ascii="Times New Roman" w:hAnsi="Times New Roman"/>
          <w:sz w:val="24"/>
          <w:szCs w:val="24"/>
        </w:rPr>
        <w:t>Por fim, foram testadas</w:t>
      </w:r>
      <w:r w:rsidRPr="000C3593">
        <w:rPr>
          <w:rFonts w:ascii="Times New Roman" w:hAnsi="Times New Roman"/>
          <w:sz w:val="24"/>
          <w:szCs w:val="24"/>
        </w:rPr>
        <w:t xml:space="preserve"> em ambos os modelos uma variável </w:t>
      </w:r>
      <w:r w:rsidRPr="000C3593">
        <w:rPr>
          <w:rFonts w:ascii="Times New Roman" w:hAnsi="Times New Roman"/>
          <w:i/>
          <w:sz w:val="24"/>
          <w:szCs w:val="24"/>
        </w:rPr>
        <w:t>dummy</w:t>
      </w:r>
      <w:r w:rsidRPr="000C3593">
        <w:rPr>
          <w:rFonts w:ascii="Times New Roman" w:hAnsi="Times New Roman"/>
          <w:sz w:val="24"/>
          <w:szCs w:val="24"/>
        </w:rPr>
        <w:t xml:space="preserve"> para a crise da Ásia, no terceiro semestre de 2007, da Rússia, no terceiro trimestre de 2008, do câmbio brasileiro, no primeiro trimestre de 2009, </w:t>
      </w:r>
      <w:r>
        <w:rPr>
          <w:rFonts w:ascii="Times New Roman" w:hAnsi="Times New Roman"/>
          <w:sz w:val="24"/>
          <w:szCs w:val="24"/>
        </w:rPr>
        <w:t xml:space="preserve">da crise Argentina, no quarto trimestre de 2001, </w:t>
      </w:r>
      <w:r w:rsidRPr="000C3593">
        <w:rPr>
          <w:rFonts w:ascii="Times New Roman" w:hAnsi="Times New Roman"/>
          <w:sz w:val="24"/>
          <w:szCs w:val="24"/>
        </w:rPr>
        <w:t>do período eleitoral brasileiro em 2002 e</w:t>
      </w:r>
      <w:r>
        <w:rPr>
          <w:rFonts w:ascii="Times New Roman" w:hAnsi="Times New Roman"/>
          <w:sz w:val="24"/>
          <w:szCs w:val="24"/>
        </w:rPr>
        <w:t xml:space="preserve"> dos Estados Unidos, no quarto</w:t>
      </w:r>
      <w:r w:rsidRPr="000C3593">
        <w:rPr>
          <w:rFonts w:ascii="Times New Roman" w:hAnsi="Times New Roman"/>
          <w:sz w:val="24"/>
          <w:szCs w:val="24"/>
        </w:rPr>
        <w:t xml:space="preserve"> trimestre de 2008 e uma variável </w:t>
      </w:r>
      <w:r w:rsidRPr="000C3593">
        <w:rPr>
          <w:rFonts w:ascii="Times New Roman" w:hAnsi="Times New Roman"/>
          <w:i/>
          <w:sz w:val="24"/>
          <w:szCs w:val="24"/>
        </w:rPr>
        <w:t>dummy</w:t>
      </w:r>
      <w:r w:rsidRPr="000C3593">
        <w:rPr>
          <w:rFonts w:ascii="Times New Roman" w:hAnsi="Times New Roman"/>
          <w:sz w:val="24"/>
          <w:szCs w:val="24"/>
        </w:rPr>
        <w:t xml:space="preserve"> para o período em que o câmbio brasileiro foi administrado (1995 a 1998). Os resultados dos dois modelos apontaram que as crises financeiras do período bem como a distinção entre o período de câmbio administrado e câmbio flutuante não explicam o fluxo de investimento estrangeiro em carteira, ou seja, não s</w:t>
      </w:r>
      <w:r>
        <w:rPr>
          <w:rFonts w:ascii="Times New Roman" w:hAnsi="Times New Roman"/>
          <w:sz w:val="24"/>
          <w:szCs w:val="24"/>
        </w:rPr>
        <w:t>ão significantes quando incluída</w:t>
      </w:r>
      <w:r w:rsidRPr="000C3593">
        <w:rPr>
          <w:rFonts w:ascii="Times New Roman" w:hAnsi="Times New Roman"/>
          <w:sz w:val="24"/>
          <w:szCs w:val="24"/>
        </w:rPr>
        <w:t xml:space="preserve">s no modelo. </w:t>
      </w:r>
    </w:p>
    <w:p w:rsidR="0040631F" w:rsidRPr="00BD335F" w:rsidRDefault="0040631F" w:rsidP="005A6448">
      <w:pPr>
        <w:jc w:val="both"/>
        <w:rPr>
          <w:rFonts w:ascii="Times New Roman" w:hAnsi="Times New Roman"/>
          <w:b/>
          <w:sz w:val="24"/>
          <w:szCs w:val="24"/>
        </w:rPr>
      </w:pPr>
      <w:r w:rsidRPr="00BD335F">
        <w:rPr>
          <w:rFonts w:ascii="Times New Roman" w:hAnsi="Times New Roman"/>
          <w:sz w:val="24"/>
          <w:szCs w:val="24"/>
        </w:rPr>
        <w:t xml:space="preserve"> </w:t>
      </w:r>
      <w:r w:rsidRPr="00BD335F">
        <w:rPr>
          <w:rFonts w:ascii="Times New Roman" w:hAnsi="Times New Roman"/>
          <w:b/>
          <w:sz w:val="24"/>
          <w:szCs w:val="24"/>
        </w:rPr>
        <w:t>4 Conclusão</w:t>
      </w:r>
    </w:p>
    <w:p w:rsidR="0040631F" w:rsidRPr="002D4166" w:rsidRDefault="0040631F" w:rsidP="002D4166">
      <w:pPr>
        <w:spacing w:line="240" w:lineRule="auto"/>
        <w:jc w:val="both"/>
        <w:rPr>
          <w:rFonts w:ascii="Times New Roman" w:hAnsi="Times New Roman"/>
          <w:sz w:val="24"/>
          <w:szCs w:val="24"/>
        </w:rPr>
      </w:pPr>
      <w:r w:rsidRPr="002D4166">
        <w:rPr>
          <w:rFonts w:ascii="Times New Roman" w:hAnsi="Times New Roman"/>
          <w:sz w:val="24"/>
          <w:szCs w:val="24"/>
        </w:rPr>
        <w:t>Os modelos estimados mostraram que o investidor estrangeiro se pauta tanto em características da economia brasileira</w:t>
      </w:r>
      <w:r>
        <w:rPr>
          <w:rFonts w:ascii="Times New Roman" w:hAnsi="Times New Roman"/>
          <w:sz w:val="24"/>
          <w:szCs w:val="24"/>
        </w:rPr>
        <w:t xml:space="preserve"> – risco cambial, crescimento do PIB e variação do risco país –</w:t>
      </w:r>
      <w:r w:rsidRPr="002D4166">
        <w:rPr>
          <w:rFonts w:ascii="Times New Roman" w:hAnsi="Times New Roman"/>
          <w:sz w:val="24"/>
          <w:szCs w:val="24"/>
        </w:rPr>
        <w:t xml:space="preserve"> quanto em fatores da economia mundial</w:t>
      </w:r>
      <w:r>
        <w:rPr>
          <w:rFonts w:ascii="Times New Roman" w:hAnsi="Times New Roman"/>
          <w:sz w:val="24"/>
          <w:szCs w:val="24"/>
        </w:rPr>
        <w:t xml:space="preserve"> – retorno do mercado mundial e variação da taxa de juros americana –</w:t>
      </w:r>
      <w:r w:rsidRPr="002D4166">
        <w:rPr>
          <w:rFonts w:ascii="Times New Roman" w:hAnsi="Times New Roman"/>
          <w:sz w:val="24"/>
          <w:szCs w:val="24"/>
        </w:rPr>
        <w:t xml:space="preserve"> no</w:t>
      </w:r>
      <w:r>
        <w:rPr>
          <w:rFonts w:ascii="Times New Roman" w:hAnsi="Times New Roman"/>
          <w:sz w:val="24"/>
          <w:szCs w:val="24"/>
        </w:rPr>
        <w:t xml:space="preserve"> </w:t>
      </w:r>
      <w:r w:rsidRPr="002D4166">
        <w:rPr>
          <w:rFonts w:ascii="Times New Roman" w:hAnsi="Times New Roman"/>
          <w:sz w:val="24"/>
          <w:szCs w:val="24"/>
        </w:rPr>
        <w:t xml:space="preserve">momento de investir no Brasil. O retorno defasado do mercado de renda fixa, representado pela </w:t>
      </w:r>
      <w:r>
        <w:rPr>
          <w:rFonts w:ascii="Times New Roman" w:hAnsi="Times New Roman"/>
          <w:sz w:val="24"/>
          <w:szCs w:val="24"/>
        </w:rPr>
        <w:t xml:space="preserve">variação da </w:t>
      </w:r>
      <w:r w:rsidRPr="002D4166">
        <w:rPr>
          <w:rFonts w:ascii="Times New Roman" w:hAnsi="Times New Roman"/>
          <w:sz w:val="24"/>
          <w:szCs w:val="24"/>
        </w:rPr>
        <w:t xml:space="preserve">taxa Selic, também influencia a decisão de investir. </w:t>
      </w:r>
    </w:p>
    <w:p w:rsidR="0040631F" w:rsidRDefault="0040631F" w:rsidP="002D4166">
      <w:pPr>
        <w:spacing w:line="240" w:lineRule="auto"/>
        <w:jc w:val="both"/>
        <w:rPr>
          <w:rFonts w:ascii="Times New Roman" w:hAnsi="Times New Roman"/>
          <w:sz w:val="24"/>
          <w:szCs w:val="24"/>
        </w:rPr>
      </w:pPr>
      <w:r w:rsidRPr="002D4166">
        <w:rPr>
          <w:rFonts w:ascii="Times New Roman" w:hAnsi="Times New Roman"/>
          <w:sz w:val="24"/>
          <w:szCs w:val="24"/>
        </w:rPr>
        <w:t xml:space="preserve">A apreciação da taxa de câmbio real suscita um movimento de recomposição de portfólio, com saída do investidor estrangeiro do mercado nacional. Tal fato mostra que o investidor ao entrar no mercado brasileiro, assume uma posição de </w:t>
      </w:r>
      <w:r w:rsidRPr="00164AA7">
        <w:rPr>
          <w:rFonts w:ascii="Times New Roman" w:hAnsi="Times New Roman"/>
          <w:i/>
          <w:sz w:val="24"/>
          <w:szCs w:val="24"/>
        </w:rPr>
        <w:t>hedge</w:t>
      </w:r>
      <w:r w:rsidRPr="002D4166">
        <w:rPr>
          <w:rFonts w:ascii="Times New Roman" w:hAnsi="Times New Roman"/>
          <w:sz w:val="24"/>
          <w:szCs w:val="24"/>
        </w:rPr>
        <w:t xml:space="preserve"> incompleto, reagindo, então</w:t>
      </w:r>
      <w:r>
        <w:rPr>
          <w:rFonts w:ascii="Times New Roman" w:hAnsi="Times New Roman"/>
          <w:sz w:val="24"/>
          <w:szCs w:val="24"/>
        </w:rPr>
        <w:t xml:space="preserve">, aos riscos de desvalorização do câmbio. A mudança de regime da taxa de câmbio e as crises financeiras mundiais não influenciaram a posição do investidor externo. No entanto, o investidor ajusta suas posições em carteira rapidamente </w:t>
      </w:r>
      <w:r>
        <w:rPr>
          <w:rFonts w:ascii="Times New Roman" w:hAnsi="Times New Roman"/>
          <w:sz w:val="24"/>
          <w:szCs w:val="24"/>
        </w:rPr>
        <w:lastRenderedPageBreak/>
        <w:t>diante de novas informações, haja vista a não significância das variáveis do modelo defasadas em até dois trimestres.</w:t>
      </w:r>
    </w:p>
    <w:p w:rsidR="0040631F" w:rsidRDefault="0040631F" w:rsidP="002D4166">
      <w:pPr>
        <w:spacing w:line="240" w:lineRule="auto"/>
        <w:jc w:val="both"/>
        <w:rPr>
          <w:rFonts w:ascii="Times New Roman" w:hAnsi="Times New Roman"/>
          <w:sz w:val="24"/>
          <w:szCs w:val="24"/>
        </w:rPr>
      </w:pPr>
      <w:r>
        <w:rPr>
          <w:rFonts w:ascii="Times New Roman" w:hAnsi="Times New Roman"/>
          <w:sz w:val="24"/>
          <w:szCs w:val="24"/>
        </w:rPr>
        <w:t xml:space="preserve">A variação do estoque de investimento estrangeiro em carteira não interfere na decisão do investidor. O estoque de IEC não se configura, dessa forma, como um canal para equilíbrio de choques no sistema via fluxo de capital voluntário. Em outros termos, o estoque inicial não é relevante para a decisão de investir. Assim, choques no sistema se equilibram via o fluxo de investimento e não há pressões para a saída massiva de capital diante de uma possível variação positiva da taxa de juros americana. </w:t>
      </w:r>
    </w:p>
    <w:p w:rsidR="0040631F" w:rsidRDefault="0040631F" w:rsidP="002D4166">
      <w:pPr>
        <w:spacing w:line="240" w:lineRule="auto"/>
        <w:jc w:val="both"/>
        <w:rPr>
          <w:rFonts w:ascii="Times New Roman" w:hAnsi="Times New Roman"/>
          <w:sz w:val="24"/>
          <w:szCs w:val="24"/>
        </w:rPr>
      </w:pPr>
      <w:r>
        <w:rPr>
          <w:rFonts w:ascii="Times New Roman" w:hAnsi="Times New Roman"/>
          <w:sz w:val="24"/>
          <w:szCs w:val="24"/>
        </w:rPr>
        <w:t>Os diversos testes diagnósticos aplicados no processo atestam a robustez do modelo. Os testes de exogeneidade asseguram que o modelo é eficiente e não viesado. O grau de ajustamento do modelo, cerca de 50%, revela seu poder explicativo relativamente alto quando se trata de regressões de séries temporais.</w:t>
      </w:r>
    </w:p>
    <w:p w:rsidR="0040631F" w:rsidRPr="006235DD" w:rsidRDefault="0040631F" w:rsidP="002D4166">
      <w:pPr>
        <w:spacing w:line="240" w:lineRule="auto"/>
        <w:jc w:val="both"/>
        <w:rPr>
          <w:rFonts w:ascii="Times New Roman" w:hAnsi="Times New Roman"/>
          <w:sz w:val="24"/>
          <w:szCs w:val="24"/>
        </w:rPr>
      </w:pPr>
      <w:r w:rsidRPr="006235DD">
        <w:rPr>
          <w:rFonts w:ascii="Times New Roman" w:hAnsi="Times New Roman"/>
          <w:sz w:val="24"/>
          <w:szCs w:val="24"/>
        </w:rPr>
        <w:t xml:space="preserve">O modelo estimado ressalta a importância tanto de fatores internos da economia brasileira com de fatores externos, associados à economia dos países desenvolvidos. O risco de investir no Brasil é levado em consideração pelo investidor externo seja reagindo às variações do risco-país ou ao risco cambial. No entanto, o investidor é atraído pelos retornos do mercado de renda fixa brasileiro. Portanto, a tomada de decisão do investidor externo se pauta tanto pelos riscos quanta pelas oportunidades de ganho oferecidas pelo mercado brasileiro. </w:t>
      </w:r>
    </w:p>
    <w:p w:rsidR="0040631F" w:rsidRDefault="0040631F" w:rsidP="00C95531">
      <w:pPr>
        <w:jc w:val="center"/>
        <w:rPr>
          <w:b/>
        </w:rPr>
      </w:pPr>
    </w:p>
    <w:p w:rsidR="0040631F" w:rsidRDefault="0040631F">
      <w:pPr>
        <w:rPr>
          <w:rFonts w:ascii="Times New Roman" w:hAnsi="Times New Roman"/>
          <w:b/>
          <w:sz w:val="24"/>
          <w:szCs w:val="24"/>
        </w:rPr>
      </w:pPr>
      <w:r>
        <w:rPr>
          <w:rFonts w:ascii="Times New Roman" w:hAnsi="Times New Roman"/>
          <w:b/>
          <w:sz w:val="24"/>
          <w:szCs w:val="24"/>
        </w:rPr>
        <w:br w:type="page"/>
      </w:r>
    </w:p>
    <w:p w:rsidR="0040631F" w:rsidRPr="00C95531" w:rsidRDefault="0040631F" w:rsidP="00C95531">
      <w:pPr>
        <w:jc w:val="center"/>
        <w:rPr>
          <w:rFonts w:ascii="Times New Roman" w:hAnsi="Times New Roman"/>
          <w:b/>
          <w:sz w:val="24"/>
          <w:szCs w:val="24"/>
        </w:rPr>
      </w:pPr>
      <w:r w:rsidRPr="00C95531">
        <w:rPr>
          <w:rFonts w:ascii="Times New Roman" w:hAnsi="Times New Roman"/>
          <w:b/>
          <w:sz w:val="24"/>
          <w:szCs w:val="24"/>
        </w:rPr>
        <w:lastRenderedPageBreak/>
        <w:t xml:space="preserve">Anexo </w:t>
      </w:r>
    </w:p>
    <w:tbl>
      <w:tblPr>
        <w:tblpPr w:leftFromText="141" w:rightFromText="141" w:vertAnchor="text" w:horzAnchor="margin" w:tblpXSpec="center"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506" w:type="dxa"/>
            <w:tcBorders>
              <w:left w:val="nil"/>
              <w:bottom w:val="nil"/>
              <w:right w:val="nil"/>
            </w:tcBorders>
          </w:tcPr>
          <w:p w:rsidR="0040631F" w:rsidRPr="00873AF1" w:rsidRDefault="0040631F" w:rsidP="00873AF1">
            <w:pPr>
              <w:spacing w:after="0" w:line="240" w:lineRule="auto"/>
              <w:jc w:val="both"/>
            </w:pPr>
            <w:r w:rsidRPr="00873AF1">
              <w:t>0.83</w:t>
            </w:r>
          </w:p>
        </w:tc>
        <w:tc>
          <w:tcPr>
            <w:tcW w:w="1729" w:type="dxa"/>
            <w:tcBorders>
              <w:left w:val="nil"/>
              <w:bottom w:val="nil"/>
              <w:right w:val="nil"/>
            </w:tcBorders>
          </w:tcPr>
          <w:p w:rsidR="0040631F" w:rsidRPr="00873AF1" w:rsidRDefault="0040631F" w:rsidP="00873AF1">
            <w:pPr>
              <w:spacing w:after="0" w:line="240" w:lineRule="auto"/>
              <w:jc w:val="both"/>
            </w:pPr>
            <w:r w:rsidRPr="00873AF1">
              <w:t>0.17</w:t>
            </w:r>
          </w:p>
        </w:tc>
        <w:tc>
          <w:tcPr>
            <w:tcW w:w="1729" w:type="dxa"/>
            <w:tcBorders>
              <w:left w:val="nil"/>
              <w:bottom w:val="nil"/>
              <w:right w:val="nil"/>
            </w:tcBorders>
          </w:tcPr>
          <w:p w:rsidR="0040631F" w:rsidRPr="00873AF1" w:rsidRDefault="0040631F" w:rsidP="00873AF1">
            <w:pPr>
              <w:spacing w:after="0" w:line="240" w:lineRule="auto"/>
              <w:jc w:val="both"/>
            </w:pPr>
            <w:r w:rsidRPr="00873AF1">
              <w:t>5.00</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CPIB</m:t>
                    </m:r>
                    <m:ctrlPr>
                      <w:rPr>
                        <w:rFonts w:ascii="Cambria Math" w:hAnsi="Cambria Math"/>
                        <w:i/>
                      </w:rPr>
                    </m:ctrlPr>
                  </m:e>
                  <m:sub>
                    <m:r>
                      <w:rPr>
                        <w:rFonts w:ascii="Cambria Math" w:hAnsi="Cambria Math"/>
                      </w:rPr>
                      <m:t>t-4</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-1.82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951"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SEL</m:t>
                    </m:r>
                    <m:ctrlPr>
                      <w:rPr>
                        <w:rFonts w:ascii="Cambria Math" w:hAnsi="Cambria Math"/>
                        <w:i/>
                      </w:rPr>
                    </m:ctrlPr>
                  </m:e>
                  <m:sub>
                    <m:r>
                      <w:rPr>
                        <w:rFonts w:ascii="Cambria Math" w:hAnsi="Cambria Math"/>
                      </w:rPr>
                      <m:t>t-1</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-3.23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11.98</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1.06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0.58</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0.40</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0.52</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1.63</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0.44</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0.23</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3.07</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0.20</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3.18</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1.99</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56</w:t>
            </w:r>
          </w:p>
        </w:tc>
      </w:tr>
    </w:tbl>
    <w:p w:rsidR="0040631F" w:rsidRDefault="0040631F" w:rsidP="002807C4">
      <w:pPr>
        <w:jc w:val="center"/>
        <w:rPr>
          <w:b/>
        </w:rPr>
      </w:pPr>
      <w:r>
        <w:rPr>
          <w:b/>
        </w:rPr>
        <w:t>Tabela A.1</w:t>
      </w:r>
      <w:r w:rsidRPr="009B7BF9">
        <w:rPr>
          <w:b/>
        </w:rPr>
        <w:t xml:space="preserve"> – Estimação da Equação Marginal para a variável independente CPIB</w:t>
      </w:r>
    </w:p>
    <w:p w:rsidR="0040631F" w:rsidRPr="009B7BF9" w:rsidRDefault="0040631F" w:rsidP="002807C4">
      <w:pPr>
        <w:spacing w:after="0" w:line="240" w:lineRule="auto"/>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Default="0040631F" w:rsidP="002807C4">
      <w:pPr>
        <w:spacing w:after="0" w:line="240" w:lineRule="auto"/>
        <w:jc w:val="both"/>
        <w:rPr>
          <w:b/>
        </w:rPr>
      </w:pPr>
    </w:p>
    <w:p w:rsidR="0040631F" w:rsidRPr="009B7BF9" w:rsidRDefault="0040631F" w:rsidP="002807C4">
      <w:pPr>
        <w:jc w:val="center"/>
        <w:rPr>
          <w:b/>
        </w:rPr>
      </w:pPr>
      <w:r>
        <w:rPr>
          <w:b/>
        </w:rPr>
        <w:t>Tabela A.2</w:t>
      </w:r>
      <w:r w:rsidRPr="009B7BF9">
        <w:rPr>
          <w:b/>
        </w:rPr>
        <w:t xml:space="preserve"> – Estimação da Equação Marginal para a variável independente </w:t>
      </w:r>
      <w:r>
        <w:rPr>
          <w:b/>
        </w:rPr>
        <w:t>INF</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p>
          <w:p w:rsidR="0040631F" w:rsidRPr="00873AF1" w:rsidRDefault="0040631F" w:rsidP="00873AF1">
            <w:pPr>
              <w:spacing w:after="0" w:line="240" w:lineRule="auto"/>
              <w:jc w:val="both"/>
            </w:pPr>
            <w:r w:rsidRPr="00873AF1">
              <w:t>Constante</w:t>
            </w:r>
          </w:p>
        </w:tc>
        <w:tc>
          <w:tcPr>
            <w:tcW w:w="1506" w:type="dxa"/>
            <w:tcBorders>
              <w:left w:val="nil"/>
              <w:bottom w:val="nil"/>
              <w:right w:val="nil"/>
            </w:tcBorders>
          </w:tcPr>
          <w:p w:rsidR="0040631F" w:rsidRPr="00873AF1" w:rsidRDefault="0040631F" w:rsidP="00873AF1">
            <w:pPr>
              <w:spacing w:after="0" w:line="240" w:lineRule="auto"/>
              <w:jc w:val="both"/>
            </w:pPr>
            <w:r w:rsidRPr="00873AF1">
              <w:t>0.92</w:t>
            </w:r>
          </w:p>
        </w:tc>
        <w:tc>
          <w:tcPr>
            <w:tcW w:w="1729" w:type="dxa"/>
            <w:tcBorders>
              <w:left w:val="nil"/>
              <w:bottom w:val="nil"/>
              <w:right w:val="nil"/>
            </w:tcBorders>
          </w:tcPr>
          <w:p w:rsidR="0040631F" w:rsidRPr="00873AF1" w:rsidRDefault="0040631F" w:rsidP="00873AF1">
            <w:pPr>
              <w:spacing w:after="0" w:line="240" w:lineRule="auto"/>
              <w:jc w:val="both"/>
            </w:pPr>
            <w:r w:rsidRPr="00873AF1">
              <w:t>0.23</w:t>
            </w:r>
          </w:p>
        </w:tc>
        <w:tc>
          <w:tcPr>
            <w:tcW w:w="1729" w:type="dxa"/>
            <w:tcBorders>
              <w:left w:val="nil"/>
              <w:bottom w:val="nil"/>
              <w:right w:val="nil"/>
            </w:tcBorders>
          </w:tcPr>
          <w:p w:rsidR="0040631F" w:rsidRPr="00873AF1" w:rsidRDefault="0040631F" w:rsidP="00873AF1">
            <w:pPr>
              <w:spacing w:after="0" w:line="240" w:lineRule="auto"/>
              <w:jc w:val="both"/>
            </w:pPr>
            <w:r w:rsidRPr="00873AF1">
              <w:t>3.98</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INF</m:t>
                    </m:r>
                    <m:ctrlPr>
                      <w:rPr>
                        <w:rFonts w:ascii="Cambria Math" w:hAnsi="Cambria Math"/>
                        <w:i/>
                      </w:rPr>
                    </m:ctrlPr>
                  </m:e>
                  <m:sub>
                    <m:r>
                      <w:rPr>
                        <w:rFonts w:ascii="Cambria Math" w:hAnsi="Cambria Math"/>
                      </w:rPr>
                      <m:t>t-1</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0.43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3.94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917B49"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VCAM</m:t>
                    </m:r>
                    <m:ctrlPr>
                      <w:rPr>
                        <w:rFonts w:ascii="Cambria Math" w:hAnsi="Cambria Math"/>
                        <w:i/>
                      </w:rPr>
                    </m:ctrlPr>
                  </m:e>
                  <m:sub>
                    <m:r>
                      <w:rPr>
                        <w:rFonts w:ascii="Cambria Math" w:hAnsi="Cambria Math"/>
                      </w:rPr>
                      <m:t>t-2</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-3.40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1.47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-2.31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0.02</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35.07</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3.88</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0.14</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0.03</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0.84</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2.03</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0.36</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0.31</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2.91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0.29</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3.01</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1.94</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57</w:t>
            </w:r>
          </w:p>
        </w:tc>
      </w:tr>
    </w:tbl>
    <w:p w:rsidR="0040631F" w:rsidRDefault="0040631F" w:rsidP="002807C4">
      <w:pPr>
        <w:spacing w:after="0" w:line="240" w:lineRule="auto"/>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2807C4">
      <w:pPr>
        <w:spacing w:after="0" w:line="240" w:lineRule="auto"/>
        <w:rPr>
          <w:b/>
        </w:rPr>
      </w:pPr>
    </w:p>
    <w:p w:rsidR="0040631F" w:rsidRDefault="0040631F" w:rsidP="00DC36C8">
      <w:pPr>
        <w:spacing w:after="0" w:line="240" w:lineRule="auto"/>
        <w:rPr>
          <w:b/>
        </w:rPr>
      </w:pPr>
    </w:p>
    <w:p w:rsidR="0040631F" w:rsidRPr="00866915" w:rsidRDefault="0040631F" w:rsidP="00DC36C8">
      <w:pPr>
        <w:jc w:val="center"/>
        <w:rPr>
          <w:b/>
        </w:rPr>
      </w:pPr>
      <w:r>
        <w:rPr>
          <w:b/>
        </w:rPr>
        <w:t>Tabela A.3</w:t>
      </w:r>
      <w:r w:rsidRPr="00866915">
        <w:rPr>
          <w:b/>
        </w:rPr>
        <w:t xml:space="preserve"> – Estimação da Equação Marginal</w:t>
      </w:r>
      <w:r>
        <w:rPr>
          <w:b/>
        </w:rPr>
        <w:t xml:space="preserve"> para a variável dependente RCAM</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729"/>
        <w:gridCol w:w="1729"/>
        <w:gridCol w:w="1729"/>
        <w:gridCol w:w="1729"/>
      </w:tblGrid>
      <w:tr w:rsidR="0040631F" w:rsidRPr="00873AF1" w:rsidTr="00873AF1">
        <w:tc>
          <w:tcPr>
            <w:tcW w:w="1728"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z</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728"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0.01</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c>
          <w:tcPr>
            <w:tcW w:w="1729" w:type="dxa"/>
            <w:tcBorders>
              <w:left w:val="nil"/>
              <w:bottom w:val="nil"/>
              <w:right w:val="nil"/>
            </w:tcBorders>
          </w:tcPr>
          <w:p w:rsidR="0040631F" w:rsidRPr="00873AF1" w:rsidRDefault="0040631F" w:rsidP="00873AF1">
            <w:pPr>
              <w:spacing w:after="0" w:line="240" w:lineRule="auto"/>
              <w:jc w:val="both"/>
            </w:pPr>
            <w:r w:rsidRPr="00873AF1">
              <w:t>25.94</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8"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USI</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-6.39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8"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DCAM</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26.83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8" w:type="dxa"/>
            <w:tcBorders>
              <w:top w:val="nil"/>
              <w:left w:val="nil"/>
              <w:bottom w:val="single" w:sz="4" w:space="0" w:color="000000"/>
              <w:right w:val="nil"/>
            </w:tcBorders>
          </w:tcPr>
          <w:p w:rsidR="0040631F" w:rsidRPr="001F5017"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RCAM</m:t>
                    </m:r>
                    <m:ctrlPr>
                      <w:rPr>
                        <w:rFonts w:ascii="Cambria Math" w:hAnsi="Cambria Math"/>
                        <w:i/>
                      </w:rPr>
                    </m:ctrlPr>
                  </m:e>
                  <m:sub>
                    <m:r>
                      <w:rPr>
                        <w:rFonts w:ascii="Cambria Math" w:hAnsi="Cambria Math"/>
                      </w:rPr>
                      <m:t>t-6</m:t>
                    </m:r>
                    <m:ctrlPr>
                      <w:rPr>
                        <w:rFonts w:ascii="Cambria Math" w:hAnsi="Cambria Math"/>
                        <w:i/>
                      </w:rPr>
                    </m:ctrlPr>
                  </m:sub>
                </m:sSub>
              </m:oMath>
            </m:oMathPara>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-0.05</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-4.30</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0.00</w:t>
            </w:r>
          </w:p>
        </w:tc>
      </w:tr>
      <w:tr w:rsidR="0040631F" w:rsidRPr="00873AF1" w:rsidTr="00873AF1">
        <w:tc>
          <w:tcPr>
            <w:tcW w:w="8644" w:type="dxa"/>
            <w:gridSpan w:val="5"/>
            <w:tcBorders>
              <w:top w:val="single" w:sz="4" w:space="0" w:color="000000"/>
              <w:left w:val="nil"/>
              <w:bottom w:val="single" w:sz="4" w:space="0" w:color="000000"/>
              <w:right w:val="nil"/>
            </w:tcBorders>
          </w:tcPr>
          <w:p w:rsidR="0040631F" w:rsidRPr="00873AF1" w:rsidRDefault="0040631F" w:rsidP="00873AF1">
            <w:pPr>
              <w:spacing w:after="0" w:line="240" w:lineRule="auto"/>
              <w:jc w:val="center"/>
            </w:pPr>
            <w:r>
              <w:t>Equação da Variância</w:t>
            </w:r>
          </w:p>
        </w:tc>
      </w:tr>
      <w:tr w:rsidR="0040631F" w:rsidRPr="00873AF1" w:rsidTr="00873AF1">
        <w:tc>
          <w:tcPr>
            <w:tcW w:w="1728"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c>
          <w:tcPr>
            <w:tcW w:w="1729" w:type="dxa"/>
            <w:tcBorders>
              <w:left w:val="nil"/>
              <w:bottom w:val="nil"/>
              <w:right w:val="nil"/>
            </w:tcBorders>
          </w:tcPr>
          <w:p w:rsidR="0040631F" w:rsidRPr="00873AF1" w:rsidRDefault="0040631F" w:rsidP="00873AF1">
            <w:pPr>
              <w:spacing w:after="0" w:line="240" w:lineRule="auto"/>
              <w:jc w:val="both"/>
            </w:pPr>
            <w:r w:rsidRPr="00873AF1">
              <w:t>7.74</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8" w:type="dxa"/>
            <w:tcBorders>
              <w:top w:val="nil"/>
              <w:left w:val="nil"/>
              <w:bottom w:val="single" w:sz="4" w:space="0" w:color="000000"/>
              <w:right w:val="nil"/>
            </w:tcBorders>
          </w:tcPr>
          <w:p w:rsidR="0040631F" w:rsidRPr="00873AF1" w:rsidRDefault="00FC0BE6" w:rsidP="00873AF1">
            <w:pPr>
              <w:spacing w:after="0" w:line="240" w:lineRule="auto"/>
              <w:jc w:val="both"/>
            </w:pPr>
            <m:oMathPara>
              <m:oMath>
                <m:sSubSup>
                  <m:sSubSupPr>
                    <m:ctrlPr>
                      <w:rPr>
                        <w:rFonts w:ascii="Cambria Math" w:eastAsia="Calibri" w:hAnsi="Cambria Math"/>
                        <w:i/>
                      </w:rPr>
                    </m:ctrlPr>
                  </m:sSubSupPr>
                  <m:e>
                    <m:r>
                      <w:rPr>
                        <w:rFonts w:ascii="Cambria Math" w:hAnsi="Cambria Math"/>
                      </w:rPr>
                      <m:t>ε</m:t>
                    </m:r>
                    <m:ctrlPr>
                      <w:rPr>
                        <w:rFonts w:ascii="Cambria Math" w:hAnsi="Cambria Math"/>
                        <w:i/>
                      </w:rPr>
                    </m:ctrlPr>
                  </m:e>
                  <m:sub>
                    <m:r>
                      <w:rPr>
                        <w:rFonts w:ascii="Cambria Math" w:hAnsi="Cambria Math"/>
                      </w:rPr>
                      <m:t>t-1</m:t>
                    </m:r>
                    <m:ctrlPr>
                      <w:rPr>
                        <w:rFonts w:ascii="Cambria Math" w:hAnsi="Cambria Math"/>
                        <w:i/>
                      </w:rPr>
                    </m:ctrlPr>
                  </m:sub>
                  <m:sup>
                    <m:r>
                      <w:rPr>
                        <w:rFonts w:ascii="Cambria Math" w:hAnsi="Cambria Math"/>
                      </w:rPr>
                      <m:t>2</m:t>
                    </m:r>
                    <m:ctrlPr>
                      <w:rPr>
                        <w:rFonts w:ascii="Cambria Math" w:hAnsi="Cambria Math"/>
                        <w:i/>
                      </w:rPr>
                    </m:ctrlPr>
                  </m:sup>
                </m:sSubSup>
              </m:oMath>
            </m:oMathPara>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3.56</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1.81</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1.96</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0.05</w:t>
            </w:r>
          </w:p>
        </w:tc>
      </w:tr>
      <w:tr w:rsidR="0040631F" w:rsidRPr="00873AF1" w:rsidTr="00873AF1">
        <w:tc>
          <w:tcPr>
            <w:tcW w:w="1728"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Jarque-Bera</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145.56</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8"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0.42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-6.65</w:t>
            </w:r>
          </w:p>
        </w:tc>
      </w:tr>
      <w:tr w:rsidR="0040631F" w:rsidRPr="00873AF1" w:rsidTr="00873AF1">
        <w:tc>
          <w:tcPr>
            <w:tcW w:w="1728"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-6.43</w:t>
            </w:r>
          </w:p>
        </w:tc>
      </w:tr>
      <w:tr w:rsidR="0040631F" w:rsidRPr="00873AF1" w:rsidTr="00873AF1">
        <w:tc>
          <w:tcPr>
            <w:tcW w:w="1728"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729" w:type="dxa"/>
            <w:tcBorders>
              <w:top w:val="nil"/>
              <w:left w:val="nil"/>
              <w:right w:val="nil"/>
            </w:tcBorders>
          </w:tcPr>
          <w:p w:rsidR="0040631F" w:rsidRPr="00873AF1" w:rsidRDefault="0040631F" w:rsidP="00873AF1">
            <w:pPr>
              <w:spacing w:after="0" w:line="240" w:lineRule="auto"/>
              <w:jc w:val="both"/>
            </w:pPr>
            <w:r w:rsidRPr="00873AF1">
              <w:t>2.01</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54</w:t>
            </w:r>
          </w:p>
        </w:tc>
      </w:tr>
    </w:tbl>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34BDD" w:rsidRDefault="0040631F" w:rsidP="00DC36C8">
      <w:pPr>
        <w:ind w:firstLine="851"/>
        <w:rPr>
          <w:sz w:val="18"/>
          <w:szCs w:val="18"/>
        </w:rPr>
      </w:pPr>
      <w:r w:rsidRPr="00D34BDD">
        <w:rPr>
          <w:sz w:val="18"/>
          <w:szCs w:val="18"/>
        </w:rPr>
        <w:t>Erros-padrão e covariância robustos de Bollerslev-Wooldbridge</w:t>
      </w:r>
    </w:p>
    <w:p w:rsidR="0040631F" w:rsidRDefault="0040631F" w:rsidP="00DC36C8">
      <w:pPr>
        <w:jc w:val="center"/>
        <w:rPr>
          <w:b/>
        </w:rPr>
      </w:pPr>
    </w:p>
    <w:p w:rsidR="0040631F" w:rsidRDefault="0040631F" w:rsidP="00DC36C8">
      <w:pPr>
        <w:jc w:val="center"/>
        <w:rPr>
          <w:b/>
        </w:rPr>
      </w:pPr>
    </w:p>
    <w:p w:rsidR="0040631F" w:rsidRDefault="0040631F" w:rsidP="00DC36C8">
      <w:pPr>
        <w:jc w:val="center"/>
        <w:rPr>
          <w:b/>
        </w:rPr>
      </w:pPr>
    </w:p>
    <w:p w:rsidR="0040631F" w:rsidRPr="00866915" w:rsidRDefault="0040631F" w:rsidP="00DC36C8">
      <w:pPr>
        <w:jc w:val="center"/>
        <w:rPr>
          <w:b/>
        </w:rPr>
      </w:pPr>
      <w:r>
        <w:rPr>
          <w:b/>
        </w:rPr>
        <w:lastRenderedPageBreak/>
        <w:t>Tabela A.4</w:t>
      </w:r>
      <w:r w:rsidRPr="00866915">
        <w:rPr>
          <w:b/>
        </w:rPr>
        <w:t xml:space="preserve"> – Estimação da Equação Marginal</w:t>
      </w:r>
      <w:r>
        <w:rPr>
          <w:b/>
        </w:rPr>
        <w:t xml:space="preserve"> para a variável dependente RMSCI</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729"/>
        <w:gridCol w:w="1729"/>
        <w:gridCol w:w="1729"/>
        <w:gridCol w:w="1729"/>
      </w:tblGrid>
      <w:tr w:rsidR="0040631F" w:rsidRPr="00873AF1" w:rsidTr="00873AF1">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z</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729"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3.11</w:t>
            </w:r>
          </w:p>
        </w:tc>
        <w:tc>
          <w:tcPr>
            <w:tcW w:w="1729" w:type="dxa"/>
            <w:tcBorders>
              <w:left w:val="nil"/>
              <w:bottom w:val="nil"/>
              <w:right w:val="nil"/>
            </w:tcBorders>
          </w:tcPr>
          <w:p w:rsidR="0040631F" w:rsidRPr="00873AF1" w:rsidRDefault="0040631F" w:rsidP="00873AF1">
            <w:pPr>
              <w:spacing w:after="0" w:line="240" w:lineRule="auto"/>
              <w:jc w:val="both"/>
            </w:pPr>
            <w:r w:rsidRPr="00873AF1">
              <w:t>1.00</w:t>
            </w:r>
          </w:p>
        </w:tc>
        <w:tc>
          <w:tcPr>
            <w:tcW w:w="1729" w:type="dxa"/>
            <w:tcBorders>
              <w:left w:val="nil"/>
              <w:bottom w:val="nil"/>
              <w:right w:val="nil"/>
            </w:tcBorders>
          </w:tcPr>
          <w:p w:rsidR="0040631F" w:rsidRPr="00873AF1" w:rsidRDefault="0040631F" w:rsidP="00873AF1">
            <w:pPr>
              <w:spacing w:after="0" w:line="240" w:lineRule="auto"/>
              <w:jc w:val="both"/>
            </w:pPr>
            <w:r w:rsidRPr="00873AF1">
              <w:t>3.11</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RMSCI</m:t>
                    </m:r>
                    <m:ctrlPr>
                      <w:rPr>
                        <w:rFonts w:ascii="Cambria Math" w:hAnsi="Cambria Math"/>
                        <w:i/>
                      </w:rPr>
                    </m:ctrlPr>
                  </m:e>
                  <m:sub>
                    <m:r>
                      <w:rPr>
                        <w:rFonts w:ascii="Cambria Math" w:hAnsi="Cambria Math"/>
                      </w:rPr>
                      <m:t>t-5</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0.15</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r>
      <w:tr w:rsidR="0040631F" w:rsidRPr="00873AF1" w:rsidTr="00873AF1">
        <w:tc>
          <w:tcPr>
            <w:tcW w:w="1729"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USI</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2.64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Default="004D5DDD" w:rsidP="00873AF1">
            <w:pPr>
              <w:spacing w:after="0" w:line="240" w:lineRule="auto"/>
              <w:jc w:val="both"/>
            </w:pPr>
            <m:oMathPara>
              <m:oMath>
                <m:r>
                  <w:rPr>
                    <w:rFonts w:ascii="Cambria Math" w:hAnsi="Cambria Math"/>
                  </w:rPr>
                  <m:t>DCAM</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-12.48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6.13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r>
      <w:tr w:rsidR="0040631F" w:rsidRPr="00873AF1" w:rsidTr="00873AF1">
        <w:tc>
          <w:tcPr>
            <w:tcW w:w="8645" w:type="dxa"/>
            <w:gridSpan w:val="5"/>
            <w:tcBorders>
              <w:top w:val="single" w:sz="4" w:space="0" w:color="000000"/>
              <w:left w:val="nil"/>
              <w:bottom w:val="single" w:sz="4" w:space="0" w:color="000000"/>
              <w:right w:val="nil"/>
            </w:tcBorders>
          </w:tcPr>
          <w:p w:rsidR="0040631F" w:rsidRPr="00873AF1" w:rsidRDefault="0040631F" w:rsidP="00873AF1">
            <w:pPr>
              <w:spacing w:after="0" w:line="240" w:lineRule="auto"/>
              <w:jc w:val="center"/>
            </w:pPr>
            <w:r>
              <w:t>Equação da Variância</w:t>
            </w:r>
          </w:p>
        </w:tc>
      </w:tr>
      <w:tr w:rsidR="0040631F" w:rsidRPr="00873AF1" w:rsidTr="00873AF1">
        <w:tc>
          <w:tcPr>
            <w:tcW w:w="1729"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1.67</w:t>
            </w:r>
          </w:p>
        </w:tc>
        <w:tc>
          <w:tcPr>
            <w:tcW w:w="1729" w:type="dxa"/>
            <w:tcBorders>
              <w:left w:val="nil"/>
              <w:bottom w:val="nil"/>
              <w:right w:val="nil"/>
            </w:tcBorders>
          </w:tcPr>
          <w:p w:rsidR="0040631F" w:rsidRPr="00873AF1" w:rsidRDefault="0040631F" w:rsidP="00873AF1">
            <w:pPr>
              <w:spacing w:after="0" w:line="240" w:lineRule="auto"/>
              <w:jc w:val="both"/>
            </w:pPr>
            <w:r w:rsidRPr="00873AF1">
              <w:t>0.46</w:t>
            </w:r>
          </w:p>
        </w:tc>
        <w:tc>
          <w:tcPr>
            <w:tcW w:w="1729" w:type="dxa"/>
            <w:tcBorders>
              <w:left w:val="nil"/>
              <w:bottom w:val="nil"/>
              <w:right w:val="nil"/>
            </w:tcBorders>
          </w:tcPr>
          <w:p w:rsidR="0040631F" w:rsidRPr="00873AF1" w:rsidRDefault="0040631F" w:rsidP="00873AF1">
            <w:pPr>
              <w:spacing w:after="0" w:line="240" w:lineRule="auto"/>
              <w:jc w:val="both"/>
            </w:pPr>
            <w:r w:rsidRPr="00873AF1">
              <w:t>3.60</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t-1</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1.98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140.07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single" w:sz="4" w:space="0" w:color="000000"/>
              <w:right w:val="nil"/>
            </w:tcBorders>
          </w:tcPr>
          <w:p w:rsidR="0040631F" w:rsidRPr="0058351C"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t-2</m:t>
                    </m:r>
                    <m:ctrlPr>
                      <w:rPr>
                        <w:rFonts w:ascii="Cambria Math" w:hAnsi="Cambria Math"/>
                        <w:i/>
                      </w:rPr>
                    </m:ctrlPr>
                  </m:sub>
                </m:sSub>
              </m:oMath>
            </m:oMathPara>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-1.01</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-63.98</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Jarque-Bera</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2.13</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0.34</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0.26</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7.02</w:t>
            </w:r>
          </w:p>
        </w:tc>
      </w:tr>
      <w:tr w:rsidR="0040631F" w:rsidRPr="00873AF1" w:rsidTr="00873AF1">
        <w:tc>
          <w:tcPr>
            <w:tcW w:w="1729"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0.17</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7.28</w:t>
            </w:r>
          </w:p>
        </w:tc>
      </w:tr>
      <w:tr w:rsidR="0040631F" w:rsidRPr="00873AF1" w:rsidTr="00873AF1">
        <w:tc>
          <w:tcPr>
            <w:tcW w:w="1729"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729" w:type="dxa"/>
            <w:tcBorders>
              <w:top w:val="nil"/>
              <w:left w:val="nil"/>
              <w:right w:val="nil"/>
            </w:tcBorders>
          </w:tcPr>
          <w:p w:rsidR="0040631F" w:rsidRPr="00873AF1" w:rsidRDefault="0040631F" w:rsidP="00873AF1">
            <w:pPr>
              <w:spacing w:after="0" w:line="240" w:lineRule="auto"/>
              <w:jc w:val="both"/>
            </w:pPr>
            <w:r w:rsidRPr="00873AF1">
              <w:t>1.84</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55</w:t>
            </w:r>
          </w:p>
        </w:tc>
      </w:tr>
    </w:tbl>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Pr="00866915" w:rsidRDefault="0040631F" w:rsidP="00DC36C8">
      <w:pPr>
        <w:jc w:val="center"/>
        <w:rPr>
          <w:b/>
        </w:rPr>
      </w:pPr>
      <w:r>
        <w:rPr>
          <w:b/>
        </w:rPr>
        <w:t>Tabela A.5</w:t>
      </w:r>
      <w:r w:rsidRPr="00866915">
        <w:rPr>
          <w:b/>
        </w:rPr>
        <w:t xml:space="preserve"> – Estimação da Equação Marginal</w:t>
      </w:r>
      <w:r>
        <w:rPr>
          <w:b/>
        </w:rPr>
        <w:t xml:space="preserve"> para a variável dependente BCC</w:t>
      </w:r>
    </w:p>
    <w:tbl>
      <w:tblPr>
        <w:tblpPr w:leftFromText="141" w:rightFromText="141" w:vertAnchor="text" w:horzAnchor="margin" w:tblpXSpec="center"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506" w:type="dxa"/>
            <w:tcBorders>
              <w:left w:val="nil"/>
              <w:bottom w:val="nil"/>
              <w:right w:val="nil"/>
            </w:tcBorders>
          </w:tcPr>
          <w:p w:rsidR="0040631F" w:rsidRPr="00873AF1" w:rsidRDefault="0040631F" w:rsidP="00873AF1">
            <w:pPr>
              <w:spacing w:after="0" w:line="240" w:lineRule="auto"/>
              <w:jc w:val="both"/>
            </w:pPr>
            <w:r w:rsidRPr="00873AF1">
              <w:t>42.42</w:t>
            </w:r>
          </w:p>
        </w:tc>
        <w:tc>
          <w:tcPr>
            <w:tcW w:w="1729" w:type="dxa"/>
            <w:tcBorders>
              <w:left w:val="nil"/>
              <w:bottom w:val="nil"/>
              <w:right w:val="nil"/>
            </w:tcBorders>
          </w:tcPr>
          <w:p w:rsidR="0040631F" w:rsidRPr="00873AF1" w:rsidRDefault="0040631F" w:rsidP="00873AF1">
            <w:pPr>
              <w:spacing w:after="0" w:line="240" w:lineRule="auto"/>
              <w:jc w:val="both"/>
            </w:pPr>
            <w:r w:rsidRPr="00873AF1">
              <w:t>25.00</w:t>
            </w:r>
          </w:p>
        </w:tc>
        <w:tc>
          <w:tcPr>
            <w:tcW w:w="1729" w:type="dxa"/>
            <w:tcBorders>
              <w:left w:val="nil"/>
              <w:bottom w:val="nil"/>
              <w:right w:val="nil"/>
            </w:tcBorders>
          </w:tcPr>
          <w:p w:rsidR="0040631F" w:rsidRPr="00873AF1" w:rsidRDefault="0040631F" w:rsidP="00873AF1">
            <w:pPr>
              <w:spacing w:after="0" w:line="240" w:lineRule="auto"/>
              <w:jc w:val="both"/>
            </w:pPr>
            <w:r w:rsidRPr="00873AF1">
              <w:t>1.69</w:t>
            </w:r>
          </w:p>
        </w:tc>
        <w:tc>
          <w:tcPr>
            <w:tcW w:w="1729" w:type="dxa"/>
            <w:tcBorders>
              <w:left w:val="nil"/>
              <w:bottom w:val="nil"/>
              <w:right w:val="nil"/>
            </w:tcBorders>
          </w:tcPr>
          <w:p w:rsidR="0040631F" w:rsidRPr="00873AF1" w:rsidRDefault="0040631F" w:rsidP="00873AF1">
            <w:pPr>
              <w:spacing w:after="0" w:line="240" w:lineRule="auto"/>
              <w:jc w:val="both"/>
            </w:pPr>
            <w:r w:rsidRPr="00873AF1">
              <w:t>0.09</w:t>
            </w:r>
          </w:p>
        </w:tc>
      </w:tr>
      <w:tr w:rsidR="0040631F" w:rsidRPr="00873AF1" w:rsidTr="00873AF1">
        <w:tc>
          <w:tcPr>
            <w:tcW w:w="1951"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BCC</m:t>
                    </m:r>
                    <m:ctrlPr>
                      <w:rPr>
                        <w:rFonts w:ascii="Cambria Math" w:hAnsi="Cambria Math"/>
                        <w:i/>
                      </w:rPr>
                    </m:ctrlPr>
                  </m:e>
                  <m:sub>
                    <m:r>
                      <w:rPr>
                        <w:rFonts w:ascii="Cambria Math" w:hAnsi="Cambria Math"/>
                      </w:rPr>
                      <m:t>t-3</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r>
      <w:tr w:rsidR="0040631F" w:rsidRPr="00873AF1" w:rsidTr="00873AF1">
        <w:tc>
          <w:tcPr>
            <w:tcW w:w="1951"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BCC</m:t>
                    </m:r>
                    <m:ctrlPr>
                      <w:rPr>
                        <w:rFonts w:ascii="Cambria Math" w:hAnsi="Cambria Math"/>
                        <w:i/>
                      </w:rPr>
                    </m:ctrlPr>
                  </m:e>
                  <m:sub>
                    <m:r>
                      <w:rPr>
                        <w:rFonts w:ascii="Cambria Math" w:hAnsi="Cambria Math"/>
                      </w:rPr>
                      <m:t>t-5</m:t>
                    </m:r>
                    <m:ctrlPr>
                      <w:rPr>
                        <w:rFonts w:ascii="Cambria Math" w:hAnsi="Cambria Math"/>
                        <w:i/>
                      </w:rPr>
                    </m:ctrlPr>
                  </m:sub>
                </m:sSub>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-0.23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-1.79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86.81</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3.07</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3.08</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0.79</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2.30</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0.13</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13.21</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0.10</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13.32</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2.46</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54</w:t>
            </w:r>
          </w:p>
        </w:tc>
      </w:tr>
    </w:tbl>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Pr="00866915" w:rsidRDefault="0040631F" w:rsidP="00DC36C8">
      <w:pPr>
        <w:jc w:val="center"/>
        <w:rPr>
          <w:b/>
        </w:rPr>
      </w:pPr>
      <w:r>
        <w:rPr>
          <w:b/>
        </w:rPr>
        <w:t>Tabela A.6</w:t>
      </w:r>
      <w:r w:rsidRPr="00866915">
        <w:rPr>
          <w:b/>
        </w:rPr>
        <w:t xml:space="preserve"> – Estimação da Equação Marginal</w:t>
      </w:r>
      <w:r>
        <w:rPr>
          <w:b/>
        </w:rPr>
        <w:t xml:space="preserve"> para a variável dependente VCAM</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729"/>
        <w:gridCol w:w="1729"/>
        <w:gridCol w:w="1729"/>
        <w:gridCol w:w="1729"/>
      </w:tblGrid>
      <w:tr w:rsidR="0040631F" w:rsidRPr="00873AF1" w:rsidTr="00873AF1">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z</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rad>
                  <m:radPr>
                    <m:degHide m:val="on"/>
                    <m:ctrlPr>
                      <w:rPr>
                        <w:rFonts w:ascii="Cambria Math" w:eastAsia="Calibri" w:hAnsi="Cambria Math"/>
                        <w:i/>
                      </w:rPr>
                    </m:ctrlPr>
                  </m:radPr>
                  <m:deg>
                    <m:ctrlPr>
                      <w:rPr>
                        <w:rFonts w:ascii="Cambria Math" w:hAnsi="Cambria Math"/>
                        <w:i/>
                      </w:rPr>
                    </m:ctrlPr>
                  </m:deg>
                  <m:e>
                    <m:sSub>
                      <m:sSubPr>
                        <m:ctrlPr>
                          <w:rPr>
                            <w:rFonts w:ascii="Cambria Math" w:hAnsi="Cambria Math"/>
                            <w:i/>
                          </w:rPr>
                        </m:ctrlPr>
                      </m:sSubPr>
                      <m:e>
                        <m:r>
                          <w:rPr>
                            <w:rFonts w:ascii="Cambria Math" w:hAnsi="Cambria Math"/>
                          </w:rPr>
                          <m:t>h</m:t>
                        </m:r>
                      </m:e>
                      <m:sub>
                        <m:r>
                          <w:rPr>
                            <w:rFonts w:ascii="Cambria Math" w:hAnsi="Cambria Math"/>
                          </w:rPr>
                          <m:t>t</m:t>
                        </m:r>
                      </m:sub>
                    </m:sSub>
                    <m:ctrlPr>
                      <w:rPr>
                        <w:rFonts w:ascii="Cambria Math" w:hAnsi="Cambria Math"/>
                        <w:i/>
                      </w:rPr>
                    </m:ctrlPr>
                  </m:e>
                </m:rad>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2.95</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Default="0040631F" w:rsidP="00873AF1">
            <w:pPr>
              <w:spacing w:after="0" w:line="240" w:lineRule="auto"/>
              <w:jc w:val="both"/>
            </w:pPr>
            <w:r>
              <w:t>Constante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-2.56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r>
      <w:tr w:rsidR="0040631F" w:rsidRPr="00873AF1" w:rsidTr="00873AF1">
        <w:tc>
          <w:tcPr>
            <w:tcW w:w="1729"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DCAM</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-15.62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8645" w:type="dxa"/>
            <w:gridSpan w:val="5"/>
            <w:tcBorders>
              <w:top w:val="single" w:sz="4" w:space="0" w:color="000000"/>
              <w:left w:val="nil"/>
              <w:bottom w:val="single" w:sz="4" w:space="0" w:color="000000"/>
              <w:right w:val="nil"/>
            </w:tcBorders>
          </w:tcPr>
          <w:p w:rsidR="0040631F" w:rsidRPr="00873AF1" w:rsidRDefault="0040631F" w:rsidP="00873AF1">
            <w:pPr>
              <w:spacing w:after="0" w:line="240" w:lineRule="auto"/>
              <w:jc w:val="center"/>
            </w:pPr>
            <w:r>
              <w:t>Equação da Variância</w:t>
            </w:r>
          </w:p>
        </w:tc>
      </w:tr>
      <w:tr w:rsidR="0040631F" w:rsidRPr="00873AF1" w:rsidTr="00873AF1">
        <w:tc>
          <w:tcPr>
            <w:tcW w:w="1729"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0.54</w:t>
            </w:r>
          </w:p>
        </w:tc>
        <w:tc>
          <w:tcPr>
            <w:tcW w:w="1729" w:type="dxa"/>
            <w:tcBorders>
              <w:left w:val="nil"/>
              <w:bottom w:val="nil"/>
              <w:right w:val="nil"/>
            </w:tcBorders>
          </w:tcPr>
          <w:p w:rsidR="0040631F" w:rsidRPr="00873AF1" w:rsidRDefault="0040631F" w:rsidP="00873AF1">
            <w:pPr>
              <w:spacing w:after="0" w:line="240" w:lineRule="auto"/>
              <w:jc w:val="both"/>
            </w:pPr>
            <w:r w:rsidRPr="00873AF1">
              <w:t>0.65</w:t>
            </w:r>
          </w:p>
        </w:tc>
        <w:tc>
          <w:tcPr>
            <w:tcW w:w="1729" w:type="dxa"/>
            <w:tcBorders>
              <w:left w:val="nil"/>
              <w:bottom w:val="nil"/>
              <w:right w:val="nil"/>
            </w:tcBorders>
          </w:tcPr>
          <w:p w:rsidR="0040631F" w:rsidRPr="00873AF1" w:rsidRDefault="0040631F" w:rsidP="00873AF1">
            <w:pPr>
              <w:spacing w:after="0" w:line="240" w:lineRule="auto"/>
              <w:jc w:val="both"/>
            </w:pPr>
            <w:r w:rsidRPr="00873AF1">
              <w:t>0.82</w:t>
            </w:r>
          </w:p>
        </w:tc>
        <w:tc>
          <w:tcPr>
            <w:tcW w:w="1729" w:type="dxa"/>
            <w:tcBorders>
              <w:left w:val="nil"/>
              <w:bottom w:val="nil"/>
              <w:right w:val="nil"/>
            </w:tcBorders>
          </w:tcPr>
          <w:p w:rsidR="0040631F" w:rsidRPr="00873AF1" w:rsidRDefault="0040631F" w:rsidP="00873AF1">
            <w:pPr>
              <w:spacing w:after="0" w:line="240" w:lineRule="auto"/>
              <w:jc w:val="both"/>
            </w:pPr>
            <w:r w:rsidRPr="00873AF1">
              <w:t>0.40</w:t>
            </w:r>
          </w:p>
        </w:tc>
      </w:tr>
      <w:tr w:rsidR="0040631F" w:rsidRPr="00873AF1" w:rsidTr="00873AF1">
        <w:tc>
          <w:tcPr>
            <w:tcW w:w="1729" w:type="dxa"/>
            <w:tcBorders>
              <w:top w:val="nil"/>
              <w:left w:val="nil"/>
              <w:bottom w:val="nil"/>
              <w:right w:val="nil"/>
            </w:tcBorders>
          </w:tcPr>
          <w:p w:rsidR="0040631F" w:rsidRPr="004A784C" w:rsidRDefault="00FC0BE6" w:rsidP="00873AF1">
            <w:pPr>
              <w:spacing w:after="0" w:line="240" w:lineRule="auto"/>
              <w:jc w:val="both"/>
            </w:pPr>
            <m:oMathPara>
              <m:oMath>
                <m:sSubSup>
                  <m:sSubSupPr>
                    <m:ctrlPr>
                      <w:rPr>
                        <w:rFonts w:ascii="Cambria Math" w:eastAsia="Calibri" w:hAnsi="Cambria Math"/>
                        <w:i/>
                      </w:rPr>
                    </m:ctrlPr>
                  </m:sSubSupPr>
                  <m:e>
                    <m:r>
                      <w:rPr>
                        <w:rFonts w:ascii="Cambria Math" w:hAnsi="Cambria Math"/>
                      </w:rPr>
                      <m:t>ε</m:t>
                    </m:r>
                    <m:ctrlPr>
                      <w:rPr>
                        <w:rFonts w:ascii="Cambria Math" w:hAnsi="Cambria Math"/>
                        <w:i/>
                      </w:rPr>
                    </m:ctrlPr>
                  </m:e>
                  <m:sub>
                    <m:r>
                      <w:rPr>
                        <w:rFonts w:ascii="Cambria Math" w:hAnsi="Cambria Math"/>
                      </w:rPr>
                      <m:t>t-1</m:t>
                    </m:r>
                    <m:ctrlPr>
                      <w:rPr>
                        <w:rFonts w:ascii="Cambria Math" w:hAnsi="Cambria Math"/>
                        <w:i/>
                      </w:rPr>
                    </m:ctrlPr>
                  </m:sub>
                  <m:sup>
                    <m:r>
                      <w:rPr>
                        <w:rFonts w:ascii="Cambria Math" w:hAnsi="Cambria Math"/>
                      </w:rPr>
                      <m:t>2</m:t>
                    </m:r>
                    <m:ctrlPr>
                      <w:rPr>
                        <w:rFonts w:ascii="Cambria Math" w:hAnsi="Cambria Math"/>
                        <w:i/>
                      </w:rPr>
                    </m:ctrlPr>
                  </m:sup>
                </m:sSubSup>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0.65</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2.01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t-2</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Jarque-Bera</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0.38</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0.82</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0.40</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6.47</w:t>
            </w:r>
          </w:p>
        </w:tc>
      </w:tr>
      <w:tr w:rsidR="0040631F" w:rsidRPr="00873AF1" w:rsidTr="00873AF1">
        <w:tc>
          <w:tcPr>
            <w:tcW w:w="1729"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0.35</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6.69</w:t>
            </w:r>
          </w:p>
        </w:tc>
      </w:tr>
      <w:tr w:rsidR="0040631F" w:rsidRPr="00873AF1" w:rsidTr="00873AF1">
        <w:tc>
          <w:tcPr>
            <w:tcW w:w="1729"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729" w:type="dxa"/>
            <w:tcBorders>
              <w:top w:val="nil"/>
              <w:left w:val="nil"/>
              <w:right w:val="nil"/>
            </w:tcBorders>
          </w:tcPr>
          <w:p w:rsidR="0040631F" w:rsidRPr="00873AF1" w:rsidRDefault="0040631F" w:rsidP="00873AF1">
            <w:pPr>
              <w:spacing w:after="0" w:line="240" w:lineRule="auto"/>
              <w:jc w:val="both"/>
            </w:pPr>
            <w:r w:rsidRPr="00873AF1">
              <w:t>1.80</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59</w:t>
            </w:r>
          </w:p>
        </w:tc>
      </w:tr>
    </w:tbl>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jc w:val="center"/>
        <w:rPr>
          <w:b/>
        </w:rPr>
      </w:pPr>
    </w:p>
    <w:p w:rsidR="0040631F" w:rsidRDefault="0040631F" w:rsidP="00DC36C8">
      <w:pPr>
        <w:jc w:val="center"/>
        <w:rPr>
          <w:b/>
        </w:rPr>
      </w:pPr>
    </w:p>
    <w:p w:rsidR="0040631F" w:rsidRDefault="0040631F" w:rsidP="00DC36C8">
      <w:pPr>
        <w:jc w:val="center"/>
        <w:rPr>
          <w:b/>
        </w:rPr>
      </w:pPr>
    </w:p>
    <w:p w:rsidR="0040631F" w:rsidRDefault="0040631F" w:rsidP="00DC36C8">
      <w:pPr>
        <w:jc w:val="center"/>
        <w:rPr>
          <w:b/>
        </w:rPr>
      </w:pPr>
    </w:p>
    <w:p w:rsidR="0040631F" w:rsidRPr="00866915" w:rsidRDefault="0040631F" w:rsidP="00DC36C8">
      <w:pPr>
        <w:jc w:val="center"/>
        <w:rPr>
          <w:b/>
        </w:rPr>
      </w:pPr>
      <w:r>
        <w:rPr>
          <w:b/>
        </w:rPr>
        <w:lastRenderedPageBreak/>
        <w:t>Tabela A.7</w:t>
      </w:r>
      <w:r w:rsidRPr="00866915">
        <w:rPr>
          <w:b/>
        </w:rPr>
        <w:t xml:space="preserve"> – Estimação da Equação Marginal</w:t>
      </w:r>
      <w:r>
        <w:rPr>
          <w:b/>
        </w:rPr>
        <w:t xml:space="preserve"> para a variável dependente EST</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729"/>
        <w:gridCol w:w="1729"/>
        <w:gridCol w:w="1729"/>
        <w:gridCol w:w="1729"/>
      </w:tblGrid>
      <w:tr w:rsidR="0040631F" w:rsidRPr="00873AF1" w:rsidTr="00873AF1">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z</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729" w:type="dxa"/>
            <w:tcBorders>
              <w:top w:val="nil"/>
              <w:left w:val="nil"/>
              <w:bottom w:val="nil"/>
              <w:right w:val="nil"/>
            </w:tcBorders>
          </w:tcPr>
          <w:p w:rsidR="0040631F" w:rsidRPr="00917B49" w:rsidRDefault="00FC0BE6" w:rsidP="00873AF1">
            <w:pPr>
              <w:spacing w:after="0" w:line="240" w:lineRule="auto"/>
              <w:jc w:val="both"/>
            </w:pPr>
            <m:oMathPara>
              <m:oMath>
                <m:rad>
                  <m:radPr>
                    <m:degHide m:val="on"/>
                    <m:ctrlPr>
                      <w:rPr>
                        <w:rFonts w:ascii="Cambria Math" w:eastAsia="Calibri" w:hAnsi="Cambria Math"/>
                        <w:i/>
                      </w:rPr>
                    </m:ctrlPr>
                  </m:radPr>
                  <m:deg>
                    <m:ctrlPr>
                      <w:rPr>
                        <w:rFonts w:ascii="Cambria Math" w:hAnsi="Cambria Math"/>
                        <w:i/>
                      </w:rPr>
                    </m:ctrlPr>
                  </m:deg>
                  <m:e>
                    <m:sSub>
                      <m:sSubPr>
                        <m:ctrlPr>
                          <w:rPr>
                            <w:rFonts w:ascii="Cambria Math" w:hAnsi="Cambria Math"/>
                            <w:i/>
                          </w:rPr>
                        </m:ctrlPr>
                      </m:sSubPr>
                      <m:e>
                        <m:r>
                          <w:rPr>
                            <w:rFonts w:ascii="Cambria Math" w:hAnsi="Cambria Math"/>
                          </w:rPr>
                          <m:t>h</m:t>
                        </m:r>
                      </m:e>
                      <m:sub>
                        <m:r>
                          <w:rPr>
                            <w:rFonts w:ascii="Cambria Math" w:hAnsi="Cambria Math"/>
                          </w:rPr>
                          <m:t>t</m:t>
                        </m:r>
                      </m:sub>
                    </m:sSub>
                    <m:ctrlPr>
                      <w:rPr>
                        <w:rFonts w:ascii="Cambria Math" w:hAnsi="Cambria Math"/>
                        <w:i/>
                      </w:rPr>
                    </m:ctrlPr>
                  </m:e>
                </m:rad>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0.19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2.99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EST</m:t>
                    </m:r>
                    <m:ctrlPr>
                      <w:rPr>
                        <w:rFonts w:ascii="Cambria Math" w:hAnsi="Cambria Math"/>
                        <w:i/>
                      </w:rPr>
                    </m:ctrlPr>
                  </m:e>
                  <m:sub>
                    <m:r>
                      <w:rPr>
                        <w:rFonts w:ascii="Cambria Math" w:hAnsi="Cambria Math"/>
                      </w:rPr>
                      <m:t>t-2</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0.05</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2.29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0.02</w:t>
            </w:r>
          </w:p>
        </w:tc>
      </w:tr>
      <w:tr w:rsidR="0040631F" w:rsidRPr="00873AF1" w:rsidTr="00873AF1">
        <w:tc>
          <w:tcPr>
            <w:tcW w:w="1729"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RCAM</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96.32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44.86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2.14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0.03</w:t>
            </w:r>
          </w:p>
        </w:tc>
      </w:tr>
      <w:tr w:rsidR="0040631F" w:rsidRPr="00873AF1" w:rsidTr="00873AF1">
        <w:tc>
          <w:tcPr>
            <w:tcW w:w="1729" w:type="dxa"/>
            <w:tcBorders>
              <w:top w:val="nil"/>
              <w:left w:val="nil"/>
              <w:bottom w:val="nil"/>
              <w:right w:val="nil"/>
            </w:tcBorders>
          </w:tcPr>
          <w:p w:rsidR="0040631F"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RCAM</m:t>
                    </m:r>
                    <m:ctrlPr>
                      <w:rPr>
                        <w:rFonts w:ascii="Cambria Math" w:hAnsi="Cambria Math"/>
                        <w:i/>
                      </w:rPr>
                    </m:ctrlPr>
                  </m:e>
                  <m:sub>
                    <m:r>
                      <w:rPr>
                        <w:rFonts w:ascii="Cambria Math" w:hAnsi="Cambria Math"/>
                      </w:rPr>
                      <m:t>t-3</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-124.40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73.60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-1.69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0.09</w:t>
            </w:r>
          </w:p>
        </w:tc>
      </w:tr>
      <w:tr w:rsidR="0040631F" w:rsidRPr="00873AF1" w:rsidTr="00873AF1">
        <w:tc>
          <w:tcPr>
            <w:tcW w:w="8645" w:type="dxa"/>
            <w:gridSpan w:val="5"/>
            <w:tcBorders>
              <w:top w:val="single" w:sz="4" w:space="0" w:color="000000"/>
              <w:left w:val="nil"/>
              <w:bottom w:val="single" w:sz="4" w:space="0" w:color="000000"/>
              <w:right w:val="nil"/>
            </w:tcBorders>
          </w:tcPr>
          <w:p w:rsidR="0040631F" w:rsidRPr="00873AF1" w:rsidRDefault="0040631F" w:rsidP="00873AF1">
            <w:pPr>
              <w:spacing w:after="0" w:line="240" w:lineRule="auto"/>
              <w:jc w:val="center"/>
            </w:pPr>
            <w:r>
              <w:t>Equação da Variância</w:t>
            </w:r>
          </w:p>
        </w:tc>
      </w:tr>
      <w:tr w:rsidR="0040631F" w:rsidRPr="00873AF1" w:rsidTr="00873AF1">
        <w:tc>
          <w:tcPr>
            <w:tcW w:w="1729"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-1.92</w:t>
            </w:r>
          </w:p>
        </w:tc>
        <w:tc>
          <w:tcPr>
            <w:tcW w:w="1729" w:type="dxa"/>
            <w:tcBorders>
              <w:left w:val="nil"/>
              <w:bottom w:val="nil"/>
              <w:right w:val="nil"/>
            </w:tcBorders>
          </w:tcPr>
          <w:p w:rsidR="0040631F" w:rsidRPr="00873AF1" w:rsidRDefault="0040631F" w:rsidP="00873AF1">
            <w:pPr>
              <w:spacing w:after="0" w:line="240" w:lineRule="auto"/>
              <w:jc w:val="both"/>
            </w:pPr>
            <w:r w:rsidRPr="00873AF1">
              <w:t>3.93</w:t>
            </w:r>
          </w:p>
        </w:tc>
        <w:tc>
          <w:tcPr>
            <w:tcW w:w="1729" w:type="dxa"/>
            <w:tcBorders>
              <w:left w:val="nil"/>
              <w:bottom w:val="nil"/>
              <w:right w:val="nil"/>
            </w:tcBorders>
          </w:tcPr>
          <w:p w:rsidR="0040631F" w:rsidRPr="00873AF1" w:rsidRDefault="0040631F" w:rsidP="00873AF1">
            <w:pPr>
              <w:spacing w:after="0" w:line="240" w:lineRule="auto"/>
              <w:jc w:val="both"/>
            </w:pPr>
            <w:r w:rsidRPr="00873AF1">
              <w:t>-0.49</w:t>
            </w:r>
          </w:p>
        </w:tc>
        <w:tc>
          <w:tcPr>
            <w:tcW w:w="1729" w:type="dxa"/>
            <w:tcBorders>
              <w:left w:val="nil"/>
              <w:bottom w:val="nil"/>
              <w:right w:val="nil"/>
            </w:tcBorders>
          </w:tcPr>
          <w:p w:rsidR="0040631F" w:rsidRPr="00873AF1" w:rsidRDefault="0040631F" w:rsidP="00873AF1">
            <w:pPr>
              <w:spacing w:after="0" w:line="240" w:lineRule="auto"/>
              <w:jc w:val="both"/>
            </w:pPr>
            <w:r w:rsidRPr="00873AF1">
              <w:t>0.62</w:t>
            </w:r>
          </w:p>
        </w:tc>
      </w:tr>
      <w:tr w:rsidR="0040631F" w:rsidRPr="00873AF1" w:rsidTr="00873AF1">
        <w:tc>
          <w:tcPr>
            <w:tcW w:w="1729" w:type="dxa"/>
            <w:tcBorders>
              <w:top w:val="nil"/>
              <w:left w:val="nil"/>
              <w:bottom w:val="nil"/>
              <w:right w:val="nil"/>
            </w:tcBorders>
          </w:tcPr>
          <w:p w:rsidR="0040631F" w:rsidRPr="004A784C"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t-1</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0.99</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24.50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Jarque-Bera</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4.63</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0.09</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0.37</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7.87</w:t>
            </w:r>
          </w:p>
        </w:tc>
      </w:tr>
      <w:tr w:rsidR="0040631F" w:rsidRPr="00873AF1" w:rsidTr="00873AF1">
        <w:tc>
          <w:tcPr>
            <w:tcW w:w="1729"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0.31</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8.09</w:t>
            </w:r>
          </w:p>
        </w:tc>
      </w:tr>
      <w:tr w:rsidR="0040631F" w:rsidRPr="00873AF1" w:rsidTr="00873AF1">
        <w:tc>
          <w:tcPr>
            <w:tcW w:w="1729"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729" w:type="dxa"/>
            <w:tcBorders>
              <w:top w:val="nil"/>
              <w:left w:val="nil"/>
              <w:right w:val="nil"/>
            </w:tcBorders>
          </w:tcPr>
          <w:p w:rsidR="0040631F" w:rsidRPr="00873AF1" w:rsidRDefault="0040631F" w:rsidP="00873AF1">
            <w:pPr>
              <w:spacing w:after="0" w:line="240" w:lineRule="auto"/>
              <w:jc w:val="both"/>
            </w:pPr>
            <w:r w:rsidRPr="00873AF1">
              <w:t>1.74</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57</w:t>
            </w:r>
          </w:p>
        </w:tc>
      </w:tr>
    </w:tbl>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Pr="00866915" w:rsidRDefault="0040631F" w:rsidP="00DC36C8">
      <w:pPr>
        <w:jc w:val="center"/>
        <w:rPr>
          <w:b/>
        </w:rPr>
      </w:pPr>
      <w:r>
        <w:rPr>
          <w:b/>
        </w:rPr>
        <w:t>Tabela A.8</w:t>
      </w:r>
      <w:r w:rsidRPr="00866915">
        <w:rPr>
          <w:b/>
        </w:rPr>
        <w:t xml:space="preserve"> – Estimação da Equação Marginal</w:t>
      </w:r>
      <w:r>
        <w:rPr>
          <w:b/>
        </w:rPr>
        <w:t xml:space="preserve"> para a variável dependente VRP</w:t>
      </w:r>
    </w:p>
    <w:tbl>
      <w:tblPr>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06"/>
        <w:gridCol w:w="1729"/>
        <w:gridCol w:w="1729"/>
        <w:gridCol w:w="1729"/>
      </w:tblGrid>
      <w:tr w:rsidR="0040631F" w:rsidRPr="00873AF1" w:rsidTr="00873AF1">
        <w:tc>
          <w:tcPr>
            <w:tcW w:w="1951"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506"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t</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951"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SEL</m:t>
                </m:r>
              </m:oMath>
            </m:oMathPara>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0.73</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3.47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left w:val="nil"/>
              <w:bottom w:val="nil"/>
              <w:right w:val="nil"/>
            </w:tcBorders>
          </w:tcPr>
          <w:p w:rsidR="0040631F" w:rsidRPr="00873AF1" w:rsidRDefault="0040631F" w:rsidP="00873AF1">
            <w:pPr>
              <w:spacing w:after="0" w:line="240" w:lineRule="auto"/>
              <w:jc w:val="both"/>
            </w:pPr>
            <w:r w:rsidRPr="00873AF1">
              <w:t>Jarque-Bera</w:t>
            </w:r>
          </w:p>
        </w:tc>
        <w:tc>
          <w:tcPr>
            <w:tcW w:w="1506" w:type="dxa"/>
            <w:tcBorders>
              <w:left w:val="nil"/>
              <w:bottom w:val="nil"/>
              <w:right w:val="nil"/>
            </w:tcBorders>
          </w:tcPr>
          <w:p w:rsidR="0040631F" w:rsidRPr="00873AF1" w:rsidRDefault="0040631F" w:rsidP="00873AF1">
            <w:pPr>
              <w:spacing w:after="0" w:line="240" w:lineRule="auto"/>
              <w:jc w:val="both"/>
            </w:pPr>
            <w:r w:rsidRPr="00873AF1">
              <w:t>313.60</w:t>
            </w: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Breush-Godfrey(2)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1.99</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0.36</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ARCH (1)</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0.08</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0.76</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Teste Reset (2)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1.06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0.58</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9.99</w:t>
            </w:r>
          </w:p>
        </w:tc>
      </w:tr>
      <w:tr w:rsidR="0040631F" w:rsidRPr="00873AF1" w:rsidTr="00873AF1">
        <w:tc>
          <w:tcPr>
            <w:tcW w:w="1951"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506" w:type="dxa"/>
            <w:tcBorders>
              <w:top w:val="nil"/>
              <w:left w:val="nil"/>
              <w:bottom w:val="nil"/>
              <w:right w:val="nil"/>
            </w:tcBorders>
          </w:tcPr>
          <w:p w:rsidR="0040631F" w:rsidRPr="00873AF1" w:rsidRDefault="0040631F" w:rsidP="00873AF1">
            <w:pPr>
              <w:spacing w:after="0" w:line="240" w:lineRule="auto"/>
              <w:jc w:val="both"/>
            </w:pPr>
            <w:r w:rsidRPr="00873AF1">
              <w:t>0.16</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10.03</w:t>
            </w:r>
          </w:p>
        </w:tc>
      </w:tr>
      <w:tr w:rsidR="0040631F" w:rsidRPr="00873AF1" w:rsidTr="00873AF1">
        <w:tc>
          <w:tcPr>
            <w:tcW w:w="1951"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506" w:type="dxa"/>
            <w:tcBorders>
              <w:top w:val="nil"/>
              <w:left w:val="nil"/>
              <w:right w:val="nil"/>
            </w:tcBorders>
          </w:tcPr>
          <w:p w:rsidR="0040631F" w:rsidRPr="00873AF1" w:rsidRDefault="0040631F" w:rsidP="00873AF1">
            <w:pPr>
              <w:spacing w:after="0" w:line="240" w:lineRule="auto"/>
              <w:jc w:val="both"/>
            </w:pPr>
            <w:r w:rsidRPr="00873AF1">
              <w:t>2.21</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59</w:t>
            </w:r>
          </w:p>
        </w:tc>
      </w:tr>
    </w:tbl>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Default="0040631F" w:rsidP="00DC36C8">
      <w:pPr>
        <w:spacing w:after="0" w:line="240" w:lineRule="auto"/>
        <w:rPr>
          <w:b/>
        </w:rPr>
      </w:pPr>
    </w:p>
    <w:p w:rsidR="0040631F" w:rsidRPr="00DC36C8" w:rsidRDefault="0040631F" w:rsidP="00DC36C8">
      <w:pPr>
        <w:spacing w:after="0" w:line="240" w:lineRule="auto"/>
        <w:jc w:val="center"/>
        <w:rPr>
          <w:b/>
        </w:rPr>
      </w:pPr>
      <w:r w:rsidRPr="00DC36C8">
        <w:rPr>
          <w:b/>
        </w:rPr>
        <w:t>Tabela A.9 – Estimação da Equação Marginal para a variável dependente USI</w:t>
      </w:r>
    </w:p>
    <w:tbl>
      <w:tblPr>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729"/>
        <w:gridCol w:w="1729"/>
        <w:gridCol w:w="1729"/>
        <w:gridCol w:w="1729"/>
      </w:tblGrid>
      <w:tr w:rsidR="0040631F" w:rsidRPr="00873AF1" w:rsidTr="00873AF1">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Variáveis</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Coeficiente</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Erro-Padrão</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Estatística z</w:t>
            </w:r>
          </w:p>
        </w:tc>
        <w:tc>
          <w:tcPr>
            <w:tcW w:w="1729" w:type="dxa"/>
            <w:tcBorders>
              <w:left w:val="nil"/>
              <w:bottom w:val="single" w:sz="4" w:space="0" w:color="000000"/>
              <w:right w:val="nil"/>
            </w:tcBorders>
          </w:tcPr>
          <w:p w:rsidR="0040631F" w:rsidRPr="00873AF1" w:rsidRDefault="0040631F" w:rsidP="00873AF1">
            <w:pPr>
              <w:spacing w:after="0" w:line="240" w:lineRule="auto"/>
              <w:jc w:val="both"/>
            </w:pPr>
            <w:r w:rsidRPr="00873AF1">
              <w:t>Valor-p</w:t>
            </w:r>
          </w:p>
        </w:tc>
      </w:tr>
      <w:tr w:rsidR="0040631F" w:rsidRPr="00873AF1" w:rsidTr="00873AF1">
        <w:tc>
          <w:tcPr>
            <w:tcW w:w="1729" w:type="dxa"/>
            <w:tcBorders>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USI</m:t>
                    </m:r>
                    <m:ctrlPr>
                      <w:rPr>
                        <w:rFonts w:ascii="Cambria Math" w:hAnsi="Cambria Math"/>
                        <w:i/>
                      </w:rPr>
                    </m:ctrlPr>
                  </m:e>
                  <m:sub>
                    <m:r>
                      <w:rPr>
                        <w:rFonts w:ascii="Cambria Math" w:hAnsi="Cambria Math"/>
                      </w:rPr>
                      <m:t>t-1</m:t>
                    </m:r>
                    <m:ctrlPr>
                      <w:rPr>
                        <w:rFonts w:ascii="Cambria Math" w:hAnsi="Cambria Math"/>
                        <w:i/>
                      </w:rPr>
                    </m:ctrlPr>
                  </m:sub>
                </m:sSub>
              </m:oMath>
            </m:oMathPara>
          </w:p>
        </w:tc>
        <w:tc>
          <w:tcPr>
            <w:tcW w:w="1729" w:type="dxa"/>
            <w:tcBorders>
              <w:left w:val="nil"/>
              <w:bottom w:val="nil"/>
              <w:right w:val="nil"/>
            </w:tcBorders>
          </w:tcPr>
          <w:p w:rsidR="0040631F" w:rsidRPr="00873AF1" w:rsidRDefault="0040631F" w:rsidP="00873AF1">
            <w:pPr>
              <w:spacing w:after="0" w:line="240" w:lineRule="auto"/>
              <w:jc w:val="both"/>
            </w:pPr>
            <w:r w:rsidRPr="00873AF1">
              <w:t>0.92</w:t>
            </w:r>
          </w:p>
        </w:tc>
        <w:tc>
          <w:tcPr>
            <w:tcW w:w="1729" w:type="dxa"/>
            <w:tcBorders>
              <w:left w:val="nil"/>
              <w:bottom w:val="nil"/>
              <w:right w:val="nil"/>
            </w:tcBorders>
          </w:tcPr>
          <w:p w:rsidR="0040631F" w:rsidRPr="00873AF1" w:rsidRDefault="0040631F" w:rsidP="00873AF1">
            <w:pPr>
              <w:spacing w:after="0" w:line="240" w:lineRule="auto"/>
              <w:jc w:val="both"/>
            </w:pPr>
            <w:r w:rsidRPr="00873AF1">
              <w:t>0.13</w:t>
            </w:r>
          </w:p>
        </w:tc>
        <w:tc>
          <w:tcPr>
            <w:tcW w:w="1729" w:type="dxa"/>
            <w:tcBorders>
              <w:left w:val="nil"/>
              <w:bottom w:val="nil"/>
              <w:right w:val="nil"/>
            </w:tcBorders>
          </w:tcPr>
          <w:p w:rsidR="0040631F" w:rsidRPr="00873AF1" w:rsidRDefault="0040631F" w:rsidP="00873AF1">
            <w:pPr>
              <w:spacing w:after="0" w:line="240" w:lineRule="auto"/>
              <w:jc w:val="both"/>
            </w:pPr>
            <w:r w:rsidRPr="00873AF1">
              <w:t>5.08</w:t>
            </w:r>
          </w:p>
        </w:tc>
        <w:tc>
          <w:tcPr>
            <w:tcW w:w="1729" w:type="dxa"/>
            <w:tcBorders>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RMSCI</m:t>
                    </m:r>
                    <m:ctrlPr>
                      <w:rPr>
                        <w:rFonts w:ascii="Cambria Math" w:hAnsi="Cambria Math"/>
                        <w:i/>
                      </w:rPr>
                    </m:ctrlPr>
                  </m:e>
                  <m:sub>
                    <m:r>
                      <w:rPr>
                        <w:rFonts w:ascii="Cambria Math" w:hAnsi="Cambria Math"/>
                      </w:rPr>
                      <m:t>t-5</m:t>
                    </m:r>
                    <m:ctrlPr>
                      <w:rPr>
                        <w:rFonts w:ascii="Cambria Math" w:hAnsi="Cambria Math"/>
                        <w:i/>
                      </w:rPr>
                    </m:ctrlPr>
                  </m:sub>
                </m:sSub>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0.02</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-2.44</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729" w:type="dxa"/>
            <w:tcBorders>
              <w:top w:val="nil"/>
              <w:left w:val="nil"/>
              <w:bottom w:val="nil"/>
              <w:right w:val="nil"/>
            </w:tcBorders>
          </w:tcPr>
          <w:p w:rsidR="0040631F" w:rsidRPr="00873AF1" w:rsidRDefault="004D5DDD" w:rsidP="00873AF1">
            <w:pPr>
              <w:spacing w:after="0" w:line="240" w:lineRule="auto"/>
              <w:jc w:val="both"/>
            </w:pPr>
            <m:oMathPara>
              <m:oMath>
                <m:r>
                  <w:rPr>
                    <w:rFonts w:ascii="Cambria Math" w:eastAsia="Calibri" w:hAnsi="Cambria Math"/>
                  </w:rPr>
                  <m:t>DCAM</m:t>
                </m:r>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18.31</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4.28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4.26</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8645" w:type="dxa"/>
            <w:gridSpan w:val="5"/>
            <w:tcBorders>
              <w:top w:val="single" w:sz="4" w:space="0" w:color="000000"/>
              <w:left w:val="nil"/>
              <w:bottom w:val="single" w:sz="4" w:space="0" w:color="000000"/>
              <w:right w:val="nil"/>
            </w:tcBorders>
          </w:tcPr>
          <w:p w:rsidR="0040631F" w:rsidRPr="00873AF1" w:rsidRDefault="0040631F" w:rsidP="00873AF1">
            <w:pPr>
              <w:spacing w:after="0" w:line="240" w:lineRule="auto"/>
              <w:jc w:val="center"/>
            </w:pPr>
            <w:r w:rsidRPr="00DC36C8">
              <w:t>Equação da Variância</w:t>
            </w:r>
          </w:p>
        </w:tc>
      </w:tr>
      <w:tr w:rsidR="0040631F" w:rsidRPr="00873AF1" w:rsidTr="00873AF1">
        <w:tc>
          <w:tcPr>
            <w:tcW w:w="1729" w:type="dxa"/>
            <w:tcBorders>
              <w:left w:val="nil"/>
              <w:bottom w:val="nil"/>
              <w:right w:val="nil"/>
            </w:tcBorders>
          </w:tcPr>
          <w:p w:rsidR="0040631F" w:rsidRPr="00873AF1" w:rsidRDefault="0040631F" w:rsidP="00873AF1">
            <w:pPr>
              <w:spacing w:after="0" w:line="240" w:lineRule="auto"/>
              <w:jc w:val="both"/>
            </w:pPr>
            <w:r w:rsidRPr="00873AF1">
              <w:t>Constante</w:t>
            </w:r>
          </w:p>
        </w:tc>
        <w:tc>
          <w:tcPr>
            <w:tcW w:w="1729" w:type="dxa"/>
            <w:tcBorders>
              <w:left w:val="nil"/>
              <w:bottom w:val="nil"/>
              <w:right w:val="nil"/>
            </w:tcBorders>
          </w:tcPr>
          <w:p w:rsidR="0040631F" w:rsidRPr="00873AF1" w:rsidRDefault="0040631F" w:rsidP="00873AF1">
            <w:pPr>
              <w:spacing w:after="0" w:line="240" w:lineRule="auto"/>
              <w:jc w:val="both"/>
            </w:pPr>
            <w:r w:rsidRPr="00873AF1">
              <w:t>1.74</w:t>
            </w:r>
          </w:p>
        </w:tc>
        <w:tc>
          <w:tcPr>
            <w:tcW w:w="1729" w:type="dxa"/>
            <w:tcBorders>
              <w:left w:val="nil"/>
              <w:bottom w:val="nil"/>
              <w:right w:val="nil"/>
            </w:tcBorders>
          </w:tcPr>
          <w:p w:rsidR="0040631F" w:rsidRPr="00873AF1" w:rsidRDefault="0040631F" w:rsidP="00873AF1">
            <w:pPr>
              <w:spacing w:after="0" w:line="240" w:lineRule="auto"/>
              <w:jc w:val="both"/>
            </w:pPr>
            <w:r w:rsidRPr="00873AF1">
              <w:t>5.84</w:t>
            </w:r>
          </w:p>
        </w:tc>
        <w:tc>
          <w:tcPr>
            <w:tcW w:w="1729" w:type="dxa"/>
            <w:tcBorders>
              <w:left w:val="nil"/>
              <w:bottom w:val="nil"/>
              <w:right w:val="nil"/>
            </w:tcBorders>
          </w:tcPr>
          <w:p w:rsidR="0040631F" w:rsidRPr="00873AF1" w:rsidRDefault="0040631F" w:rsidP="00873AF1">
            <w:pPr>
              <w:spacing w:after="0" w:line="240" w:lineRule="auto"/>
              <w:jc w:val="both"/>
            </w:pPr>
            <w:r w:rsidRPr="00873AF1">
              <w:t>0.29</w:t>
            </w:r>
          </w:p>
        </w:tc>
        <w:tc>
          <w:tcPr>
            <w:tcW w:w="1729" w:type="dxa"/>
            <w:tcBorders>
              <w:left w:val="nil"/>
              <w:bottom w:val="nil"/>
              <w:right w:val="nil"/>
            </w:tcBorders>
          </w:tcPr>
          <w:p w:rsidR="0040631F" w:rsidRPr="00873AF1" w:rsidRDefault="0040631F" w:rsidP="00873AF1">
            <w:pPr>
              <w:spacing w:after="0" w:line="240" w:lineRule="auto"/>
              <w:jc w:val="both"/>
            </w:pPr>
            <w:r w:rsidRPr="00873AF1">
              <w:t>0.76</w:t>
            </w:r>
          </w:p>
        </w:tc>
      </w:tr>
      <w:tr w:rsidR="0040631F" w:rsidRPr="00873AF1" w:rsidTr="00873AF1">
        <w:tc>
          <w:tcPr>
            <w:tcW w:w="1729" w:type="dxa"/>
            <w:tcBorders>
              <w:top w:val="nil"/>
              <w:left w:val="nil"/>
              <w:bottom w:val="nil"/>
              <w:right w:val="nil"/>
            </w:tcBorders>
          </w:tcPr>
          <w:p w:rsidR="0040631F" w:rsidRPr="00873AF1" w:rsidRDefault="00FC0BE6" w:rsidP="00873AF1">
            <w:pPr>
              <w:spacing w:after="0" w:line="240" w:lineRule="auto"/>
              <w:jc w:val="both"/>
            </w:pPr>
            <m:oMathPara>
              <m:oMath>
                <m:sSubSup>
                  <m:sSubSupPr>
                    <m:ctrlPr>
                      <w:rPr>
                        <w:rFonts w:ascii="Cambria Math" w:eastAsia="Calibri" w:hAnsi="Cambria Math"/>
                        <w:i/>
                      </w:rPr>
                    </m:ctrlPr>
                  </m:sSubSupPr>
                  <m:e>
                    <m:r>
                      <w:rPr>
                        <w:rFonts w:ascii="Cambria Math" w:hAnsi="Cambria Math"/>
                      </w:rPr>
                      <m:t>ε</m:t>
                    </m:r>
                    <m:ctrlPr>
                      <w:rPr>
                        <w:rFonts w:ascii="Cambria Math" w:hAnsi="Cambria Math"/>
                        <w:i/>
                      </w:rPr>
                    </m:ctrlPr>
                  </m:e>
                  <m:sub>
                    <m:r>
                      <w:rPr>
                        <w:rFonts w:ascii="Cambria Math" w:hAnsi="Cambria Math"/>
                      </w:rPr>
                      <m:t>t-1</m:t>
                    </m:r>
                    <m:ctrlPr>
                      <w:rPr>
                        <w:rFonts w:ascii="Cambria Math" w:hAnsi="Cambria Math"/>
                        <w:i/>
                      </w:rPr>
                    </m:ctrlPr>
                  </m:sub>
                  <m:sup>
                    <m:r>
                      <w:rPr>
                        <w:rFonts w:ascii="Cambria Math" w:hAnsi="Cambria Math"/>
                      </w:rPr>
                      <m:t>2</m:t>
                    </m:r>
                    <m:ctrlPr>
                      <w:rPr>
                        <w:rFonts w:ascii="Cambria Math" w:hAnsi="Cambria Math"/>
                        <w:i/>
                      </w:rPr>
                    </m:ctrlPr>
                  </m:sup>
                </m:sSubSup>
              </m:oMath>
            </m:oMathPara>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0.87</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0.48</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1.80</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0.07</w:t>
            </w:r>
          </w:p>
        </w:tc>
      </w:tr>
      <w:tr w:rsidR="0040631F" w:rsidRPr="00873AF1" w:rsidTr="00873AF1">
        <w:tc>
          <w:tcPr>
            <w:tcW w:w="1729" w:type="dxa"/>
            <w:tcBorders>
              <w:top w:val="nil"/>
              <w:left w:val="nil"/>
              <w:bottom w:val="single" w:sz="4" w:space="0" w:color="000000"/>
              <w:right w:val="nil"/>
            </w:tcBorders>
          </w:tcPr>
          <w:p w:rsidR="0040631F" w:rsidRPr="00DC36C8" w:rsidRDefault="00FC0BE6" w:rsidP="00873AF1">
            <w:pPr>
              <w:spacing w:after="0" w:line="240" w:lineRule="auto"/>
              <w:jc w:val="both"/>
            </w:pPr>
            <m:oMathPara>
              <m:oMath>
                <m:sSub>
                  <m:sSubPr>
                    <m:ctrlPr>
                      <w:rPr>
                        <w:rFonts w:ascii="Cambria Math" w:eastAsia="Calibri" w:hAnsi="Cambria Math"/>
                        <w:i/>
                      </w:rPr>
                    </m:ctrlPr>
                  </m:sSubPr>
                  <m:e>
                    <m:r>
                      <w:rPr>
                        <w:rFonts w:ascii="Cambria Math" w:hAnsi="Cambria Math"/>
                      </w:rPr>
                      <m:t>h</m:t>
                    </m:r>
                    <m:ctrlPr>
                      <w:rPr>
                        <w:rFonts w:ascii="Cambria Math" w:hAnsi="Cambria Math"/>
                        <w:i/>
                      </w:rPr>
                    </m:ctrlPr>
                  </m:e>
                  <m:sub>
                    <m:r>
                      <w:rPr>
                        <w:rFonts w:ascii="Cambria Math" w:hAnsi="Cambria Math"/>
                      </w:rPr>
                      <m:t>t-2</m:t>
                    </m:r>
                    <m:ctrlPr>
                      <w:rPr>
                        <w:rFonts w:ascii="Cambria Math" w:hAnsi="Cambria Math"/>
                        <w:i/>
                      </w:rPr>
                    </m:ctrlPr>
                  </m:sub>
                </m:sSub>
              </m:oMath>
            </m:oMathPara>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0.60</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0.14</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4.18</w:t>
            </w:r>
          </w:p>
        </w:tc>
        <w:tc>
          <w:tcPr>
            <w:tcW w:w="1729" w:type="dxa"/>
            <w:tcBorders>
              <w:top w:val="nil"/>
              <w:left w:val="nil"/>
              <w:bottom w:val="single" w:sz="4" w:space="0" w:color="000000"/>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Jarque-Bera</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25.71</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0.00</w:t>
            </w:r>
          </w:p>
        </w:tc>
      </w:tr>
      <w:tr w:rsidR="0040631F" w:rsidRPr="00873AF1" w:rsidTr="00873AF1">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0.34</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Akaike</w:t>
            </w:r>
          </w:p>
        </w:tc>
        <w:tc>
          <w:tcPr>
            <w:tcW w:w="1729" w:type="dxa"/>
            <w:tcBorders>
              <w:top w:val="single" w:sz="4" w:space="0" w:color="000000"/>
              <w:left w:val="nil"/>
              <w:bottom w:val="nil"/>
              <w:right w:val="nil"/>
            </w:tcBorders>
          </w:tcPr>
          <w:p w:rsidR="0040631F" w:rsidRPr="00873AF1" w:rsidRDefault="0040631F" w:rsidP="00873AF1">
            <w:pPr>
              <w:spacing w:after="0" w:line="240" w:lineRule="auto"/>
              <w:jc w:val="both"/>
            </w:pPr>
            <w:r w:rsidRPr="00873AF1">
              <w:t>7.85</w:t>
            </w:r>
          </w:p>
        </w:tc>
      </w:tr>
      <w:tr w:rsidR="0040631F" w:rsidRPr="00873AF1" w:rsidTr="00873AF1">
        <w:tc>
          <w:tcPr>
            <w:tcW w:w="1729" w:type="dxa"/>
            <w:tcBorders>
              <w:top w:val="nil"/>
              <w:left w:val="nil"/>
              <w:bottom w:val="nil"/>
              <w:right w:val="nil"/>
            </w:tcBorders>
          </w:tcPr>
          <w:p w:rsidR="0040631F" w:rsidRPr="00873AF1" w:rsidRDefault="0040631F" w:rsidP="00873AF1">
            <w:pPr>
              <w:spacing w:after="0" w:line="240" w:lineRule="auto"/>
              <w:jc w:val="both"/>
            </w:pPr>
            <w:r w:rsidRPr="00873AF1">
              <w:t>R</w:t>
            </w:r>
            <w:r w:rsidRPr="00873AF1">
              <w:rPr>
                <w:vertAlign w:val="superscript"/>
              </w:rPr>
              <w:t>2</w:t>
            </w:r>
            <w:r w:rsidRPr="00873AF1">
              <w:t xml:space="preserve"> ajustado</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0.27</w:t>
            </w:r>
          </w:p>
        </w:tc>
        <w:tc>
          <w:tcPr>
            <w:tcW w:w="1729" w:type="dxa"/>
            <w:tcBorders>
              <w:top w:val="nil"/>
              <w:left w:val="nil"/>
              <w:bottom w:val="nil"/>
              <w:right w:val="nil"/>
            </w:tcBorders>
          </w:tcPr>
          <w:p w:rsidR="0040631F" w:rsidRPr="00873AF1" w:rsidRDefault="0040631F" w:rsidP="00873AF1">
            <w:pPr>
              <w:spacing w:after="0" w:line="240" w:lineRule="auto"/>
              <w:jc w:val="both"/>
            </w:pP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Schwarz</w:t>
            </w:r>
          </w:p>
        </w:tc>
        <w:tc>
          <w:tcPr>
            <w:tcW w:w="1729" w:type="dxa"/>
            <w:tcBorders>
              <w:top w:val="nil"/>
              <w:left w:val="nil"/>
              <w:bottom w:val="nil"/>
              <w:right w:val="nil"/>
            </w:tcBorders>
          </w:tcPr>
          <w:p w:rsidR="0040631F" w:rsidRPr="00873AF1" w:rsidRDefault="0040631F" w:rsidP="00873AF1">
            <w:pPr>
              <w:spacing w:after="0" w:line="240" w:lineRule="auto"/>
              <w:jc w:val="both"/>
            </w:pPr>
            <w:r w:rsidRPr="00873AF1">
              <w:t>8.06</w:t>
            </w:r>
          </w:p>
        </w:tc>
      </w:tr>
      <w:tr w:rsidR="0040631F" w:rsidRPr="00873AF1" w:rsidTr="00873AF1">
        <w:tc>
          <w:tcPr>
            <w:tcW w:w="1729" w:type="dxa"/>
            <w:tcBorders>
              <w:top w:val="nil"/>
              <w:left w:val="nil"/>
              <w:right w:val="nil"/>
            </w:tcBorders>
          </w:tcPr>
          <w:p w:rsidR="0040631F" w:rsidRPr="00873AF1" w:rsidRDefault="0040631F" w:rsidP="00873AF1">
            <w:pPr>
              <w:spacing w:after="0" w:line="240" w:lineRule="auto"/>
              <w:jc w:val="both"/>
            </w:pPr>
            <w:r w:rsidRPr="00873AF1">
              <w:t>Durbin-Watson</w:t>
            </w:r>
          </w:p>
        </w:tc>
        <w:tc>
          <w:tcPr>
            <w:tcW w:w="1729" w:type="dxa"/>
            <w:tcBorders>
              <w:top w:val="nil"/>
              <w:left w:val="nil"/>
              <w:right w:val="nil"/>
            </w:tcBorders>
          </w:tcPr>
          <w:p w:rsidR="0040631F" w:rsidRPr="00873AF1" w:rsidRDefault="0040631F" w:rsidP="00873AF1">
            <w:pPr>
              <w:spacing w:after="0" w:line="240" w:lineRule="auto"/>
              <w:jc w:val="both"/>
            </w:pPr>
            <w:r w:rsidRPr="00873AF1">
              <w:t>2.18</w:t>
            </w:r>
          </w:p>
        </w:tc>
        <w:tc>
          <w:tcPr>
            <w:tcW w:w="1729" w:type="dxa"/>
            <w:tcBorders>
              <w:top w:val="nil"/>
              <w:left w:val="nil"/>
              <w:right w:val="nil"/>
            </w:tcBorders>
          </w:tcPr>
          <w:p w:rsidR="0040631F" w:rsidRPr="00873AF1" w:rsidRDefault="0040631F" w:rsidP="00873AF1">
            <w:pPr>
              <w:spacing w:after="0" w:line="240" w:lineRule="auto"/>
              <w:jc w:val="both"/>
            </w:pPr>
          </w:p>
        </w:tc>
        <w:tc>
          <w:tcPr>
            <w:tcW w:w="1729" w:type="dxa"/>
            <w:tcBorders>
              <w:top w:val="nil"/>
              <w:left w:val="nil"/>
              <w:right w:val="nil"/>
            </w:tcBorders>
          </w:tcPr>
          <w:p w:rsidR="0040631F" w:rsidRPr="00873AF1" w:rsidRDefault="0040631F" w:rsidP="00873AF1">
            <w:pPr>
              <w:spacing w:after="0" w:line="240" w:lineRule="auto"/>
              <w:jc w:val="both"/>
            </w:pPr>
            <w:r w:rsidRPr="00873AF1">
              <w:t>Observações</w:t>
            </w:r>
          </w:p>
        </w:tc>
        <w:tc>
          <w:tcPr>
            <w:tcW w:w="1729" w:type="dxa"/>
            <w:tcBorders>
              <w:top w:val="nil"/>
              <w:left w:val="nil"/>
              <w:right w:val="nil"/>
            </w:tcBorders>
          </w:tcPr>
          <w:p w:rsidR="0040631F" w:rsidRPr="00873AF1" w:rsidRDefault="0040631F" w:rsidP="00873AF1">
            <w:pPr>
              <w:spacing w:after="0" w:line="240" w:lineRule="auto"/>
              <w:jc w:val="both"/>
            </w:pPr>
            <w:r w:rsidRPr="00873AF1">
              <w:t>58</w:t>
            </w:r>
          </w:p>
        </w:tc>
      </w:tr>
    </w:tbl>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DC36C8" w:rsidRDefault="0040631F" w:rsidP="00DC36C8">
      <w:pPr>
        <w:spacing w:after="0" w:line="240" w:lineRule="auto"/>
      </w:pPr>
    </w:p>
    <w:p w:rsidR="0040631F" w:rsidRPr="00A62965" w:rsidRDefault="0040631F" w:rsidP="00A62965">
      <w:pPr>
        <w:spacing w:after="0" w:line="240" w:lineRule="auto"/>
      </w:pPr>
    </w:p>
    <w:p w:rsidR="0040631F" w:rsidRPr="00A62965" w:rsidRDefault="0040631F" w:rsidP="00A62965">
      <w:pPr>
        <w:spacing w:after="0" w:line="240" w:lineRule="auto"/>
      </w:pPr>
    </w:p>
    <w:p w:rsidR="0040631F" w:rsidRPr="00A62965" w:rsidRDefault="0040631F" w:rsidP="00A62965">
      <w:pPr>
        <w:spacing w:after="0" w:line="240" w:lineRule="auto"/>
      </w:pPr>
    </w:p>
    <w:p w:rsidR="0040631F" w:rsidRPr="00A62965" w:rsidRDefault="0040631F" w:rsidP="00A62965">
      <w:pPr>
        <w:spacing w:after="0" w:line="240" w:lineRule="auto"/>
      </w:pPr>
    </w:p>
    <w:p w:rsidR="0040631F" w:rsidRPr="00A62965" w:rsidRDefault="0040631F" w:rsidP="00A62965">
      <w:pPr>
        <w:spacing w:after="0" w:line="240" w:lineRule="auto"/>
      </w:pPr>
    </w:p>
    <w:p w:rsidR="0040631F" w:rsidRPr="00D34BDD" w:rsidRDefault="0040631F" w:rsidP="00A62965">
      <w:pPr>
        <w:ind w:firstLine="851"/>
        <w:rPr>
          <w:sz w:val="18"/>
          <w:szCs w:val="18"/>
        </w:rPr>
      </w:pPr>
      <w:r w:rsidRPr="00D34BDD">
        <w:rPr>
          <w:sz w:val="18"/>
          <w:szCs w:val="18"/>
        </w:rPr>
        <w:t>Erros-padrão e covariância robustos de Bollerslev-Wooldbridge</w:t>
      </w:r>
    </w:p>
    <w:p w:rsidR="0040631F" w:rsidRDefault="0040631F" w:rsidP="00036C1C">
      <w:pPr>
        <w:ind w:left="1418" w:right="1699"/>
        <w:jc w:val="center"/>
        <w:rPr>
          <w:b/>
        </w:rPr>
      </w:pPr>
    </w:p>
    <w:p w:rsidR="0040631F" w:rsidRDefault="0040631F" w:rsidP="00036C1C">
      <w:pPr>
        <w:ind w:left="1418" w:right="1699"/>
        <w:jc w:val="center"/>
        <w:rPr>
          <w:b/>
        </w:rPr>
      </w:pPr>
    </w:p>
    <w:p w:rsidR="0040631F" w:rsidRDefault="0040631F" w:rsidP="00036C1C">
      <w:pPr>
        <w:ind w:left="1418" w:right="1699"/>
        <w:jc w:val="center"/>
        <w:rPr>
          <w:b/>
        </w:rPr>
      </w:pPr>
    </w:p>
    <w:p w:rsidR="0040631F" w:rsidRDefault="0040631F" w:rsidP="00036C1C">
      <w:pPr>
        <w:ind w:left="1418" w:right="1699"/>
        <w:jc w:val="center"/>
        <w:rPr>
          <w:b/>
        </w:rPr>
      </w:pPr>
    </w:p>
    <w:p w:rsidR="0040631F" w:rsidRDefault="0040631F" w:rsidP="00036C1C">
      <w:pPr>
        <w:ind w:left="1418" w:right="1699"/>
        <w:jc w:val="center"/>
        <w:rPr>
          <w:b/>
        </w:rPr>
      </w:pPr>
    </w:p>
    <w:p w:rsidR="0040631F" w:rsidRPr="00FF3312" w:rsidRDefault="0040631F" w:rsidP="00036C1C">
      <w:pPr>
        <w:ind w:left="1701" w:right="1699"/>
        <w:jc w:val="center"/>
        <w:rPr>
          <w:b/>
        </w:rPr>
      </w:pPr>
      <w:r>
        <w:rPr>
          <w:b/>
        </w:rPr>
        <w:lastRenderedPageBreak/>
        <w:t>Tabela A.10</w:t>
      </w:r>
      <w:r w:rsidRPr="00FF3312">
        <w:rPr>
          <w:b/>
        </w:rPr>
        <w:t xml:space="preserve"> – Teste de Exogeneidade Fraca das variáveis CPIB, INF, RCAM, RMSCI, BCC, VCAM, EST, VRP, USI</w:t>
      </w:r>
      <w:r>
        <w:rPr>
          <w:b/>
        </w:rPr>
        <w:t xml:space="preserve"> em relação à equação do modelo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729"/>
        <w:gridCol w:w="1729"/>
        <w:gridCol w:w="1729"/>
      </w:tblGrid>
      <w:tr w:rsidR="0040631F" w:rsidRPr="00873AF1" w:rsidTr="00873AF1">
        <w:trPr>
          <w:jc w:val="center"/>
        </w:trPr>
        <w:tc>
          <w:tcPr>
            <w:tcW w:w="1728" w:type="dxa"/>
            <w:tcBorders>
              <w:left w:val="nil"/>
              <w:bottom w:val="single" w:sz="4" w:space="0" w:color="000000"/>
              <w:right w:val="nil"/>
            </w:tcBorders>
          </w:tcPr>
          <w:p w:rsidR="0040631F" w:rsidRPr="00873AF1" w:rsidRDefault="0040631F" w:rsidP="00873AF1">
            <w:pPr>
              <w:spacing w:after="0" w:line="240" w:lineRule="auto"/>
            </w:pPr>
            <w:r w:rsidRPr="00873AF1">
              <w:t>Equação de acordo com a variável dependente</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Wald</w:t>
            </w:r>
          </w:p>
          <w:p w:rsidR="0040631F" w:rsidRPr="00873AF1" w:rsidRDefault="0040631F" w:rsidP="00873AF1">
            <w:pPr>
              <w:spacing w:after="0" w:line="240" w:lineRule="auto"/>
            </w:pPr>
            <w:r w:rsidRPr="00873AF1">
              <w:t xml:space="preserve"> (estatística F)</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(Parâmetros, observações)</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Valor-p*</w:t>
            </w:r>
          </w:p>
        </w:tc>
      </w:tr>
      <w:tr w:rsidR="0040631F" w:rsidRPr="00873AF1" w:rsidTr="00873AF1">
        <w:trPr>
          <w:jc w:val="center"/>
        </w:trPr>
        <w:tc>
          <w:tcPr>
            <w:tcW w:w="1728" w:type="dxa"/>
            <w:tcBorders>
              <w:left w:val="nil"/>
              <w:bottom w:val="nil"/>
              <w:right w:val="nil"/>
            </w:tcBorders>
          </w:tcPr>
          <w:p w:rsidR="0040631F" w:rsidRPr="00873AF1" w:rsidRDefault="0040631F" w:rsidP="00873AF1">
            <w:pPr>
              <w:spacing w:after="0" w:line="240" w:lineRule="auto"/>
            </w:pPr>
            <w:r w:rsidRPr="00873AF1">
              <w:t>CPIB</w:t>
            </w:r>
          </w:p>
        </w:tc>
        <w:tc>
          <w:tcPr>
            <w:tcW w:w="1729" w:type="dxa"/>
            <w:tcBorders>
              <w:left w:val="nil"/>
              <w:bottom w:val="nil"/>
              <w:right w:val="nil"/>
            </w:tcBorders>
          </w:tcPr>
          <w:p w:rsidR="0040631F" w:rsidRPr="00873AF1" w:rsidRDefault="0040631F" w:rsidP="00873AF1">
            <w:pPr>
              <w:spacing w:after="0" w:line="240" w:lineRule="auto"/>
            </w:pPr>
            <w:r w:rsidRPr="00873AF1">
              <w:t>1.16</w:t>
            </w:r>
          </w:p>
        </w:tc>
        <w:tc>
          <w:tcPr>
            <w:tcW w:w="1729" w:type="dxa"/>
            <w:tcBorders>
              <w:left w:val="nil"/>
              <w:bottom w:val="nil"/>
              <w:right w:val="nil"/>
            </w:tcBorders>
          </w:tcPr>
          <w:p w:rsidR="0040631F" w:rsidRPr="00873AF1" w:rsidRDefault="0040631F" w:rsidP="00873AF1">
            <w:pPr>
              <w:spacing w:after="0" w:line="240" w:lineRule="auto"/>
            </w:pPr>
            <w:r w:rsidRPr="00873AF1">
              <w:t>(1,52)</w:t>
            </w:r>
          </w:p>
        </w:tc>
        <w:tc>
          <w:tcPr>
            <w:tcW w:w="1729" w:type="dxa"/>
            <w:tcBorders>
              <w:left w:val="nil"/>
              <w:bottom w:val="nil"/>
              <w:right w:val="nil"/>
            </w:tcBorders>
          </w:tcPr>
          <w:p w:rsidR="0040631F" w:rsidRPr="00873AF1" w:rsidRDefault="0040631F" w:rsidP="00873AF1">
            <w:pPr>
              <w:spacing w:after="0" w:line="240" w:lineRule="auto"/>
            </w:pPr>
            <w:r w:rsidRPr="00873AF1">
              <w:t>0.28</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INF</w:t>
            </w:r>
          </w:p>
        </w:tc>
        <w:tc>
          <w:tcPr>
            <w:tcW w:w="1729" w:type="dxa"/>
            <w:tcBorders>
              <w:top w:val="nil"/>
              <w:left w:val="nil"/>
              <w:bottom w:val="nil"/>
              <w:right w:val="nil"/>
            </w:tcBorders>
          </w:tcPr>
          <w:p w:rsidR="0040631F" w:rsidRPr="00873AF1" w:rsidRDefault="0040631F" w:rsidP="00873AF1">
            <w:pPr>
              <w:spacing w:after="0" w:line="240" w:lineRule="auto"/>
            </w:pPr>
            <w:r w:rsidRPr="00873AF1">
              <w:t>0.03</w:t>
            </w:r>
          </w:p>
        </w:tc>
        <w:tc>
          <w:tcPr>
            <w:tcW w:w="1729" w:type="dxa"/>
            <w:tcBorders>
              <w:top w:val="nil"/>
              <w:left w:val="nil"/>
              <w:bottom w:val="nil"/>
              <w:right w:val="nil"/>
            </w:tcBorders>
          </w:tcPr>
          <w:p w:rsidR="0040631F" w:rsidRPr="00873AF1" w:rsidRDefault="0040631F" w:rsidP="00873AF1">
            <w:pPr>
              <w:spacing w:after="0" w:line="240" w:lineRule="auto"/>
            </w:pPr>
            <w:r w:rsidRPr="00873AF1">
              <w:t>(1,53)</w:t>
            </w:r>
          </w:p>
        </w:tc>
        <w:tc>
          <w:tcPr>
            <w:tcW w:w="1729" w:type="dxa"/>
            <w:tcBorders>
              <w:top w:val="nil"/>
              <w:left w:val="nil"/>
              <w:bottom w:val="nil"/>
              <w:right w:val="nil"/>
            </w:tcBorders>
          </w:tcPr>
          <w:p w:rsidR="0040631F" w:rsidRPr="00873AF1" w:rsidRDefault="0040631F" w:rsidP="00873AF1">
            <w:pPr>
              <w:spacing w:after="0" w:line="240" w:lineRule="auto"/>
            </w:pPr>
            <w:r w:rsidRPr="00873AF1">
              <w:t>0.86</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RCAM</w:t>
            </w:r>
          </w:p>
        </w:tc>
        <w:tc>
          <w:tcPr>
            <w:tcW w:w="1729" w:type="dxa"/>
            <w:tcBorders>
              <w:top w:val="nil"/>
              <w:left w:val="nil"/>
              <w:bottom w:val="nil"/>
              <w:right w:val="nil"/>
            </w:tcBorders>
          </w:tcPr>
          <w:p w:rsidR="0040631F" w:rsidRPr="00873AF1" w:rsidRDefault="0040631F" w:rsidP="00873AF1">
            <w:pPr>
              <w:spacing w:after="0" w:line="240" w:lineRule="auto"/>
            </w:pPr>
            <w:r w:rsidRPr="00873AF1">
              <w:t>0.00</w:t>
            </w:r>
          </w:p>
        </w:tc>
        <w:tc>
          <w:tcPr>
            <w:tcW w:w="1729" w:type="dxa"/>
            <w:tcBorders>
              <w:top w:val="nil"/>
              <w:left w:val="nil"/>
              <w:bottom w:val="nil"/>
              <w:right w:val="nil"/>
            </w:tcBorders>
          </w:tcPr>
          <w:p w:rsidR="0040631F" w:rsidRPr="00873AF1" w:rsidRDefault="0040631F" w:rsidP="00873AF1">
            <w:pPr>
              <w:spacing w:after="0" w:line="240" w:lineRule="auto"/>
            </w:pPr>
            <w:r w:rsidRPr="00873AF1">
              <w:t>(1,47)</w:t>
            </w:r>
          </w:p>
        </w:tc>
        <w:tc>
          <w:tcPr>
            <w:tcW w:w="1729" w:type="dxa"/>
            <w:tcBorders>
              <w:top w:val="nil"/>
              <w:left w:val="nil"/>
              <w:bottom w:val="nil"/>
              <w:right w:val="nil"/>
            </w:tcBorders>
          </w:tcPr>
          <w:p w:rsidR="0040631F" w:rsidRPr="00873AF1" w:rsidRDefault="0040631F" w:rsidP="00873AF1">
            <w:pPr>
              <w:spacing w:after="0" w:line="240" w:lineRule="auto"/>
            </w:pPr>
            <w:r w:rsidRPr="00873AF1">
              <w:t>0.96</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RMSCI</w:t>
            </w:r>
          </w:p>
        </w:tc>
        <w:tc>
          <w:tcPr>
            <w:tcW w:w="1729" w:type="dxa"/>
            <w:tcBorders>
              <w:top w:val="nil"/>
              <w:left w:val="nil"/>
              <w:bottom w:val="nil"/>
              <w:right w:val="nil"/>
            </w:tcBorders>
          </w:tcPr>
          <w:p w:rsidR="0040631F" w:rsidRPr="00873AF1" w:rsidRDefault="0040631F" w:rsidP="00873AF1">
            <w:pPr>
              <w:spacing w:after="0" w:line="240" w:lineRule="auto"/>
            </w:pPr>
            <w:r w:rsidRPr="00873AF1">
              <w:t>3.49</w:t>
            </w:r>
          </w:p>
        </w:tc>
        <w:tc>
          <w:tcPr>
            <w:tcW w:w="1729" w:type="dxa"/>
            <w:tcBorders>
              <w:top w:val="nil"/>
              <w:left w:val="nil"/>
              <w:bottom w:val="nil"/>
              <w:right w:val="nil"/>
            </w:tcBorders>
          </w:tcPr>
          <w:p w:rsidR="0040631F" w:rsidRPr="00873AF1" w:rsidRDefault="0040631F" w:rsidP="00873AF1">
            <w:pPr>
              <w:spacing w:after="0" w:line="240" w:lineRule="auto"/>
            </w:pPr>
            <w:r w:rsidRPr="00873AF1">
              <w:t>(1,47)</w:t>
            </w:r>
          </w:p>
        </w:tc>
        <w:tc>
          <w:tcPr>
            <w:tcW w:w="1729" w:type="dxa"/>
            <w:tcBorders>
              <w:top w:val="nil"/>
              <w:left w:val="nil"/>
              <w:bottom w:val="nil"/>
              <w:right w:val="nil"/>
            </w:tcBorders>
          </w:tcPr>
          <w:p w:rsidR="0040631F" w:rsidRPr="00873AF1" w:rsidRDefault="0040631F" w:rsidP="00873AF1">
            <w:pPr>
              <w:spacing w:after="0" w:line="240" w:lineRule="auto"/>
            </w:pPr>
            <w:r w:rsidRPr="00873AF1">
              <w:t>0.07</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BCC</w:t>
            </w:r>
          </w:p>
        </w:tc>
        <w:tc>
          <w:tcPr>
            <w:tcW w:w="1729" w:type="dxa"/>
            <w:tcBorders>
              <w:top w:val="nil"/>
              <w:left w:val="nil"/>
              <w:bottom w:val="nil"/>
              <w:right w:val="nil"/>
            </w:tcBorders>
          </w:tcPr>
          <w:p w:rsidR="0040631F" w:rsidRPr="00873AF1" w:rsidRDefault="0040631F" w:rsidP="00873AF1">
            <w:pPr>
              <w:spacing w:after="0" w:line="240" w:lineRule="auto"/>
            </w:pPr>
            <w:r w:rsidRPr="00873AF1">
              <w:t>0.05</w:t>
            </w:r>
          </w:p>
        </w:tc>
        <w:tc>
          <w:tcPr>
            <w:tcW w:w="1729" w:type="dxa"/>
            <w:tcBorders>
              <w:top w:val="nil"/>
              <w:left w:val="nil"/>
              <w:bottom w:val="nil"/>
              <w:right w:val="nil"/>
            </w:tcBorders>
          </w:tcPr>
          <w:p w:rsidR="0040631F" w:rsidRPr="00873AF1" w:rsidRDefault="0040631F" w:rsidP="00873AF1">
            <w:pPr>
              <w:spacing w:after="0" w:line="240" w:lineRule="auto"/>
            </w:pPr>
            <w:r w:rsidRPr="00873AF1">
              <w:t>(1,50)</w:t>
            </w:r>
          </w:p>
        </w:tc>
        <w:tc>
          <w:tcPr>
            <w:tcW w:w="1729" w:type="dxa"/>
            <w:tcBorders>
              <w:top w:val="nil"/>
              <w:left w:val="nil"/>
              <w:bottom w:val="nil"/>
              <w:right w:val="nil"/>
            </w:tcBorders>
          </w:tcPr>
          <w:p w:rsidR="0040631F" w:rsidRPr="00873AF1" w:rsidRDefault="0040631F" w:rsidP="00873AF1">
            <w:pPr>
              <w:spacing w:after="0" w:line="240" w:lineRule="auto"/>
            </w:pPr>
            <w:r w:rsidRPr="00873AF1">
              <w:t>0.82</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VCAM</w:t>
            </w:r>
          </w:p>
        </w:tc>
        <w:tc>
          <w:tcPr>
            <w:tcW w:w="1729" w:type="dxa"/>
            <w:tcBorders>
              <w:top w:val="nil"/>
              <w:left w:val="nil"/>
              <w:bottom w:val="nil"/>
              <w:right w:val="nil"/>
            </w:tcBorders>
          </w:tcPr>
          <w:p w:rsidR="0040631F" w:rsidRPr="00873AF1" w:rsidRDefault="0040631F" w:rsidP="00873AF1">
            <w:pPr>
              <w:spacing w:after="0" w:line="240" w:lineRule="auto"/>
            </w:pPr>
            <w:r w:rsidRPr="00873AF1">
              <w:t>2.06</w:t>
            </w:r>
          </w:p>
        </w:tc>
        <w:tc>
          <w:tcPr>
            <w:tcW w:w="1729" w:type="dxa"/>
            <w:tcBorders>
              <w:top w:val="nil"/>
              <w:left w:val="nil"/>
              <w:bottom w:val="nil"/>
              <w:right w:val="nil"/>
            </w:tcBorders>
          </w:tcPr>
          <w:p w:rsidR="0040631F" w:rsidRPr="00873AF1" w:rsidRDefault="0040631F" w:rsidP="00873AF1">
            <w:pPr>
              <w:spacing w:after="0" w:line="240" w:lineRule="auto"/>
            </w:pPr>
            <w:r w:rsidRPr="00873AF1">
              <w:t>(1,52)</w:t>
            </w:r>
          </w:p>
        </w:tc>
        <w:tc>
          <w:tcPr>
            <w:tcW w:w="1729" w:type="dxa"/>
            <w:tcBorders>
              <w:top w:val="nil"/>
              <w:left w:val="nil"/>
              <w:bottom w:val="nil"/>
              <w:right w:val="nil"/>
            </w:tcBorders>
          </w:tcPr>
          <w:p w:rsidR="0040631F" w:rsidRPr="00873AF1" w:rsidRDefault="0040631F" w:rsidP="00873AF1">
            <w:pPr>
              <w:spacing w:after="0" w:line="240" w:lineRule="auto"/>
            </w:pPr>
            <w:r w:rsidRPr="00873AF1">
              <w:t>0.15</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EST</w:t>
            </w:r>
          </w:p>
        </w:tc>
        <w:tc>
          <w:tcPr>
            <w:tcW w:w="1729" w:type="dxa"/>
            <w:tcBorders>
              <w:top w:val="nil"/>
              <w:left w:val="nil"/>
              <w:bottom w:val="nil"/>
              <w:right w:val="nil"/>
            </w:tcBorders>
          </w:tcPr>
          <w:p w:rsidR="0040631F" w:rsidRPr="00873AF1" w:rsidRDefault="0040631F" w:rsidP="00873AF1">
            <w:pPr>
              <w:spacing w:after="0" w:line="240" w:lineRule="auto"/>
            </w:pPr>
            <w:r w:rsidRPr="00873AF1">
              <w:t>0.42</w:t>
            </w:r>
          </w:p>
        </w:tc>
        <w:tc>
          <w:tcPr>
            <w:tcW w:w="1729" w:type="dxa"/>
            <w:tcBorders>
              <w:top w:val="nil"/>
              <w:left w:val="nil"/>
              <w:bottom w:val="nil"/>
              <w:right w:val="nil"/>
            </w:tcBorders>
          </w:tcPr>
          <w:p w:rsidR="0040631F" w:rsidRPr="00873AF1" w:rsidRDefault="0040631F" w:rsidP="00873AF1">
            <w:pPr>
              <w:spacing w:after="0" w:line="240" w:lineRule="auto"/>
            </w:pPr>
            <w:r w:rsidRPr="00873AF1">
              <w:t>(1,50)</w:t>
            </w:r>
          </w:p>
        </w:tc>
        <w:tc>
          <w:tcPr>
            <w:tcW w:w="1729" w:type="dxa"/>
            <w:tcBorders>
              <w:top w:val="nil"/>
              <w:left w:val="nil"/>
              <w:bottom w:val="nil"/>
              <w:right w:val="nil"/>
            </w:tcBorders>
          </w:tcPr>
          <w:p w:rsidR="0040631F" w:rsidRPr="00873AF1" w:rsidRDefault="0040631F" w:rsidP="00873AF1">
            <w:pPr>
              <w:spacing w:after="0" w:line="240" w:lineRule="auto"/>
            </w:pPr>
            <w:r w:rsidRPr="00873AF1">
              <w:t>0.51</w:t>
            </w:r>
          </w:p>
        </w:tc>
      </w:tr>
      <w:tr w:rsidR="0040631F" w:rsidRPr="00873AF1" w:rsidTr="00873AF1">
        <w:trPr>
          <w:jc w:val="center"/>
        </w:trPr>
        <w:tc>
          <w:tcPr>
            <w:tcW w:w="1728" w:type="dxa"/>
            <w:tcBorders>
              <w:top w:val="nil"/>
              <w:left w:val="nil"/>
              <w:bottom w:val="nil"/>
              <w:right w:val="nil"/>
            </w:tcBorders>
          </w:tcPr>
          <w:p w:rsidR="0040631F" w:rsidRPr="00873AF1" w:rsidRDefault="0040631F" w:rsidP="00873AF1">
            <w:pPr>
              <w:spacing w:after="0" w:line="240" w:lineRule="auto"/>
            </w:pPr>
            <w:r w:rsidRPr="00873AF1">
              <w:t>VRP</w:t>
            </w:r>
          </w:p>
        </w:tc>
        <w:tc>
          <w:tcPr>
            <w:tcW w:w="1729" w:type="dxa"/>
            <w:tcBorders>
              <w:top w:val="nil"/>
              <w:left w:val="nil"/>
              <w:bottom w:val="nil"/>
              <w:right w:val="nil"/>
            </w:tcBorders>
          </w:tcPr>
          <w:p w:rsidR="0040631F" w:rsidRPr="00873AF1" w:rsidRDefault="0040631F" w:rsidP="00873AF1">
            <w:pPr>
              <w:spacing w:after="0" w:line="240" w:lineRule="auto"/>
            </w:pPr>
            <w:r w:rsidRPr="00873AF1">
              <w:t>0.00</w:t>
            </w:r>
          </w:p>
        </w:tc>
        <w:tc>
          <w:tcPr>
            <w:tcW w:w="1729" w:type="dxa"/>
            <w:tcBorders>
              <w:top w:val="nil"/>
              <w:left w:val="nil"/>
              <w:bottom w:val="nil"/>
              <w:right w:val="nil"/>
            </w:tcBorders>
          </w:tcPr>
          <w:p w:rsidR="0040631F" w:rsidRPr="00873AF1" w:rsidRDefault="0040631F" w:rsidP="00873AF1">
            <w:pPr>
              <w:spacing w:after="0" w:line="240" w:lineRule="auto"/>
            </w:pPr>
            <w:r w:rsidRPr="00873AF1">
              <w:t>(1,57)</w:t>
            </w:r>
          </w:p>
        </w:tc>
        <w:tc>
          <w:tcPr>
            <w:tcW w:w="1729" w:type="dxa"/>
            <w:tcBorders>
              <w:top w:val="nil"/>
              <w:left w:val="nil"/>
              <w:bottom w:val="nil"/>
              <w:right w:val="nil"/>
            </w:tcBorders>
          </w:tcPr>
          <w:p w:rsidR="0040631F" w:rsidRPr="00873AF1" w:rsidRDefault="0040631F" w:rsidP="00873AF1">
            <w:pPr>
              <w:spacing w:after="0" w:line="240" w:lineRule="auto"/>
            </w:pPr>
            <w:r w:rsidRPr="00873AF1">
              <w:t>0.99</w:t>
            </w:r>
          </w:p>
        </w:tc>
      </w:tr>
      <w:tr w:rsidR="0040631F" w:rsidRPr="00873AF1" w:rsidTr="00873AF1">
        <w:trPr>
          <w:jc w:val="center"/>
        </w:trPr>
        <w:tc>
          <w:tcPr>
            <w:tcW w:w="1728" w:type="dxa"/>
            <w:tcBorders>
              <w:top w:val="nil"/>
              <w:left w:val="nil"/>
              <w:right w:val="nil"/>
            </w:tcBorders>
          </w:tcPr>
          <w:p w:rsidR="0040631F" w:rsidRPr="00873AF1" w:rsidRDefault="0040631F" w:rsidP="00873AF1">
            <w:pPr>
              <w:spacing w:after="0" w:line="240" w:lineRule="auto"/>
            </w:pPr>
            <w:r w:rsidRPr="00873AF1">
              <w:t>USI</w:t>
            </w:r>
          </w:p>
        </w:tc>
        <w:tc>
          <w:tcPr>
            <w:tcW w:w="1729" w:type="dxa"/>
            <w:tcBorders>
              <w:top w:val="nil"/>
              <w:left w:val="nil"/>
              <w:right w:val="nil"/>
            </w:tcBorders>
          </w:tcPr>
          <w:p w:rsidR="0040631F" w:rsidRPr="00873AF1" w:rsidRDefault="0040631F" w:rsidP="00873AF1">
            <w:pPr>
              <w:spacing w:after="0" w:line="240" w:lineRule="auto"/>
            </w:pPr>
            <w:r w:rsidRPr="00873AF1">
              <w:t>2.96</w:t>
            </w:r>
          </w:p>
        </w:tc>
        <w:tc>
          <w:tcPr>
            <w:tcW w:w="1729" w:type="dxa"/>
            <w:tcBorders>
              <w:top w:val="nil"/>
              <w:left w:val="nil"/>
              <w:right w:val="nil"/>
            </w:tcBorders>
          </w:tcPr>
          <w:p w:rsidR="0040631F" w:rsidRPr="00873AF1" w:rsidRDefault="0040631F" w:rsidP="00873AF1">
            <w:pPr>
              <w:spacing w:after="0" w:line="240" w:lineRule="auto"/>
            </w:pPr>
            <w:r w:rsidRPr="00873AF1">
              <w:t>(1,51)</w:t>
            </w:r>
          </w:p>
        </w:tc>
        <w:tc>
          <w:tcPr>
            <w:tcW w:w="1729" w:type="dxa"/>
            <w:tcBorders>
              <w:top w:val="nil"/>
              <w:left w:val="nil"/>
              <w:right w:val="nil"/>
            </w:tcBorders>
          </w:tcPr>
          <w:p w:rsidR="0040631F" w:rsidRPr="00873AF1" w:rsidRDefault="0040631F" w:rsidP="00873AF1">
            <w:pPr>
              <w:spacing w:after="0" w:line="240" w:lineRule="auto"/>
            </w:pPr>
            <w:r w:rsidRPr="00873AF1">
              <w:t>0.08</w:t>
            </w:r>
          </w:p>
        </w:tc>
      </w:tr>
    </w:tbl>
    <w:p w:rsidR="0040631F" w:rsidRDefault="0040631F" w:rsidP="00A62965">
      <w:pPr>
        <w:ind w:left="1701"/>
      </w:pPr>
      <w:r w:rsidRPr="00987747">
        <w:rPr>
          <w:sz w:val="18"/>
          <w:szCs w:val="18"/>
        </w:rPr>
        <w:t>*Nota:</w:t>
      </w:r>
      <w:r>
        <w:t xml:space="preserve"> </w:t>
      </w:r>
      <w:r w:rsidRPr="00720085">
        <w:rPr>
          <w:sz w:val="18"/>
          <w:szCs w:val="18"/>
        </w:rPr>
        <w:t>a</w:t>
      </w:r>
      <w:r>
        <w:rPr>
          <w:sz w:val="18"/>
          <w:szCs w:val="18"/>
        </w:rPr>
        <w:t>ceitação da hipótese nula a 5%</w:t>
      </w:r>
    </w:p>
    <w:p w:rsidR="0040631F" w:rsidRDefault="0040631F" w:rsidP="00036C1C">
      <w:pPr>
        <w:ind w:left="709"/>
        <w:jc w:val="center"/>
        <w:rPr>
          <w:b/>
        </w:rPr>
      </w:pPr>
      <w:r>
        <w:rPr>
          <w:b/>
        </w:rPr>
        <w:t>Tabela A.11</w:t>
      </w:r>
      <w:r w:rsidRPr="00FF3312">
        <w:rPr>
          <w:b/>
        </w:rPr>
        <w:t xml:space="preserve"> – </w:t>
      </w:r>
      <w:r>
        <w:rPr>
          <w:b/>
        </w:rPr>
        <w:t>Teste de Exogeneidade Fraca das equações marginais das variáveis RCAM, RMSCI, VCAM, EST e VRP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728"/>
        <w:gridCol w:w="1729"/>
        <w:gridCol w:w="1729"/>
        <w:gridCol w:w="1729"/>
      </w:tblGrid>
      <w:tr w:rsidR="0040631F" w:rsidRPr="00873AF1" w:rsidTr="00873AF1">
        <w:trPr>
          <w:jc w:val="center"/>
        </w:trPr>
        <w:tc>
          <w:tcPr>
            <w:tcW w:w="1728" w:type="dxa"/>
            <w:tcBorders>
              <w:left w:val="nil"/>
              <w:bottom w:val="single" w:sz="4" w:space="0" w:color="000000"/>
              <w:right w:val="nil"/>
            </w:tcBorders>
          </w:tcPr>
          <w:p w:rsidR="0040631F" w:rsidRPr="00873AF1" w:rsidRDefault="0040631F" w:rsidP="00873AF1">
            <w:pPr>
              <w:spacing w:after="0" w:line="240" w:lineRule="auto"/>
            </w:pPr>
            <w:r w:rsidRPr="00873AF1">
              <w:t>Teste</w:t>
            </w:r>
          </w:p>
        </w:tc>
        <w:tc>
          <w:tcPr>
            <w:tcW w:w="1728" w:type="dxa"/>
            <w:tcBorders>
              <w:left w:val="nil"/>
              <w:bottom w:val="single" w:sz="4" w:space="0" w:color="000000"/>
              <w:right w:val="nil"/>
            </w:tcBorders>
          </w:tcPr>
          <w:p w:rsidR="0040631F" w:rsidRPr="00873AF1" w:rsidRDefault="0040631F" w:rsidP="00873AF1">
            <w:pPr>
              <w:spacing w:after="0" w:line="240" w:lineRule="auto"/>
            </w:pPr>
            <w:r w:rsidRPr="00873AF1">
              <w:t>Equação</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Wald</w:t>
            </w:r>
          </w:p>
          <w:p w:rsidR="0040631F" w:rsidRPr="00873AF1" w:rsidRDefault="0040631F" w:rsidP="00873AF1">
            <w:pPr>
              <w:spacing w:after="0" w:line="240" w:lineRule="auto"/>
            </w:pPr>
            <w:r w:rsidRPr="00873AF1">
              <w:t>(Estatística F)</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(Parâmetros, observações)</w:t>
            </w:r>
          </w:p>
        </w:tc>
        <w:tc>
          <w:tcPr>
            <w:tcW w:w="1729" w:type="dxa"/>
            <w:tcBorders>
              <w:left w:val="nil"/>
              <w:bottom w:val="single" w:sz="4" w:space="0" w:color="000000"/>
              <w:right w:val="nil"/>
            </w:tcBorders>
          </w:tcPr>
          <w:p w:rsidR="0040631F" w:rsidRPr="00873AF1" w:rsidRDefault="0040631F" w:rsidP="00873AF1">
            <w:pPr>
              <w:spacing w:after="0" w:line="240" w:lineRule="auto"/>
            </w:pPr>
            <w:r w:rsidRPr="00873AF1">
              <w:t>Valor-p*</w:t>
            </w:r>
          </w:p>
        </w:tc>
      </w:tr>
      <w:tr w:rsidR="0040631F" w:rsidRPr="00873AF1" w:rsidTr="00873AF1">
        <w:trPr>
          <w:jc w:val="center"/>
        </w:trPr>
        <w:tc>
          <w:tcPr>
            <w:tcW w:w="1728" w:type="dxa"/>
            <w:tcBorders>
              <w:left w:val="nil"/>
              <w:bottom w:val="nil"/>
              <w:right w:val="nil"/>
            </w:tcBorders>
          </w:tcPr>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e</m:t>
                    </m:r>
                    <m:ctrlPr>
                      <w:rPr>
                        <w:rFonts w:ascii="Cambria Math" w:hAnsi="Cambria Math"/>
                        <w:i/>
                      </w:rPr>
                    </m:ctrlPr>
                  </m:e>
                  <m:sub>
                    <m:r>
                      <w:rPr>
                        <w:rFonts w:ascii="Cambria Math" w:hAnsi="Cambria Math"/>
                      </w:rPr>
                      <m:t>VCAM, t</m:t>
                    </m:r>
                    <m:ctrlPr>
                      <w:rPr>
                        <w:rFonts w:ascii="Cambria Math" w:hAnsi="Cambria Math"/>
                        <w:i/>
                      </w:rPr>
                    </m:ctrlPr>
                  </m:sub>
                </m:sSub>
                <m:r>
                  <w:rPr>
                    <w:rFonts w:ascii="Cambria Math" w:hAnsi="Cambria Math"/>
                  </w:rPr>
                  <m:t>=0</m:t>
                </m:r>
              </m:oMath>
            </m:oMathPara>
          </w:p>
        </w:tc>
        <w:tc>
          <w:tcPr>
            <w:tcW w:w="1728" w:type="dxa"/>
            <w:tcBorders>
              <w:left w:val="nil"/>
              <w:bottom w:val="nil"/>
              <w:right w:val="nil"/>
            </w:tcBorders>
          </w:tcPr>
          <w:p w:rsidR="0040631F" w:rsidRPr="00873AF1" w:rsidRDefault="0040631F" w:rsidP="00873AF1">
            <w:pPr>
              <w:spacing w:after="0" w:line="240" w:lineRule="auto"/>
            </w:pPr>
            <w:r w:rsidRPr="00873AF1">
              <w:t>INF</w:t>
            </w:r>
          </w:p>
        </w:tc>
        <w:tc>
          <w:tcPr>
            <w:tcW w:w="1729" w:type="dxa"/>
            <w:tcBorders>
              <w:left w:val="nil"/>
              <w:bottom w:val="nil"/>
              <w:right w:val="nil"/>
            </w:tcBorders>
          </w:tcPr>
          <w:p w:rsidR="0040631F" w:rsidRPr="00873AF1" w:rsidRDefault="0040631F" w:rsidP="00873AF1">
            <w:pPr>
              <w:spacing w:after="0" w:line="240" w:lineRule="auto"/>
            </w:pPr>
            <w:r w:rsidRPr="00873AF1">
              <w:t>0.14</w:t>
            </w:r>
          </w:p>
        </w:tc>
        <w:tc>
          <w:tcPr>
            <w:tcW w:w="1729" w:type="dxa"/>
            <w:tcBorders>
              <w:left w:val="nil"/>
              <w:bottom w:val="nil"/>
              <w:right w:val="nil"/>
            </w:tcBorders>
          </w:tcPr>
          <w:p w:rsidR="0040631F" w:rsidRPr="00873AF1" w:rsidRDefault="0040631F" w:rsidP="00873AF1">
            <w:pPr>
              <w:spacing w:after="0" w:line="240" w:lineRule="auto"/>
            </w:pPr>
            <w:r w:rsidRPr="00873AF1">
              <w:t>(1,53)</w:t>
            </w:r>
          </w:p>
        </w:tc>
        <w:tc>
          <w:tcPr>
            <w:tcW w:w="1729" w:type="dxa"/>
            <w:tcBorders>
              <w:left w:val="nil"/>
              <w:bottom w:val="nil"/>
              <w:right w:val="nil"/>
            </w:tcBorders>
          </w:tcPr>
          <w:p w:rsidR="0040631F" w:rsidRPr="00873AF1" w:rsidRDefault="0040631F" w:rsidP="00873AF1">
            <w:pPr>
              <w:spacing w:after="0" w:line="240" w:lineRule="auto"/>
            </w:pPr>
            <w:r w:rsidRPr="00873AF1">
              <w:t>0.71</w:t>
            </w:r>
          </w:p>
        </w:tc>
      </w:tr>
      <w:tr w:rsidR="0040631F" w:rsidRPr="00873AF1" w:rsidTr="00873AF1">
        <w:trPr>
          <w:jc w:val="center"/>
        </w:trPr>
        <w:tc>
          <w:tcPr>
            <w:tcW w:w="1728" w:type="dxa"/>
            <w:tcBorders>
              <w:top w:val="nil"/>
              <w:left w:val="nil"/>
              <w:bottom w:val="nil"/>
              <w:right w:val="nil"/>
            </w:tcBorders>
          </w:tcPr>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e</m:t>
                    </m:r>
                    <m:ctrlPr>
                      <w:rPr>
                        <w:rFonts w:ascii="Cambria Math" w:hAnsi="Cambria Math"/>
                        <w:i/>
                      </w:rPr>
                    </m:ctrlPr>
                  </m:e>
                  <m:sub>
                    <m:r>
                      <w:rPr>
                        <w:rFonts w:ascii="Cambria Math" w:hAnsi="Cambria Math"/>
                      </w:rPr>
                      <m:t>USI, t</m:t>
                    </m:r>
                    <m:ctrlPr>
                      <w:rPr>
                        <w:rFonts w:ascii="Cambria Math" w:hAnsi="Cambria Math"/>
                        <w:i/>
                      </w:rPr>
                    </m:ctrlPr>
                  </m:sub>
                </m:sSub>
                <m:r>
                  <w:rPr>
                    <w:rFonts w:ascii="Cambria Math" w:hAnsi="Cambria Math"/>
                  </w:rPr>
                  <m:t>=0</m:t>
                </m:r>
              </m:oMath>
            </m:oMathPara>
          </w:p>
        </w:tc>
        <w:tc>
          <w:tcPr>
            <w:tcW w:w="1728" w:type="dxa"/>
            <w:tcBorders>
              <w:top w:val="nil"/>
              <w:left w:val="nil"/>
              <w:bottom w:val="nil"/>
              <w:right w:val="nil"/>
            </w:tcBorders>
          </w:tcPr>
          <w:p w:rsidR="0040631F" w:rsidRPr="00873AF1" w:rsidRDefault="0040631F" w:rsidP="00873AF1">
            <w:pPr>
              <w:spacing w:after="0" w:line="240" w:lineRule="auto"/>
            </w:pPr>
            <w:r w:rsidRPr="00873AF1">
              <w:t>RCAM</w:t>
            </w:r>
          </w:p>
        </w:tc>
        <w:tc>
          <w:tcPr>
            <w:tcW w:w="1729" w:type="dxa"/>
            <w:tcBorders>
              <w:top w:val="nil"/>
              <w:left w:val="nil"/>
              <w:bottom w:val="nil"/>
              <w:right w:val="nil"/>
            </w:tcBorders>
          </w:tcPr>
          <w:p w:rsidR="0040631F" w:rsidRPr="00873AF1" w:rsidRDefault="0040631F" w:rsidP="00873AF1">
            <w:pPr>
              <w:spacing w:after="0" w:line="240" w:lineRule="auto"/>
            </w:pPr>
            <w:r w:rsidRPr="00873AF1">
              <w:t>1.76</w:t>
            </w:r>
          </w:p>
        </w:tc>
        <w:tc>
          <w:tcPr>
            <w:tcW w:w="1729" w:type="dxa"/>
            <w:tcBorders>
              <w:top w:val="nil"/>
              <w:left w:val="nil"/>
              <w:bottom w:val="nil"/>
              <w:right w:val="nil"/>
            </w:tcBorders>
          </w:tcPr>
          <w:p w:rsidR="0040631F" w:rsidRPr="00873AF1" w:rsidRDefault="0040631F" w:rsidP="00873AF1">
            <w:pPr>
              <w:spacing w:after="0" w:line="240" w:lineRule="auto"/>
            </w:pPr>
            <w:r w:rsidRPr="00873AF1">
              <w:t>(1,47)</w:t>
            </w:r>
          </w:p>
        </w:tc>
        <w:tc>
          <w:tcPr>
            <w:tcW w:w="1729" w:type="dxa"/>
            <w:tcBorders>
              <w:top w:val="nil"/>
              <w:left w:val="nil"/>
              <w:bottom w:val="nil"/>
              <w:right w:val="nil"/>
            </w:tcBorders>
          </w:tcPr>
          <w:p w:rsidR="0040631F" w:rsidRPr="00873AF1" w:rsidRDefault="0040631F" w:rsidP="00873AF1">
            <w:pPr>
              <w:spacing w:after="0" w:line="240" w:lineRule="auto"/>
            </w:pPr>
            <w:r w:rsidRPr="00873AF1">
              <w:t>0.19</w:t>
            </w:r>
          </w:p>
        </w:tc>
      </w:tr>
      <w:tr w:rsidR="0040631F" w:rsidRPr="00873AF1" w:rsidTr="00873AF1">
        <w:trPr>
          <w:jc w:val="center"/>
        </w:trPr>
        <w:tc>
          <w:tcPr>
            <w:tcW w:w="1728" w:type="dxa"/>
            <w:tcBorders>
              <w:top w:val="nil"/>
              <w:left w:val="nil"/>
              <w:bottom w:val="nil"/>
              <w:right w:val="nil"/>
            </w:tcBorders>
          </w:tcPr>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e</m:t>
                    </m:r>
                    <m:ctrlPr>
                      <w:rPr>
                        <w:rFonts w:ascii="Cambria Math" w:hAnsi="Cambria Math"/>
                        <w:i/>
                      </w:rPr>
                    </m:ctrlPr>
                  </m:e>
                  <m:sub>
                    <m:r>
                      <w:rPr>
                        <w:rFonts w:ascii="Cambria Math" w:hAnsi="Cambria Math"/>
                      </w:rPr>
                      <m:t>USI, t</m:t>
                    </m:r>
                    <m:ctrlPr>
                      <w:rPr>
                        <w:rFonts w:ascii="Cambria Math" w:hAnsi="Cambria Math"/>
                        <w:i/>
                      </w:rPr>
                    </m:ctrlPr>
                  </m:sub>
                </m:sSub>
                <m:r>
                  <w:rPr>
                    <w:rFonts w:ascii="Cambria Math" w:hAnsi="Cambria Math"/>
                  </w:rPr>
                  <m:t>=0</m:t>
                </m:r>
              </m:oMath>
            </m:oMathPara>
          </w:p>
        </w:tc>
        <w:tc>
          <w:tcPr>
            <w:tcW w:w="1728" w:type="dxa"/>
            <w:tcBorders>
              <w:top w:val="nil"/>
              <w:left w:val="nil"/>
              <w:bottom w:val="nil"/>
              <w:right w:val="nil"/>
            </w:tcBorders>
          </w:tcPr>
          <w:p w:rsidR="0040631F" w:rsidRPr="00873AF1" w:rsidRDefault="0040631F" w:rsidP="00873AF1">
            <w:pPr>
              <w:spacing w:after="0" w:line="240" w:lineRule="auto"/>
            </w:pPr>
            <w:r w:rsidRPr="00873AF1">
              <w:t>RMSCI</w:t>
            </w:r>
          </w:p>
        </w:tc>
        <w:tc>
          <w:tcPr>
            <w:tcW w:w="1729" w:type="dxa"/>
            <w:tcBorders>
              <w:top w:val="nil"/>
              <w:left w:val="nil"/>
              <w:bottom w:val="nil"/>
              <w:right w:val="nil"/>
            </w:tcBorders>
          </w:tcPr>
          <w:p w:rsidR="0040631F" w:rsidRPr="00873AF1" w:rsidRDefault="0040631F" w:rsidP="00873AF1">
            <w:pPr>
              <w:spacing w:after="0" w:line="240" w:lineRule="auto"/>
            </w:pPr>
            <w:r w:rsidRPr="00873AF1">
              <w:t>0.30</w:t>
            </w:r>
          </w:p>
        </w:tc>
        <w:tc>
          <w:tcPr>
            <w:tcW w:w="1729" w:type="dxa"/>
            <w:tcBorders>
              <w:top w:val="nil"/>
              <w:left w:val="nil"/>
              <w:bottom w:val="nil"/>
              <w:right w:val="nil"/>
            </w:tcBorders>
          </w:tcPr>
          <w:p w:rsidR="0040631F" w:rsidRPr="00873AF1" w:rsidRDefault="0040631F" w:rsidP="00873AF1">
            <w:pPr>
              <w:spacing w:after="0" w:line="240" w:lineRule="auto"/>
            </w:pPr>
            <w:r w:rsidRPr="00873AF1">
              <w:t>(1,47)</w:t>
            </w:r>
          </w:p>
        </w:tc>
        <w:tc>
          <w:tcPr>
            <w:tcW w:w="1729" w:type="dxa"/>
            <w:tcBorders>
              <w:top w:val="nil"/>
              <w:left w:val="nil"/>
              <w:bottom w:val="nil"/>
              <w:right w:val="nil"/>
            </w:tcBorders>
          </w:tcPr>
          <w:p w:rsidR="0040631F" w:rsidRPr="00873AF1" w:rsidRDefault="0040631F" w:rsidP="00873AF1">
            <w:pPr>
              <w:spacing w:after="0" w:line="240" w:lineRule="auto"/>
            </w:pPr>
            <w:r w:rsidRPr="00873AF1">
              <w:t>0.58</w:t>
            </w:r>
          </w:p>
        </w:tc>
      </w:tr>
      <w:tr w:rsidR="0040631F" w:rsidRPr="00873AF1" w:rsidTr="00873AF1">
        <w:trPr>
          <w:jc w:val="center"/>
        </w:trPr>
        <w:tc>
          <w:tcPr>
            <w:tcW w:w="1728" w:type="dxa"/>
            <w:tcBorders>
              <w:top w:val="nil"/>
              <w:left w:val="nil"/>
              <w:bottom w:val="nil"/>
              <w:right w:val="nil"/>
            </w:tcBorders>
          </w:tcPr>
          <w:p w:rsidR="0040631F" w:rsidRPr="00873AF1"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e</m:t>
                    </m:r>
                    <m:ctrlPr>
                      <w:rPr>
                        <w:rFonts w:ascii="Cambria Math" w:hAnsi="Cambria Math"/>
                        <w:i/>
                      </w:rPr>
                    </m:ctrlPr>
                  </m:e>
                  <m:sub>
                    <m:r>
                      <w:rPr>
                        <w:rFonts w:ascii="Cambria Math" w:hAnsi="Cambria Math"/>
                      </w:rPr>
                      <m:t>RCAM, t</m:t>
                    </m:r>
                    <m:ctrlPr>
                      <w:rPr>
                        <w:rFonts w:ascii="Cambria Math" w:hAnsi="Cambria Math"/>
                        <w:i/>
                      </w:rPr>
                    </m:ctrlPr>
                  </m:sub>
                </m:sSub>
                <m:r>
                  <w:rPr>
                    <w:rFonts w:ascii="Cambria Math" w:hAnsi="Cambria Math"/>
                  </w:rPr>
                  <m:t>=0</m:t>
                </m:r>
              </m:oMath>
            </m:oMathPara>
          </w:p>
        </w:tc>
        <w:tc>
          <w:tcPr>
            <w:tcW w:w="1728" w:type="dxa"/>
            <w:tcBorders>
              <w:top w:val="nil"/>
              <w:left w:val="nil"/>
              <w:bottom w:val="nil"/>
              <w:right w:val="nil"/>
            </w:tcBorders>
          </w:tcPr>
          <w:p w:rsidR="0040631F" w:rsidRPr="00873AF1" w:rsidRDefault="0040631F" w:rsidP="00873AF1">
            <w:pPr>
              <w:spacing w:after="0" w:line="240" w:lineRule="auto"/>
            </w:pPr>
            <w:r w:rsidRPr="00873AF1">
              <w:t>EST</w:t>
            </w:r>
          </w:p>
        </w:tc>
        <w:tc>
          <w:tcPr>
            <w:tcW w:w="1729" w:type="dxa"/>
            <w:tcBorders>
              <w:top w:val="nil"/>
              <w:left w:val="nil"/>
              <w:bottom w:val="nil"/>
              <w:right w:val="nil"/>
            </w:tcBorders>
          </w:tcPr>
          <w:p w:rsidR="0040631F" w:rsidRPr="00873AF1" w:rsidRDefault="0040631F" w:rsidP="00873AF1">
            <w:pPr>
              <w:spacing w:after="0" w:line="240" w:lineRule="auto"/>
            </w:pPr>
            <w:r w:rsidRPr="00873AF1">
              <w:t>0.05</w:t>
            </w:r>
          </w:p>
        </w:tc>
        <w:tc>
          <w:tcPr>
            <w:tcW w:w="1729" w:type="dxa"/>
            <w:tcBorders>
              <w:top w:val="nil"/>
              <w:left w:val="nil"/>
              <w:bottom w:val="nil"/>
              <w:right w:val="nil"/>
            </w:tcBorders>
          </w:tcPr>
          <w:p w:rsidR="0040631F" w:rsidRPr="00873AF1" w:rsidRDefault="0040631F" w:rsidP="00873AF1">
            <w:pPr>
              <w:spacing w:after="0" w:line="240" w:lineRule="auto"/>
            </w:pPr>
            <w:r w:rsidRPr="00873AF1">
              <w:t>(1,50)</w:t>
            </w:r>
          </w:p>
        </w:tc>
        <w:tc>
          <w:tcPr>
            <w:tcW w:w="1729" w:type="dxa"/>
            <w:tcBorders>
              <w:top w:val="nil"/>
              <w:left w:val="nil"/>
              <w:bottom w:val="nil"/>
              <w:right w:val="nil"/>
            </w:tcBorders>
          </w:tcPr>
          <w:p w:rsidR="0040631F" w:rsidRPr="00873AF1" w:rsidRDefault="0040631F" w:rsidP="00873AF1">
            <w:pPr>
              <w:spacing w:after="0" w:line="240" w:lineRule="auto"/>
            </w:pPr>
            <w:r w:rsidRPr="00873AF1">
              <w:t>0.82</w:t>
            </w:r>
          </w:p>
        </w:tc>
      </w:tr>
      <w:tr w:rsidR="0040631F" w:rsidRPr="00873AF1" w:rsidTr="00873AF1">
        <w:trPr>
          <w:jc w:val="center"/>
        </w:trPr>
        <w:tc>
          <w:tcPr>
            <w:tcW w:w="1728" w:type="dxa"/>
            <w:tcBorders>
              <w:top w:val="nil"/>
              <w:left w:val="nil"/>
              <w:right w:val="nil"/>
            </w:tcBorders>
          </w:tcPr>
          <w:p w:rsidR="0040631F" w:rsidRPr="00D71BAE" w:rsidRDefault="00FC0BE6" w:rsidP="00873AF1">
            <w:pPr>
              <w:spacing w:after="0" w:line="240" w:lineRule="auto"/>
            </w:pPr>
            <m:oMathPara>
              <m:oMath>
                <m:sSub>
                  <m:sSubPr>
                    <m:ctrlPr>
                      <w:rPr>
                        <w:rFonts w:ascii="Cambria Math" w:eastAsia="Calibri" w:hAnsi="Cambria Math"/>
                        <w:i/>
                      </w:rPr>
                    </m:ctrlPr>
                  </m:sSubPr>
                  <m:e>
                    <m:r>
                      <w:rPr>
                        <w:rFonts w:ascii="Cambria Math" w:hAnsi="Cambria Math"/>
                      </w:rPr>
                      <m:t>e</m:t>
                    </m:r>
                    <m:ctrlPr>
                      <w:rPr>
                        <w:rFonts w:ascii="Cambria Math" w:hAnsi="Cambria Math"/>
                        <w:i/>
                      </w:rPr>
                    </m:ctrlPr>
                  </m:e>
                  <m:sub>
                    <m:r>
                      <w:rPr>
                        <w:rFonts w:ascii="Cambria Math" w:hAnsi="Cambria Math"/>
                      </w:rPr>
                      <m:t>VRP, t</m:t>
                    </m:r>
                    <m:ctrlPr>
                      <w:rPr>
                        <w:rFonts w:ascii="Cambria Math" w:hAnsi="Cambria Math"/>
                        <w:i/>
                      </w:rPr>
                    </m:ctrlPr>
                  </m:sub>
                </m:sSub>
                <m:r>
                  <w:rPr>
                    <w:rFonts w:ascii="Cambria Math" w:hAnsi="Cambria Math"/>
                  </w:rPr>
                  <m:t>=0</m:t>
                </m:r>
              </m:oMath>
            </m:oMathPara>
          </w:p>
        </w:tc>
        <w:tc>
          <w:tcPr>
            <w:tcW w:w="1728" w:type="dxa"/>
            <w:tcBorders>
              <w:top w:val="nil"/>
              <w:left w:val="nil"/>
              <w:right w:val="nil"/>
            </w:tcBorders>
          </w:tcPr>
          <w:p w:rsidR="0040631F" w:rsidRPr="00873AF1" w:rsidRDefault="0040631F" w:rsidP="00873AF1">
            <w:pPr>
              <w:spacing w:after="0" w:line="240" w:lineRule="auto"/>
            </w:pPr>
            <w:r w:rsidRPr="00873AF1">
              <w:t>USI</w:t>
            </w:r>
          </w:p>
        </w:tc>
        <w:tc>
          <w:tcPr>
            <w:tcW w:w="1729" w:type="dxa"/>
            <w:tcBorders>
              <w:top w:val="nil"/>
              <w:left w:val="nil"/>
              <w:right w:val="nil"/>
            </w:tcBorders>
          </w:tcPr>
          <w:p w:rsidR="0040631F" w:rsidRPr="00873AF1" w:rsidRDefault="0040631F" w:rsidP="00873AF1">
            <w:pPr>
              <w:spacing w:after="0" w:line="240" w:lineRule="auto"/>
            </w:pPr>
            <w:r w:rsidRPr="00873AF1">
              <w:t>2.51</w:t>
            </w:r>
          </w:p>
        </w:tc>
        <w:tc>
          <w:tcPr>
            <w:tcW w:w="1729" w:type="dxa"/>
            <w:tcBorders>
              <w:top w:val="nil"/>
              <w:left w:val="nil"/>
              <w:right w:val="nil"/>
            </w:tcBorders>
          </w:tcPr>
          <w:p w:rsidR="0040631F" w:rsidRPr="00873AF1" w:rsidRDefault="0040631F" w:rsidP="00873AF1">
            <w:pPr>
              <w:spacing w:after="0" w:line="240" w:lineRule="auto"/>
            </w:pPr>
            <w:r w:rsidRPr="00873AF1">
              <w:t>(1,51)</w:t>
            </w:r>
          </w:p>
        </w:tc>
        <w:tc>
          <w:tcPr>
            <w:tcW w:w="1729" w:type="dxa"/>
            <w:tcBorders>
              <w:top w:val="nil"/>
              <w:left w:val="nil"/>
              <w:right w:val="nil"/>
            </w:tcBorders>
          </w:tcPr>
          <w:p w:rsidR="0040631F" w:rsidRPr="00873AF1" w:rsidRDefault="0040631F" w:rsidP="00873AF1">
            <w:pPr>
              <w:spacing w:after="0" w:line="240" w:lineRule="auto"/>
            </w:pPr>
            <w:r w:rsidRPr="00873AF1">
              <w:t>0.11</w:t>
            </w:r>
          </w:p>
        </w:tc>
      </w:tr>
    </w:tbl>
    <w:p w:rsidR="0040631F" w:rsidRDefault="0040631F" w:rsidP="00A62965">
      <w:pPr>
        <w:ind w:firstLine="851"/>
      </w:pPr>
      <w:r w:rsidRPr="00987747">
        <w:rPr>
          <w:sz w:val="18"/>
          <w:szCs w:val="18"/>
        </w:rPr>
        <w:t>*Nota:</w:t>
      </w:r>
      <w:r>
        <w:t xml:space="preserve"> </w:t>
      </w:r>
      <w:r w:rsidRPr="00720085">
        <w:rPr>
          <w:sz w:val="18"/>
          <w:szCs w:val="18"/>
        </w:rPr>
        <w:t>a</w:t>
      </w:r>
      <w:r>
        <w:rPr>
          <w:sz w:val="18"/>
          <w:szCs w:val="18"/>
        </w:rPr>
        <w:t>ceitação da hipótese nula a 5%</w:t>
      </w:r>
    </w:p>
    <w:p w:rsidR="0040631F" w:rsidRDefault="0040631F">
      <w:pPr>
        <w:rPr>
          <w:b/>
        </w:rPr>
      </w:pPr>
      <w:r>
        <w:rPr>
          <w:b/>
        </w:rPr>
        <w:br w:type="page"/>
      </w:r>
    </w:p>
    <w:p w:rsidR="0040631F" w:rsidRPr="00545993" w:rsidRDefault="0040631F" w:rsidP="00545993">
      <w:pPr>
        <w:spacing w:line="240" w:lineRule="auto"/>
        <w:jc w:val="both"/>
        <w:rPr>
          <w:rFonts w:ascii="Times New Roman" w:hAnsi="Times New Roman"/>
          <w:b/>
          <w:sz w:val="24"/>
          <w:szCs w:val="24"/>
        </w:rPr>
      </w:pPr>
      <w:r w:rsidRPr="00545993">
        <w:rPr>
          <w:rFonts w:ascii="Times New Roman" w:hAnsi="Times New Roman"/>
          <w:b/>
          <w:sz w:val="24"/>
          <w:szCs w:val="24"/>
        </w:rPr>
        <w:lastRenderedPageBreak/>
        <w:t>Referências Bibliográficas</w:t>
      </w:r>
      <w:r w:rsidR="00FC0BE6" w:rsidRPr="00545993">
        <w:rPr>
          <w:rFonts w:ascii="Times New Roman" w:hAnsi="Times New Roman"/>
          <w:sz w:val="24"/>
          <w:szCs w:val="24"/>
        </w:rPr>
        <w:fldChar w:fldCharType="begin"/>
      </w:r>
      <w:r w:rsidRPr="00545993">
        <w:rPr>
          <w:rFonts w:ascii="Times New Roman" w:hAnsi="Times New Roman"/>
          <w:sz w:val="24"/>
          <w:szCs w:val="24"/>
        </w:rPr>
        <w:instrText xml:space="preserve"> XE "</w:instrText>
      </w:r>
      <w:r w:rsidRPr="00545993">
        <w:rPr>
          <w:rFonts w:ascii="Times New Roman" w:hAnsi="Times New Roman"/>
          <w:b/>
          <w:sz w:val="24"/>
          <w:szCs w:val="24"/>
        </w:rPr>
        <w:instrText>5. Referências Bibliográficas</w:instrText>
      </w:r>
      <w:r w:rsidRPr="00545993">
        <w:rPr>
          <w:rFonts w:ascii="Times New Roman" w:hAnsi="Times New Roman"/>
          <w:sz w:val="24"/>
          <w:szCs w:val="24"/>
        </w:rPr>
        <w:instrText xml:space="preserve">" </w:instrText>
      </w:r>
      <w:r w:rsidR="00FC0BE6" w:rsidRPr="00545993">
        <w:rPr>
          <w:rFonts w:ascii="Times New Roman" w:hAnsi="Times New Roman"/>
          <w:sz w:val="24"/>
          <w:szCs w:val="24"/>
        </w:rPr>
        <w:fldChar w:fldCharType="end"/>
      </w:r>
    </w:p>
    <w:p w:rsidR="0040631F" w:rsidRPr="00545993" w:rsidRDefault="0040631F" w:rsidP="00545993">
      <w:pPr>
        <w:spacing w:line="240" w:lineRule="auto"/>
        <w:jc w:val="both"/>
        <w:rPr>
          <w:rFonts w:ascii="Times New Roman" w:hAnsi="Times New Roman"/>
          <w:sz w:val="24"/>
          <w:szCs w:val="24"/>
          <w:lang w:val="en-US"/>
        </w:rPr>
      </w:pPr>
      <w:r w:rsidRPr="00432F0A">
        <w:rPr>
          <w:rFonts w:ascii="Times New Roman" w:hAnsi="Times New Roman"/>
          <w:sz w:val="24"/>
          <w:szCs w:val="24"/>
        </w:rPr>
        <w:t xml:space="preserve">AGGARWAL, R., KLAPPER, L., &amp; WYSOCKI, P. D. (2003). </w:t>
      </w:r>
      <w:r w:rsidRPr="00545993">
        <w:rPr>
          <w:rFonts w:ascii="Times New Roman" w:hAnsi="Times New Roman"/>
          <w:i/>
          <w:sz w:val="24"/>
          <w:szCs w:val="24"/>
          <w:lang w:val="en-US"/>
        </w:rPr>
        <w:t>Portfolio preferences of foreign institutional investors.</w:t>
      </w:r>
      <w:r w:rsidRPr="00545993">
        <w:rPr>
          <w:rFonts w:ascii="Times New Roman" w:hAnsi="Times New Roman"/>
          <w:sz w:val="24"/>
          <w:szCs w:val="24"/>
          <w:lang w:val="en-US"/>
        </w:rPr>
        <w:t xml:space="preserve"> World Bank Policy Research Working Paper, n. 3101.</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ALBUQUERQUE, R (2003). </w:t>
      </w:r>
      <w:r w:rsidRPr="00545993">
        <w:rPr>
          <w:rFonts w:ascii="Times New Roman" w:hAnsi="Times New Roman"/>
          <w:i/>
          <w:sz w:val="24"/>
          <w:szCs w:val="24"/>
          <w:lang w:val="en-US"/>
        </w:rPr>
        <w:t>The Composition of international capital flows: risk sharing through foreign direct investment.</w:t>
      </w:r>
      <w:r w:rsidRPr="00545993">
        <w:rPr>
          <w:rFonts w:ascii="Times New Roman" w:hAnsi="Times New Roman"/>
          <w:sz w:val="24"/>
          <w:szCs w:val="24"/>
          <w:lang w:val="en-US"/>
        </w:rPr>
        <w:t xml:space="preserve"> Journal of International Economics 61, p.353-383, 2003</w:t>
      </w:r>
    </w:p>
    <w:p w:rsidR="0040631F" w:rsidRPr="00545993"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lang w:val="en-US"/>
        </w:rPr>
        <w:t xml:space="preserve">BAEK, I. (2006). </w:t>
      </w:r>
      <w:r w:rsidRPr="00545993">
        <w:rPr>
          <w:rFonts w:ascii="Times New Roman" w:hAnsi="Times New Roman"/>
          <w:i/>
          <w:sz w:val="24"/>
          <w:szCs w:val="24"/>
          <w:lang w:val="en-US"/>
        </w:rPr>
        <w:t>Portfolio investment flows to Asia and Latin America: Pull, push or market sentiment?</w:t>
      </w:r>
      <w:r w:rsidRPr="00545993">
        <w:rPr>
          <w:rFonts w:ascii="Times New Roman" w:hAnsi="Times New Roman"/>
          <w:sz w:val="24"/>
          <w:szCs w:val="24"/>
          <w:lang w:val="en-US"/>
        </w:rPr>
        <w:t xml:space="preserve"> </w:t>
      </w:r>
      <w:r w:rsidRPr="00545993">
        <w:rPr>
          <w:rFonts w:ascii="Times New Roman" w:hAnsi="Times New Roman"/>
          <w:sz w:val="24"/>
          <w:szCs w:val="24"/>
        </w:rPr>
        <w:t>Journal of Asian Economics 17, p. 363-373.</w:t>
      </w:r>
    </w:p>
    <w:p w:rsidR="0040631F" w:rsidRPr="00545993"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rPr>
        <w:t>BANCO CENTRAL DO BRASIL (2010). Economia e Finanças / Séries Temporais. Brasília: Banco Central do Brasil. http://www.bcb.gov.br [acesso em 20010].</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BEKAERT, G., HARVEY,C.R; (1998). </w:t>
      </w:r>
      <w:r w:rsidRPr="00545993">
        <w:rPr>
          <w:rFonts w:ascii="Times New Roman" w:hAnsi="Times New Roman"/>
          <w:i/>
          <w:sz w:val="24"/>
          <w:szCs w:val="24"/>
          <w:lang w:val="en-US"/>
        </w:rPr>
        <w:t>Capital flow and the behavior of emerging market equity return</w:t>
      </w:r>
      <w:r w:rsidRPr="00545993">
        <w:rPr>
          <w:rFonts w:ascii="Times New Roman" w:hAnsi="Times New Roman"/>
          <w:sz w:val="24"/>
          <w:szCs w:val="24"/>
          <w:lang w:val="en-US"/>
        </w:rPr>
        <w:t>. NBER Working Paper Nº6669, jul. 1998.</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BOHN, H.; TESAR, L. (1996). U.S. </w:t>
      </w:r>
      <w:r w:rsidRPr="00545993">
        <w:rPr>
          <w:rFonts w:ascii="Times New Roman" w:hAnsi="Times New Roman"/>
          <w:i/>
          <w:sz w:val="24"/>
          <w:szCs w:val="24"/>
          <w:lang w:val="en-US"/>
        </w:rPr>
        <w:t xml:space="preserve">Equity Investiment in Foreign Markets: Portfolio Rebalancing or Return Chasing? </w:t>
      </w:r>
      <w:r w:rsidRPr="00545993">
        <w:rPr>
          <w:rFonts w:ascii="Times New Roman" w:hAnsi="Times New Roman"/>
          <w:sz w:val="24"/>
          <w:szCs w:val="24"/>
          <w:lang w:val="en-US"/>
        </w:rPr>
        <w:t>The American Economic Review, vol. 86, no 2, p. 77-81.</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BRENAN, M.; CAO, H.(1997). </w:t>
      </w:r>
      <w:r w:rsidRPr="00545993">
        <w:rPr>
          <w:rFonts w:ascii="Times New Roman" w:hAnsi="Times New Roman"/>
          <w:i/>
          <w:sz w:val="24"/>
          <w:szCs w:val="24"/>
          <w:lang w:val="en-US"/>
        </w:rPr>
        <w:t>International Portfolio Investment Flows</w:t>
      </w:r>
      <w:r w:rsidRPr="00545993">
        <w:rPr>
          <w:rFonts w:ascii="Times New Roman" w:hAnsi="Times New Roman"/>
          <w:sz w:val="24"/>
          <w:szCs w:val="24"/>
          <w:lang w:val="en-US"/>
        </w:rPr>
        <w:t>. The Journal of Finance, vol.52, n05, p.1851-1880, 1997</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rPr>
        <w:t xml:space="preserve">CALVO, G. A., LEIDERMAN, L. e REINHART, C. M. (1996). </w:t>
      </w:r>
      <w:r w:rsidRPr="00545993">
        <w:rPr>
          <w:rFonts w:ascii="Times New Roman" w:hAnsi="Times New Roman"/>
          <w:i/>
          <w:sz w:val="24"/>
          <w:szCs w:val="24"/>
          <w:lang w:val="en-US"/>
        </w:rPr>
        <w:t>Inflows of Capital to Developing Countries in the 1990s.</w:t>
      </w:r>
      <w:r w:rsidRPr="00545993">
        <w:rPr>
          <w:rFonts w:ascii="Times New Roman" w:hAnsi="Times New Roman"/>
          <w:sz w:val="24"/>
          <w:szCs w:val="24"/>
          <w:lang w:val="en-US"/>
        </w:rPr>
        <w:t xml:space="preserve"> Journal of Economic Perspectives, Vol. 10, No 2, p. 123- 139.</w:t>
      </w:r>
    </w:p>
    <w:p w:rsidR="0040631F" w:rsidRPr="00545993" w:rsidRDefault="0040631F" w:rsidP="00545993">
      <w:pPr>
        <w:autoSpaceDE w:val="0"/>
        <w:autoSpaceDN w:val="0"/>
        <w:spacing w:line="240" w:lineRule="auto"/>
        <w:jc w:val="both"/>
        <w:rPr>
          <w:rFonts w:ascii="Times New Roman" w:hAnsi="Times New Roman"/>
          <w:sz w:val="24"/>
          <w:szCs w:val="24"/>
          <w:lang w:val="en-US"/>
        </w:rPr>
      </w:pPr>
      <w:r w:rsidRPr="0067524A">
        <w:rPr>
          <w:rFonts w:ascii="Times New Roman" w:hAnsi="Times New Roman"/>
          <w:caps/>
          <w:sz w:val="24"/>
          <w:szCs w:val="24"/>
          <w:lang w:val="en-US"/>
        </w:rPr>
        <w:t>Chuhan, P., Claessens, S.,&amp;Mamingi</w:t>
      </w:r>
      <w:r w:rsidRPr="00545993">
        <w:rPr>
          <w:rFonts w:ascii="Times New Roman" w:hAnsi="Times New Roman"/>
          <w:sz w:val="24"/>
          <w:szCs w:val="24"/>
          <w:lang w:val="en-US"/>
        </w:rPr>
        <w:t>, N. (1998</w:t>
      </w:r>
      <w:r w:rsidRPr="00545993">
        <w:rPr>
          <w:rFonts w:ascii="Times New Roman" w:hAnsi="Times New Roman"/>
          <w:i/>
          <w:sz w:val="24"/>
          <w:szCs w:val="24"/>
          <w:lang w:val="en-US"/>
        </w:rPr>
        <w:t xml:space="preserve">). Equity and bond flows to Latin America and Asia: The role of global and country factors. </w:t>
      </w:r>
      <w:r w:rsidRPr="00545993">
        <w:rPr>
          <w:rFonts w:ascii="Times New Roman" w:hAnsi="Times New Roman"/>
          <w:sz w:val="24"/>
          <w:szCs w:val="24"/>
          <w:lang w:val="en-US"/>
        </w:rPr>
        <w:t>Journal of Development Economics, 55, 439–463.</w:t>
      </w:r>
    </w:p>
    <w:p w:rsidR="0040631F" w:rsidRPr="00545993" w:rsidRDefault="0040631F" w:rsidP="00545993">
      <w:pPr>
        <w:spacing w:line="240" w:lineRule="auto"/>
        <w:jc w:val="both"/>
        <w:rPr>
          <w:rFonts w:ascii="Times New Roman" w:hAnsi="Times New Roman"/>
          <w:sz w:val="24"/>
          <w:szCs w:val="24"/>
          <w:lang w:val="en-US"/>
        </w:rPr>
      </w:pPr>
      <w:r w:rsidRPr="00703C41">
        <w:rPr>
          <w:rFonts w:ascii="Times New Roman" w:hAnsi="Times New Roman"/>
          <w:sz w:val="24"/>
          <w:szCs w:val="24"/>
          <w:lang w:val="en-US"/>
        </w:rPr>
        <w:t xml:space="preserve">DE SANTIS, R.; LÜHRMANN, M. (2009). </w:t>
      </w:r>
      <w:r w:rsidRPr="00545993">
        <w:rPr>
          <w:rFonts w:ascii="Times New Roman" w:hAnsi="Times New Roman"/>
          <w:i/>
          <w:sz w:val="24"/>
          <w:szCs w:val="24"/>
          <w:lang w:val="en-US"/>
        </w:rPr>
        <w:t xml:space="preserve">On the determinants of net international portfolio flows: A global perspective. </w:t>
      </w:r>
      <w:r w:rsidRPr="00545993">
        <w:rPr>
          <w:rFonts w:ascii="Times New Roman" w:hAnsi="Times New Roman"/>
          <w:sz w:val="24"/>
          <w:szCs w:val="24"/>
          <w:lang w:val="en-US"/>
        </w:rPr>
        <w:t>Journal of International Money and Finance, 28, p. 880-901.</w:t>
      </w:r>
    </w:p>
    <w:p w:rsidR="0040631F" w:rsidRPr="00B978D1" w:rsidRDefault="0040631F" w:rsidP="00545993">
      <w:pPr>
        <w:spacing w:line="240" w:lineRule="auto"/>
        <w:jc w:val="both"/>
        <w:rPr>
          <w:rFonts w:ascii="Times New Roman" w:hAnsi="Times New Roman"/>
          <w:sz w:val="24"/>
          <w:szCs w:val="24"/>
        </w:rPr>
      </w:pPr>
      <w:r w:rsidRPr="00432F0A">
        <w:rPr>
          <w:rFonts w:ascii="Times New Roman" w:hAnsi="Times New Roman"/>
          <w:sz w:val="24"/>
          <w:szCs w:val="24"/>
          <w:lang w:val="en-US"/>
        </w:rPr>
        <w:t xml:space="preserve">ECONOMIC DATA – FRED (2010). </w:t>
      </w:r>
      <w:r w:rsidRPr="00703C41">
        <w:rPr>
          <w:rFonts w:ascii="Times New Roman" w:hAnsi="Times New Roman"/>
          <w:i/>
          <w:sz w:val="24"/>
          <w:szCs w:val="24"/>
        </w:rPr>
        <w:t>Dados Macroeconômicos</w:t>
      </w:r>
      <w:r w:rsidRPr="00703C41">
        <w:rPr>
          <w:rFonts w:ascii="Times New Roman" w:hAnsi="Times New Roman"/>
          <w:sz w:val="24"/>
          <w:szCs w:val="24"/>
        </w:rPr>
        <w:t xml:space="preserve">. </w:t>
      </w:r>
      <w:r w:rsidRPr="00B978D1">
        <w:rPr>
          <w:rFonts w:ascii="Times New Roman" w:hAnsi="Times New Roman"/>
          <w:sz w:val="24"/>
          <w:szCs w:val="24"/>
        </w:rPr>
        <w:t>&lt;</w:t>
      </w:r>
      <w:hyperlink r:id="rId8" w:tgtFrame="_blank" w:history="1">
        <w:r w:rsidRPr="00B978D1">
          <w:rPr>
            <w:rFonts w:ascii="Times New Roman" w:hAnsi="Times New Roman"/>
            <w:sz w:val="24"/>
            <w:szCs w:val="24"/>
          </w:rPr>
          <w:t>http://</w:t>
        </w:r>
        <w:r w:rsidRPr="00B978D1">
          <w:t xml:space="preserve"> </w:t>
        </w:r>
        <w:r w:rsidRPr="00B978D1">
          <w:rPr>
            <w:rFonts w:ascii="Times New Roman" w:hAnsi="Times New Roman"/>
            <w:sz w:val="24"/>
            <w:szCs w:val="24"/>
          </w:rPr>
          <w:t>research.stlouisfed.org /</w:t>
        </w:r>
      </w:hyperlink>
      <w:r w:rsidRPr="00B978D1">
        <w:rPr>
          <w:rFonts w:ascii="Times New Roman" w:hAnsi="Times New Roman"/>
          <w:sz w:val="24"/>
          <w:szCs w:val="24"/>
        </w:rPr>
        <w:t>&gt;. Acesso em: 2010</w:t>
      </w:r>
    </w:p>
    <w:p w:rsidR="0040631F" w:rsidRPr="0002449F" w:rsidRDefault="0040631F" w:rsidP="00545993">
      <w:pPr>
        <w:spacing w:line="240" w:lineRule="auto"/>
        <w:jc w:val="both"/>
        <w:rPr>
          <w:rFonts w:ascii="Times New Roman" w:hAnsi="Times New Roman"/>
          <w:sz w:val="24"/>
          <w:szCs w:val="24"/>
        </w:rPr>
      </w:pPr>
      <w:r w:rsidRPr="00432F0A">
        <w:rPr>
          <w:rFonts w:ascii="Times New Roman" w:hAnsi="Times New Roman"/>
          <w:sz w:val="24"/>
          <w:szCs w:val="24"/>
        </w:rPr>
        <w:t xml:space="preserve">ENDERS, W. (2003), </w:t>
      </w:r>
      <w:r w:rsidRPr="00432F0A">
        <w:rPr>
          <w:rFonts w:ascii="Times New Roman" w:hAnsi="Times New Roman"/>
          <w:i/>
          <w:sz w:val="24"/>
          <w:szCs w:val="24"/>
        </w:rPr>
        <w:t>Applied Econometric Time Series</w:t>
      </w:r>
      <w:r w:rsidRPr="00432F0A">
        <w:rPr>
          <w:rFonts w:ascii="Times New Roman" w:hAnsi="Times New Roman"/>
          <w:sz w:val="24"/>
          <w:szCs w:val="24"/>
        </w:rPr>
        <w:t xml:space="preserve">, Quarta edição. </w:t>
      </w:r>
      <w:r w:rsidRPr="0002449F">
        <w:rPr>
          <w:rFonts w:ascii="Times New Roman" w:hAnsi="Times New Roman"/>
          <w:sz w:val="24"/>
          <w:szCs w:val="24"/>
        </w:rPr>
        <w:t>Tuscaloosa, Editora Wiley.</w:t>
      </w:r>
    </w:p>
    <w:p w:rsidR="0040631F" w:rsidRPr="0002449F" w:rsidRDefault="0040631F" w:rsidP="00545993">
      <w:pPr>
        <w:spacing w:line="240" w:lineRule="auto"/>
        <w:jc w:val="both"/>
        <w:rPr>
          <w:rFonts w:ascii="Times New Roman" w:hAnsi="Times New Roman"/>
          <w:sz w:val="24"/>
          <w:szCs w:val="24"/>
        </w:rPr>
      </w:pPr>
      <w:r>
        <w:rPr>
          <w:rFonts w:ascii="Times New Roman" w:hAnsi="Times New Roman"/>
          <w:sz w:val="24"/>
          <w:szCs w:val="24"/>
          <w:lang w:val="en-US"/>
        </w:rPr>
        <w:t>ENGLE, R. HENDRY, D. F.; RICHARD, J-F.</w:t>
      </w:r>
      <w:r w:rsidRPr="0067524A">
        <w:rPr>
          <w:rFonts w:ascii="Times New Roman" w:hAnsi="Times New Roman"/>
          <w:sz w:val="24"/>
          <w:szCs w:val="24"/>
          <w:lang w:val="en-US"/>
        </w:rPr>
        <w:t xml:space="preserve"> </w:t>
      </w:r>
      <w:r w:rsidRPr="0002449F">
        <w:rPr>
          <w:rFonts w:ascii="Times New Roman" w:hAnsi="Times New Roman"/>
          <w:sz w:val="24"/>
          <w:szCs w:val="24"/>
        </w:rPr>
        <w:t xml:space="preserve">(1983). </w:t>
      </w:r>
      <w:r w:rsidRPr="0002449F">
        <w:rPr>
          <w:rFonts w:ascii="Times New Roman" w:hAnsi="Times New Roman"/>
          <w:i/>
          <w:sz w:val="24"/>
          <w:szCs w:val="24"/>
        </w:rPr>
        <w:t>Exogeneity</w:t>
      </w:r>
      <w:r w:rsidRPr="0002449F">
        <w:rPr>
          <w:rFonts w:ascii="Times New Roman" w:hAnsi="Times New Roman"/>
          <w:sz w:val="24"/>
          <w:szCs w:val="24"/>
        </w:rPr>
        <w:t>. Econometrica, v. 51, n. 2, p. 277-304.</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ERRUNZA, V. (2001). </w:t>
      </w:r>
      <w:r w:rsidRPr="00545993">
        <w:rPr>
          <w:rFonts w:ascii="Times New Roman" w:hAnsi="Times New Roman"/>
          <w:i/>
          <w:sz w:val="24"/>
          <w:szCs w:val="24"/>
          <w:lang w:val="en-US"/>
        </w:rPr>
        <w:t>Foreign portfolio equity investments, financial liberalization, and economic development.</w:t>
      </w:r>
      <w:r w:rsidRPr="00545993">
        <w:rPr>
          <w:rFonts w:ascii="Times New Roman" w:hAnsi="Times New Roman"/>
          <w:sz w:val="24"/>
          <w:szCs w:val="24"/>
          <w:lang w:val="en-US"/>
        </w:rPr>
        <w:t xml:space="preserve"> Review of International Economics, 9(4):703–726.</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FANG, W. &amp; MILLER, S. M. (2002). </w:t>
      </w:r>
      <w:r w:rsidRPr="00545993">
        <w:rPr>
          <w:rFonts w:ascii="Times New Roman" w:hAnsi="Times New Roman"/>
          <w:i/>
          <w:sz w:val="24"/>
          <w:szCs w:val="24"/>
          <w:lang w:val="en-US"/>
        </w:rPr>
        <w:t>Dynamic effects of currency depreciation on stock market returns during the Asian financial crisis.</w:t>
      </w:r>
      <w:r w:rsidRPr="00545993">
        <w:rPr>
          <w:rFonts w:ascii="Times New Roman" w:hAnsi="Times New Roman"/>
          <w:sz w:val="24"/>
          <w:szCs w:val="24"/>
          <w:lang w:val="en-US"/>
        </w:rPr>
        <w:t xml:space="preserve"> University of Connecticut Department of Economics Working Paper Series, 2002-31.</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FERNANDEZ-ARIAS, E. (1996) </w:t>
      </w:r>
      <w:r w:rsidRPr="00545993">
        <w:rPr>
          <w:rFonts w:ascii="Times New Roman" w:hAnsi="Times New Roman"/>
          <w:i/>
          <w:sz w:val="24"/>
          <w:szCs w:val="24"/>
          <w:lang w:val="en-US"/>
        </w:rPr>
        <w:t xml:space="preserve">The new wave of private capital inflows: push or pull? </w:t>
      </w:r>
      <w:r w:rsidRPr="00545993">
        <w:rPr>
          <w:rFonts w:ascii="Times New Roman" w:hAnsi="Times New Roman"/>
          <w:iCs/>
          <w:sz w:val="24"/>
          <w:szCs w:val="24"/>
          <w:lang w:val="en-US"/>
        </w:rPr>
        <w:t>Journal of Development Economics</w:t>
      </w:r>
      <w:r w:rsidRPr="00545993">
        <w:rPr>
          <w:rFonts w:ascii="Times New Roman" w:hAnsi="Times New Roman"/>
          <w:sz w:val="24"/>
          <w:szCs w:val="24"/>
          <w:lang w:val="en-US"/>
        </w:rPr>
        <w:t>, v. 48, n. 2, p. 389-418.</w:t>
      </w:r>
    </w:p>
    <w:p w:rsidR="0040631F" w:rsidRPr="00545993" w:rsidRDefault="0040631F" w:rsidP="00545993">
      <w:pPr>
        <w:spacing w:line="240" w:lineRule="auto"/>
        <w:jc w:val="both"/>
        <w:rPr>
          <w:rFonts w:ascii="Times New Roman" w:hAnsi="Times New Roman"/>
          <w:sz w:val="24"/>
          <w:szCs w:val="24"/>
        </w:rPr>
      </w:pPr>
      <w:r w:rsidRPr="00703C41">
        <w:rPr>
          <w:rFonts w:ascii="Times New Roman" w:hAnsi="Times New Roman"/>
          <w:sz w:val="24"/>
          <w:szCs w:val="24"/>
          <w:lang w:val="en-US"/>
        </w:rPr>
        <w:t xml:space="preserve">FRANZEN, A; MEURER, R.; SEABRA, F; GONÇALVES, C. (2009). </w:t>
      </w:r>
      <w:r w:rsidRPr="00545993">
        <w:rPr>
          <w:rFonts w:ascii="Times New Roman" w:hAnsi="Times New Roman"/>
          <w:i/>
          <w:sz w:val="24"/>
          <w:szCs w:val="24"/>
        </w:rPr>
        <w:t>Determinantes do fluxo de investimento de portfólio para o mercado acionário brasileiro.</w:t>
      </w:r>
      <w:r w:rsidRPr="00545993">
        <w:rPr>
          <w:rFonts w:ascii="Times New Roman" w:hAnsi="Times New Roman"/>
          <w:sz w:val="24"/>
          <w:szCs w:val="24"/>
        </w:rPr>
        <w:t xml:space="preserve"> Revista de Estudos Econômicos, v. 39, n.2, São Paulo – abr/jun 2009.</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FROOT, K. A.; O'CONNeLL, P. G. J.; SEASHOLES, M. (2001). </w:t>
      </w:r>
      <w:r w:rsidRPr="00545993">
        <w:rPr>
          <w:rFonts w:ascii="Times New Roman" w:hAnsi="Times New Roman"/>
          <w:i/>
          <w:sz w:val="24"/>
          <w:szCs w:val="24"/>
          <w:lang w:val="en-US"/>
        </w:rPr>
        <w:t xml:space="preserve">The portfolio flows of international investors. </w:t>
      </w:r>
      <w:r w:rsidRPr="00545993">
        <w:rPr>
          <w:rFonts w:ascii="Times New Roman" w:hAnsi="Times New Roman"/>
          <w:iCs/>
          <w:sz w:val="24"/>
          <w:szCs w:val="24"/>
          <w:lang w:val="en-US"/>
        </w:rPr>
        <w:t>Journal of Financial Economics</w:t>
      </w:r>
      <w:r w:rsidRPr="00545993">
        <w:rPr>
          <w:rFonts w:ascii="Times New Roman" w:hAnsi="Times New Roman"/>
          <w:sz w:val="24"/>
          <w:szCs w:val="24"/>
          <w:lang w:val="en-US"/>
        </w:rPr>
        <w:t>, v. 59, n. 2, p. 151-193.  </w:t>
      </w:r>
    </w:p>
    <w:p w:rsidR="0040631F" w:rsidRPr="00545993"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lang w:val="en-US"/>
        </w:rPr>
        <w:lastRenderedPageBreak/>
        <w:t xml:space="preserve">HAU, H.; REY, H. (2004). </w:t>
      </w:r>
      <w:r w:rsidRPr="00545993">
        <w:rPr>
          <w:rFonts w:ascii="Times New Roman" w:hAnsi="Times New Roman"/>
          <w:i/>
          <w:sz w:val="24"/>
          <w:szCs w:val="24"/>
          <w:lang w:val="en-US"/>
        </w:rPr>
        <w:t>Can portfolio rebalancing explain the dynamics of equity returns, equity flows and exchange rates?</w:t>
      </w:r>
      <w:r w:rsidRPr="00545993">
        <w:rPr>
          <w:rFonts w:ascii="Times New Roman" w:hAnsi="Times New Roman"/>
          <w:sz w:val="24"/>
          <w:szCs w:val="24"/>
          <w:lang w:val="en-US"/>
        </w:rPr>
        <w:t xml:space="preserve"> </w:t>
      </w:r>
      <w:r w:rsidRPr="00545993">
        <w:rPr>
          <w:rFonts w:ascii="Times New Roman" w:hAnsi="Times New Roman"/>
          <w:iCs/>
          <w:sz w:val="24"/>
          <w:szCs w:val="24"/>
        </w:rPr>
        <w:t>NBER Working Paper</w:t>
      </w:r>
      <w:r w:rsidRPr="00545993">
        <w:rPr>
          <w:rFonts w:ascii="Times New Roman" w:hAnsi="Times New Roman"/>
          <w:sz w:val="24"/>
          <w:szCs w:val="24"/>
        </w:rPr>
        <w:t xml:space="preserve"> Nº10476, p. 1-17.</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rPr>
        <w:t xml:space="preserve">HOLLAND, M.; VERÍSSIMO, M. (2004). </w:t>
      </w:r>
      <w:r w:rsidRPr="00545993">
        <w:rPr>
          <w:rFonts w:ascii="Times New Roman" w:hAnsi="Times New Roman"/>
          <w:i/>
          <w:sz w:val="24"/>
          <w:szCs w:val="24"/>
        </w:rPr>
        <w:t>Liberalização da conta de capital e fluxos de portfólio para o Brasil no período 1995-2002.</w:t>
      </w:r>
      <w:r w:rsidRPr="00545993">
        <w:rPr>
          <w:rFonts w:ascii="Times New Roman" w:hAnsi="Times New Roman"/>
          <w:sz w:val="24"/>
          <w:szCs w:val="24"/>
        </w:rPr>
        <w:t xml:space="preserve"> </w:t>
      </w:r>
      <w:r w:rsidRPr="00545993">
        <w:rPr>
          <w:rFonts w:ascii="Times New Roman" w:hAnsi="Times New Roman"/>
          <w:iCs/>
          <w:sz w:val="24"/>
          <w:szCs w:val="24"/>
        </w:rPr>
        <w:t>XXXII Encontro nacional da ANPEC.</w:t>
      </w:r>
      <w:r w:rsidRPr="00545993">
        <w:rPr>
          <w:rFonts w:ascii="Times New Roman" w:hAnsi="Times New Roman"/>
          <w:i/>
          <w:iCs/>
          <w:sz w:val="24"/>
          <w:szCs w:val="24"/>
        </w:rPr>
        <w:t xml:space="preserve"> </w:t>
      </w:r>
      <w:r w:rsidRPr="00545993">
        <w:rPr>
          <w:rFonts w:ascii="Times New Roman" w:hAnsi="Times New Roman"/>
          <w:sz w:val="24"/>
          <w:szCs w:val="24"/>
        </w:rPr>
        <w:t xml:space="preserve">2004. Disponível em: &lt;http://www.anpec.org.br/encontro2004/artigos/A04A069.pdf &gt;. </w:t>
      </w:r>
      <w:r w:rsidRPr="00545993">
        <w:rPr>
          <w:rFonts w:ascii="Times New Roman" w:hAnsi="Times New Roman"/>
          <w:sz w:val="24"/>
          <w:szCs w:val="24"/>
          <w:lang w:val="en-US"/>
        </w:rPr>
        <w:t>Acesso em: 2009.</w:t>
      </w:r>
    </w:p>
    <w:p w:rsidR="0040631F" w:rsidRPr="00545993" w:rsidRDefault="0040631F" w:rsidP="00545993">
      <w:pPr>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HOTI, S. (2004) </w:t>
      </w:r>
      <w:r w:rsidRPr="00545993">
        <w:rPr>
          <w:rFonts w:ascii="Times New Roman" w:hAnsi="Times New Roman"/>
          <w:i/>
          <w:sz w:val="24"/>
          <w:szCs w:val="24"/>
          <w:lang w:val="en-US"/>
        </w:rPr>
        <w:t>An empirical evaluation of international capital flows for developing countries.</w:t>
      </w:r>
      <w:r w:rsidRPr="00545993">
        <w:rPr>
          <w:rFonts w:ascii="Times New Roman" w:hAnsi="Times New Roman"/>
          <w:sz w:val="24"/>
          <w:szCs w:val="24"/>
          <w:lang w:val="en-US"/>
        </w:rPr>
        <w:t xml:space="preserve"> </w:t>
      </w:r>
      <w:r w:rsidRPr="00545993">
        <w:rPr>
          <w:rFonts w:ascii="Times New Roman" w:hAnsi="Times New Roman"/>
          <w:iCs/>
          <w:sz w:val="24"/>
          <w:szCs w:val="24"/>
          <w:lang w:val="en-US"/>
        </w:rPr>
        <w:t>Mathematics and computers in simulation</w:t>
      </w:r>
      <w:r w:rsidRPr="00545993">
        <w:rPr>
          <w:rFonts w:ascii="Times New Roman" w:hAnsi="Times New Roman"/>
          <w:sz w:val="24"/>
          <w:szCs w:val="24"/>
          <w:lang w:val="en-US"/>
        </w:rPr>
        <w:t xml:space="preserve">, v. 64, p. 143-160. </w:t>
      </w:r>
    </w:p>
    <w:p w:rsidR="0040631F" w:rsidRPr="00CD5F87" w:rsidRDefault="0040631F" w:rsidP="008E7884">
      <w:pPr>
        <w:spacing w:line="240" w:lineRule="auto"/>
        <w:jc w:val="both"/>
        <w:rPr>
          <w:rFonts w:ascii="Times New Roman" w:hAnsi="Times New Roman"/>
          <w:sz w:val="24"/>
          <w:szCs w:val="24"/>
        </w:rPr>
      </w:pPr>
      <w:r w:rsidRPr="00B978D1">
        <w:rPr>
          <w:rFonts w:ascii="Times New Roman" w:hAnsi="Times New Roman"/>
          <w:sz w:val="24"/>
          <w:szCs w:val="24"/>
          <w:lang w:val="en-US"/>
        </w:rPr>
        <w:t xml:space="preserve">IBGE. Dados Macroeconômicos 2010. </w:t>
      </w:r>
      <w:r w:rsidRPr="00CD5F87">
        <w:rPr>
          <w:rFonts w:ascii="Times New Roman" w:hAnsi="Times New Roman"/>
          <w:sz w:val="24"/>
          <w:szCs w:val="24"/>
        </w:rPr>
        <w:t>D</w:t>
      </w:r>
      <w:r>
        <w:rPr>
          <w:rFonts w:ascii="Times New Roman" w:hAnsi="Times New Roman"/>
          <w:sz w:val="24"/>
          <w:szCs w:val="24"/>
        </w:rPr>
        <w:t>isponível em:</w:t>
      </w:r>
      <w:r w:rsidRPr="00CD5F87">
        <w:rPr>
          <w:rFonts w:ascii="Times New Roman" w:hAnsi="Times New Roman"/>
          <w:sz w:val="24"/>
          <w:szCs w:val="24"/>
        </w:rPr>
        <w:t xml:space="preserve"> &lt;http://</w:t>
      </w:r>
      <w:r w:rsidRPr="00CD5F87">
        <w:t xml:space="preserve"> </w:t>
      </w:r>
      <w:r w:rsidRPr="00CD5F87">
        <w:rPr>
          <w:rFonts w:ascii="Times New Roman" w:hAnsi="Times New Roman"/>
          <w:sz w:val="24"/>
          <w:szCs w:val="24"/>
        </w:rPr>
        <w:t>www.ibge.gov.br/&gt;. Acesso em: 20010</w:t>
      </w:r>
      <w:r>
        <w:rPr>
          <w:rFonts w:ascii="Times New Roman" w:hAnsi="Times New Roman"/>
          <w:sz w:val="24"/>
          <w:szCs w:val="24"/>
        </w:rPr>
        <w:t>.</w:t>
      </w:r>
    </w:p>
    <w:p w:rsidR="0040631F" w:rsidRPr="008E7884" w:rsidRDefault="0040631F" w:rsidP="008E7884">
      <w:pPr>
        <w:spacing w:line="240" w:lineRule="auto"/>
        <w:jc w:val="both"/>
        <w:rPr>
          <w:rFonts w:ascii="Times New Roman" w:hAnsi="Times New Roman"/>
          <w:sz w:val="24"/>
          <w:szCs w:val="24"/>
          <w:lang w:val="en-US"/>
        </w:rPr>
      </w:pPr>
      <w:r w:rsidRPr="00CD5F87">
        <w:rPr>
          <w:rFonts w:ascii="Times New Roman" w:hAnsi="Times New Roman"/>
          <w:sz w:val="24"/>
          <w:szCs w:val="24"/>
        </w:rPr>
        <w:t xml:space="preserve">IPEADATA. </w:t>
      </w:r>
      <w:r w:rsidRPr="00B978D1">
        <w:rPr>
          <w:rFonts w:ascii="Times New Roman" w:hAnsi="Times New Roman"/>
          <w:i/>
          <w:sz w:val="24"/>
          <w:szCs w:val="24"/>
        </w:rPr>
        <w:t>Dados Macroeconômicos. 2010</w:t>
      </w:r>
      <w:r w:rsidRPr="00B978D1">
        <w:rPr>
          <w:rFonts w:ascii="Times New Roman" w:hAnsi="Times New Roman"/>
          <w:sz w:val="24"/>
          <w:szCs w:val="24"/>
        </w:rPr>
        <w:t>. Disponível em: &lt;</w:t>
      </w:r>
      <w:hyperlink r:id="rId9" w:tgtFrame="_blank" w:history="1">
        <w:r w:rsidRPr="00B978D1">
          <w:rPr>
            <w:rFonts w:ascii="Times New Roman" w:hAnsi="Times New Roman"/>
            <w:sz w:val="24"/>
            <w:szCs w:val="24"/>
          </w:rPr>
          <w:t>http://www.ipeadata.gov.br/</w:t>
        </w:r>
      </w:hyperlink>
      <w:r w:rsidRPr="00B978D1">
        <w:rPr>
          <w:rFonts w:ascii="Times New Roman" w:hAnsi="Times New Roman"/>
          <w:sz w:val="24"/>
          <w:szCs w:val="24"/>
        </w:rPr>
        <w:t xml:space="preserve">&gt;. </w:t>
      </w:r>
      <w:r w:rsidRPr="008E7884">
        <w:rPr>
          <w:rFonts w:ascii="Times New Roman" w:hAnsi="Times New Roman"/>
          <w:sz w:val="24"/>
          <w:szCs w:val="24"/>
          <w:lang w:val="en-US"/>
        </w:rPr>
        <w:t xml:space="preserve">Acesso em: </w:t>
      </w:r>
      <w:r>
        <w:rPr>
          <w:rFonts w:ascii="Times New Roman" w:hAnsi="Times New Roman"/>
          <w:sz w:val="24"/>
          <w:szCs w:val="24"/>
          <w:lang w:val="en-US"/>
        </w:rPr>
        <w:t>2010</w:t>
      </w:r>
    </w:p>
    <w:p w:rsidR="0040631F" w:rsidRPr="008E7884" w:rsidRDefault="0040631F" w:rsidP="008E7884">
      <w:pPr>
        <w:spacing w:line="240" w:lineRule="auto"/>
        <w:jc w:val="both"/>
        <w:rPr>
          <w:rFonts w:ascii="Times New Roman" w:hAnsi="Times New Roman"/>
          <w:sz w:val="24"/>
          <w:szCs w:val="24"/>
          <w:lang w:val="en-US"/>
        </w:rPr>
      </w:pPr>
      <w:r w:rsidRPr="008E7884">
        <w:rPr>
          <w:rFonts w:ascii="Times New Roman" w:hAnsi="Times New Roman"/>
          <w:sz w:val="24"/>
          <w:szCs w:val="24"/>
          <w:lang w:val="en-US"/>
        </w:rPr>
        <w:t xml:space="preserve">J. P. MORGAN. </w:t>
      </w:r>
      <w:r w:rsidRPr="008E7884">
        <w:rPr>
          <w:rFonts w:ascii="Times New Roman" w:hAnsi="Times New Roman"/>
          <w:i/>
          <w:sz w:val="24"/>
          <w:szCs w:val="24"/>
          <w:lang w:val="en-US"/>
        </w:rPr>
        <w:t>Emerging Markets Bond Index Plus</w:t>
      </w:r>
      <w:r w:rsidRPr="008E7884">
        <w:rPr>
          <w:rFonts w:ascii="Times New Roman" w:hAnsi="Times New Roman"/>
          <w:sz w:val="24"/>
          <w:szCs w:val="24"/>
          <w:lang w:val="en-US"/>
        </w:rPr>
        <w:t xml:space="preserve"> (EMBI+)</w:t>
      </w:r>
      <w:r>
        <w:rPr>
          <w:rFonts w:ascii="Times New Roman" w:hAnsi="Times New Roman"/>
          <w:sz w:val="24"/>
          <w:szCs w:val="24"/>
          <w:lang w:val="en-US"/>
        </w:rPr>
        <w:t>. Database, 2009</w:t>
      </w:r>
      <w:r w:rsidRPr="008E7884">
        <w:rPr>
          <w:rFonts w:ascii="Times New Roman" w:hAnsi="Times New Roman"/>
          <w:sz w:val="24"/>
          <w:szCs w:val="24"/>
          <w:lang w:val="en-US"/>
        </w:rPr>
        <w:t>.  </w:t>
      </w:r>
    </w:p>
    <w:p w:rsidR="0040631F" w:rsidRPr="0067524A" w:rsidRDefault="0040631F" w:rsidP="0067524A">
      <w:pPr>
        <w:autoSpaceDE w:val="0"/>
        <w:autoSpaceDN w:val="0"/>
        <w:spacing w:line="240" w:lineRule="auto"/>
        <w:jc w:val="both"/>
        <w:rPr>
          <w:rFonts w:ascii="Times New Roman" w:hAnsi="Times New Roman"/>
          <w:sz w:val="24"/>
          <w:szCs w:val="24"/>
          <w:lang w:val="en-US"/>
        </w:rPr>
      </w:pPr>
      <w:r w:rsidRPr="0067524A">
        <w:rPr>
          <w:rFonts w:ascii="Times New Roman" w:hAnsi="Times New Roman"/>
          <w:sz w:val="24"/>
          <w:szCs w:val="24"/>
          <w:lang w:val="en-US"/>
        </w:rPr>
        <w:t>INGERSOLL JR, J.E.; ROSS, S.A.</w:t>
      </w:r>
      <w:r>
        <w:rPr>
          <w:rFonts w:ascii="Times New Roman" w:hAnsi="Times New Roman"/>
          <w:sz w:val="24"/>
          <w:szCs w:val="24"/>
          <w:lang w:val="en-US"/>
        </w:rPr>
        <w:t xml:space="preserve"> (1992).</w:t>
      </w:r>
      <w:r w:rsidRPr="0067524A">
        <w:rPr>
          <w:rFonts w:ascii="Times New Roman" w:hAnsi="Times New Roman"/>
          <w:sz w:val="24"/>
          <w:szCs w:val="24"/>
          <w:lang w:val="en-US"/>
        </w:rPr>
        <w:t xml:space="preserve"> </w:t>
      </w:r>
      <w:r w:rsidRPr="0067524A">
        <w:rPr>
          <w:rFonts w:ascii="Times New Roman" w:hAnsi="Times New Roman"/>
          <w:i/>
          <w:sz w:val="24"/>
          <w:szCs w:val="24"/>
          <w:lang w:val="en-US"/>
        </w:rPr>
        <w:t>Waiting to invest: investment and uncertainty</w:t>
      </w:r>
      <w:r w:rsidRPr="0067524A">
        <w:rPr>
          <w:rFonts w:ascii="Times New Roman" w:hAnsi="Times New Roman"/>
          <w:sz w:val="24"/>
          <w:szCs w:val="24"/>
          <w:lang w:val="en-US"/>
        </w:rPr>
        <w:t>. Journal of Business, v. 65, n. 1, p.1-29, 1992.</w:t>
      </w:r>
    </w:p>
    <w:p w:rsidR="0040631F" w:rsidRPr="00545993" w:rsidRDefault="0040631F" w:rsidP="00292717">
      <w:pPr>
        <w:autoSpaceDE w:val="0"/>
        <w:autoSpaceDN w:val="0"/>
        <w:spacing w:line="240" w:lineRule="auto"/>
        <w:jc w:val="both"/>
        <w:rPr>
          <w:rFonts w:ascii="Times New Roman" w:hAnsi="Times New Roman"/>
          <w:sz w:val="24"/>
          <w:szCs w:val="24"/>
          <w:lang w:val="en-US"/>
        </w:rPr>
      </w:pPr>
      <w:r w:rsidRPr="00545993">
        <w:rPr>
          <w:rFonts w:ascii="Times New Roman" w:hAnsi="Times New Roman"/>
          <w:sz w:val="24"/>
          <w:szCs w:val="24"/>
          <w:lang w:val="en-US"/>
        </w:rPr>
        <w:t xml:space="preserve">KIM, Y. (2000). </w:t>
      </w:r>
      <w:r w:rsidRPr="00545993">
        <w:rPr>
          <w:rFonts w:ascii="Times New Roman" w:hAnsi="Times New Roman"/>
          <w:i/>
          <w:sz w:val="24"/>
          <w:szCs w:val="24"/>
          <w:lang w:val="en-US"/>
        </w:rPr>
        <w:t>Causes of capital flows in developing countries</w:t>
      </w:r>
      <w:r w:rsidRPr="00545993">
        <w:rPr>
          <w:rFonts w:ascii="Times New Roman" w:hAnsi="Times New Roman"/>
          <w:sz w:val="24"/>
          <w:szCs w:val="24"/>
          <w:lang w:val="en-US"/>
        </w:rPr>
        <w:t>. Journal of International Money and Finance, 235–253.</w:t>
      </w:r>
    </w:p>
    <w:p w:rsidR="0040631F" w:rsidRPr="00545993" w:rsidRDefault="0040631F" w:rsidP="00545993">
      <w:pPr>
        <w:autoSpaceDE w:val="0"/>
        <w:autoSpaceDN w:val="0"/>
        <w:adjustRightInd w:val="0"/>
        <w:spacing w:line="240" w:lineRule="auto"/>
        <w:jc w:val="both"/>
        <w:rPr>
          <w:rFonts w:ascii="Times New Roman" w:hAnsi="Times New Roman"/>
          <w:sz w:val="24"/>
          <w:szCs w:val="24"/>
          <w:lang w:val="en-US" w:eastAsia="pt-BR"/>
        </w:rPr>
      </w:pPr>
      <w:r w:rsidRPr="00545993">
        <w:rPr>
          <w:rFonts w:ascii="Times New Roman" w:hAnsi="Times New Roman"/>
          <w:sz w:val="24"/>
          <w:szCs w:val="24"/>
          <w:lang w:val="en-US" w:eastAsia="pt-BR"/>
        </w:rPr>
        <w:t xml:space="preserve">LA PORTA, R; LOPEZ-DE-SILANES, F; SHLEIFER; A. (1997) </w:t>
      </w:r>
      <w:r w:rsidRPr="00545993">
        <w:rPr>
          <w:rFonts w:ascii="Times New Roman" w:hAnsi="Times New Roman"/>
          <w:i/>
          <w:sz w:val="24"/>
          <w:szCs w:val="24"/>
          <w:lang w:val="en-US" w:eastAsia="pt-BR"/>
        </w:rPr>
        <w:t>Legal determinants of external finance,</w:t>
      </w:r>
      <w:r w:rsidRPr="00545993">
        <w:rPr>
          <w:rFonts w:ascii="Times New Roman" w:hAnsi="Times New Roman"/>
          <w:sz w:val="24"/>
          <w:szCs w:val="24"/>
          <w:lang w:val="en-US" w:eastAsia="pt-BR"/>
        </w:rPr>
        <w:t xml:space="preserve"> </w:t>
      </w:r>
      <w:r w:rsidRPr="00545993">
        <w:rPr>
          <w:rFonts w:ascii="Times New Roman" w:hAnsi="Times New Roman"/>
          <w:iCs/>
          <w:sz w:val="24"/>
          <w:szCs w:val="24"/>
          <w:lang w:val="en-US" w:eastAsia="pt-BR"/>
        </w:rPr>
        <w:t>Journal of Finance</w:t>
      </w:r>
      <w:r w:rsidRPr="00545993">
        <w:rPr>
          <w:rFonts w:ascii="Times New Roman" w:hAnsi="Times New Roman"/>
          <w:sz w:val="24"/>
          <w:szCs w:val="24"/>
          <w:lang w:val="en-US" w:eastAsia="pt-BR"/>
        </w:rPr>
        <w:t>, 52, 1131-1150.</w:t>
      </w:r>
    </w:p>
    <w:p w:rsidR="0040631F" w:rsidRPr="00545993" w:rsidRDefault="0040631F" w:rsidP="00545993">
      <w:pPr>
        <w:autoSpaceDE w:val="0"/>
        <w:autoSpaceDN w:val="0"/>
        <w:adjustRightInd w:val="0"/>
        <w:spacing w:line="240" w:lineRule="auto"/>
        <w:jc w:val="both"/>
        <w:rPr>
          <w:rFonts w:ascii="Times New Roman" w:hAnsi="Times New Roman"/>
          <w:sz w:val="24"/>
          <w:szCs w:val="24"/>
          <w:lang w:val="en-US" w:eastAsia="pt-BR"/>
        </w:rPr>
      </w:pPr>
      <w:r w:rsidRPr="00545993">
        <w:rPr>
          <w:rFonts w:ascii="Times New Roman" w:hAnsi="Times New Roman"/>
          <w:sz w:val="24"/>
          <w:szCs w:val="24"/>
          <w:lang w:val="en-US" w:eastAsia="pt-BR"/>
        </w:rPr>
        <w:t xml:space="preserve">LA PORTA, R; LOPEZ-DE-SILANES, F; SHLEIFER; A. (1999) </w:t>
      </w:r>
      <w:r w:rsidRPr="00545993">
        <w:rPr>
          <w:rFonts w:ascii="Times New Roman" w:hAnsi="Times New Roman"/>
          <w:i/>
          <w:sz w:val="24"/>
          <w:szCs w:val="24"/>
          <w:lang w:val="en-US" w:eastAsia="pt-BR"/>
        </w:rPr>
        <w:t>Corporate ownership around the world</w:t>
      </w:r>
      <w:r w:rsidRPr="00545993">
        <w:rPr>
          <w:rFonts w:ascii="Times New Roman" w:hAnsi="Times New Roman"/>
          <w:sz w:val="24"/>
          <w:szCs w:val="24"/>
          <w:lang w:val="en-US" w:eastAsia="pt-BR"/>
        </w:rPr>
        <w:t xml:space="preserve">, </w:t>
      </w:r>
      <w:r w:rsidRPr="00545993">
        <w:rPr>
          <w:rFonts w:ascii="Times New Roman" w:hAnsi="Times New Roman"/>
          <w:iCs/>
          <w:sz w:val="24"/>
          <w:szCs w:val="24"/>
          <w:lang w:val="en-US" w:eastAsia="pt-BR"/>
        </w:rPr>
        <w:t>Journal of Finance</w:t>
      </w:r>
      <w:r w:rsidRPr="00545993">
        <w:rPr>
          <w:rFonts w:ascii="Times New Roman" w:hAnsi="Times New Roman"/>
          <w:sz w:val="24"/>
          <w:szCs w:val="24"/>
          <w:lang w:val="en-US" w:eastAsia="pt-BR"/>
        </w:rPr>
        <w:t>, 54, 471-518.</w:t>
      </w:r>
    </w:p>
    <w:p w:rsidR="0040631F" w:rsidRPr="00545993"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rPr>
        <w:t xml:space="preserve">MEURER, R.(2006). </w:t>
      </w:r>
      <w:r w:rsidRPr="00545993">
        <w:rPr>
          <w:rFonts w:ascii="Times New Roman" w:hAnsi="Times New Roman"/>
          <w:i/>
          <w:sz w:val="24"/>
          <w:szCs w:val="24"/>
        </w:rPr>
        <w:t>Fluxo de capital estrangeiro e desempenho do IBOVESPA</w:t>
      </w:r>
      <w:r w:rsidRPr="00545993">
        <w:rPr>
          <w:rFonts w:ascii="Times New Roman" w:hAnsi="Times New Roman"/>
          <w:sz w:val="24"/>
          <w:szCs w:val="24"/>
        </w:rPr>
        <w:t>. Revista Brasileira de Finanças, v.4, n.1, p.345-361.</w:t>
      </w:r>
    </w:p>
    <w:p w:rsidR="0040631F" w:rsidRPr="00545993"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rPr>
        <w:t xml:space="preserve">MUNHOZ, L.;LIBÂNIO, G.(2009). </w:t>
      </w:r>
      <w:r w:rsidRPr="00545993">
        <w:rPr>
          <w:rFonts w:ascii="Times New Roman" w:hAnsi="Times New Roman"/>
          <w:i/>
          <w:sz w:val="24"/>
          <w:szCs w:val="24"/>
        </w:rPr>
        <w:t>Volatilidade dos fluxos financeiros e fuga de capitais: uma análise exploratória da vulnerabilidade externa no Brasil</w:t>
      </w:r>
      <w:r w:rsidRPr="00545993">
        <w:rPr>
          <w:rFonts w:ascii="Times New Roman" w:hAnsi="Times New Roman"/>
          <w:sz w:val="24"/>
          <w:szCs w:val="24"/>
        </w:rPr>
        <w:t>. Texto para Discussão no 371, 2009.</w:t>
      </w:r>
    </w:p>
    <w:p w:rsidR="0040631F" w:rsidRPr="00CD5F87" w:rsidRDefault="0040631F" w:rsidP="00545993">
      <w:pPr>
        <w:spacing w:line="240" w:lineRule="auto"/>
        <w:jc w:val="both"/>
        <w:rPr>
          <w:rFonts w:ascii="Times New Roman" w:hAnsi="Times New Roman"/>
          <w:sz w:val="24"/>
          <w:szCs w:val="24"/>
        </w:rPr>
      </w:pPr>
      <w:r w:rsidRPr="00B978D1">
        <w:rPr>
          <w:rFonts w:ascii="Times New Roman" w:hAnsi="Times New Roman"/>
          <w:sz w:val="24"/>
          <w:szCs w:val="24"/>
        </w:rPr>
        <w:t xml:space="preserve">MSCI. </w:t>
      </w:r>
      <w:r w:rsidRPr="00CD5F87">
        <w:rPr>
          <w:rFonts w:ascii="Times New Roman" w:hAnsi="Times New Roman"/>
          <w:i/>
          <w:sz w:val="24"/>
          <w:szCs w:val="24"/>
        </w:rPr>
        <w:t xml:space="preserve">MSCI índices 2010. </w:t>
      </w:r>
      <w:r w:rsidRPr="00CD5F87">
        <w:rPr>
          <w:rFonts w:ascii="Times New Roman" w:hAnsi="Times New Roman"/>
          <w:sz w:val="24"/>
          <w:szCs w:val="24"/>
        </w:rPr>
        <w:t>Disponível em &lt;</w:t>
      </w:r>
      <w:hyperlink r:id="rId10" w:tgtFrame="_blank" w:history="1">
        <w:r w:rsidRPr="00CD5F87">
          <w:rPr>
            <w:rFonts w:ascii="Times New Roman" w:hAnsi="Times New Roman"/>
            <w:sz w:val="24"/>
            <w:szCs w:val="24"/>
          </w:rPr>
          <w:t>http://www.</w:t>
        </w:r>
        <w:r w:rsidRPr="00CD5F87">
          <w:t xml:space="preserve"> </w:t>
        </w:r>
        <w:r w:rsidRPr="00CD5F87">
          <w:rPr>
            <w:rFonts w:ascii="Times New Roman" w:hAnsi="Times New Roman"/>
            <w:sz w:val="24"/>
            <w:szCs w:val="24"/>
          </w:rPr>
          <w:t>mscibarra.com /</w:t>
        </w:r>
      </w:hyperlink>
      <w:r w:rsidRPr="00CD5F87">
        <w:rPr>
          <w:rFonts w:ascii="Times New Roman" w:hAnsi="Times New Roman"/>
          <w:sz w:val="24"/>
          <w:szCs w:val="24"/>
        </w:rPr>
        <w:t>&gt;. Acesso em: 2010</w:t>
      </w:r>
    </w:p>
    <w:p w:rsidR="0040631F" w:rsidRPr="008E7884" w:rsidRDefault="0040631F" w:rsidP="00545993">
      <w:pPr>
        <w:spacing w:line="240" w:lineRule="auto"/>
        <w:jc w:val="both"/>
        <w:rPr>
          <w:rFonts w:ascii="Times New Roman" w:hAnsi="Times New Roman"/>
          <w:sz w:val="24"/>
          <w:szCs w:val="24"/>
        </w:rPr>
      </w:pPr>
      <w:r w:rsidRPr="00B978D1">
        <w:rPr>
          <w:rFonts w:ascii="Times New Roman" w:hAnsi="Times New Roman"/>
          <w:sz w:val="24"/>
          <w:szCs w:val="24"/>
        </w:rPr>
        <w:t xml:space="preserve">NAKANE, M. (1993). </w:t>
      </w:r>
      <w:r w:rsidRPr="008E7884">
        <w:rPr>
          <w:rFonts w:ascii="Times New Roman" w:hAnsi="Times New Roman"/>
          <w:i/>
          <w:sz w:val="24"/>
          <w:szCs w:val="24"/>
        </w:rPr>
        <w:t>Testes de exogeneidade fraca e de superexogeneidade para a demanda por moeda no Brasil</w:t>
      </w:r>
      <w:r w:rsidRPr="008E7884">
        <w:rPr>
          <w:rFonts w:ascii="Times New Roman" w:hAnsi="Times New Roman"/>
          <w:sz w:val="24"/>
          <w:szCs w:val="24"/>
        </w:rPr>
        <w:t>. 1993. Dissertação (mestrado) - universidade de São Paulo. São Paulo, p. 1-165.  </w:t>
      </w:r>
    </w:p>
    <w:p w:rsidR="0040631F" w:rsidRPr="004B5301" w:rsidRDefault="0040631F" w:rsidP="00545993">
      <w:pPr>
        <w:spacing w:line="240" w:lineRule="auto"/>
        <w:jc w:val="both"/>
        <w:rPr>
          <w:rFonts w:ascii="Times New Roman" w:hAnsi="Times New Roman"/>
          <w:sz w:val="24"/>
          <w:szCs w:val="24"/>
        </w:rPr>
      </w:pPr>
      <w:r w:rsidRPr="00545993">
        <w:rPr>
          <w:rFonts w:ascii="Times New Roman" w:hAnsi="Times New Roman"/>
          <w:sz w:val="24"/>
          <w:szCs w:val="24"/>
        </w:rPr>
        <w:t xml:space="preserve">NUNES, M., COSTA JR, N. e MEURER, R. (2005). </w:t>
      </w:r>
      <w:r w:rsidRPr="00545993">
        <w:rPr>
          <w:rFonts w:ascii="Times New Roman" w:hAnsi="Times New Roman"/>
          <w:i/>
          <w:sz w:val="24"/>
          <w:szCs w:val="24"/>
        </w:rPr>
        <w:t>A Relação entre o Mercado de Ações e as Variáveis Macroeconômicas: Uma Análise Econométrica para o Brasil</w:t>
      </w:r>
      <w:r w:rsidRPr="00545993">
        <w:rPr>
          <w:rFonts w:ascii="Times New Roman" w:hAnsi="Times New Roman"/>
          <w:sz w:val="24"/>
          <w:szCs w:val="24"/>
        </w:rPr>
        <w:t xml:space="preserve">. </w:t>
      </w:r>
      <w:r w:rsidRPr="004B5301">
        <w:rPr>
          <w:rFonts w:ascii="Times New Roman" w:hAnsi="Times New Roman"/>
          <w:sz w:val="24"/>
          <w:szCs w:val="24"/>
        </w:rPr>
        <w:t>Revista Brasileira de Economia 59, No 4, p. 585-607.</w:t>
      </w:r>
    </w:p>
    <w:p w:rsidR="0040631F" w:rsidRPr="00432F0A" w:rsidRDefault="0040631F" w:rsidP="00545993">
      <w:pPr>
        <w:spacing w:line="240" w:lineRule="auto"/>
        <w:jc w:val="both"/>
        <w:rPr>
          <w:rFonts w:ascii="Times New Roman" w:hAnsi="Times New Roman"/>
          <w:sz w:val="24"/>
          <w:szCs w:val="24"/>
          <w:lang w:val="en-US"/>
        </w:rPr>
      </w:pPr>
      <w:r w:rsidRPr="00432F0A">
        <w:rPr>
          <w:rFonts w:ascii="Times New Roman" w:hAnsi="Times New Roman"/>
          <w:sz w:val="24"/>
          <w:szCs w:val="24"/>
          <w:lang w:val="en-US"/>
        </w:rPr>
        <w:t xml:space="preserve">RAZIN, A.; SADKA, E. (2002) </w:t>
      </w:r>
      <w:r w:rsidRPr="00432F0A">
        <w:rPr>
          <w:rFonts w:ascii="Times New Roman" w:hAnsi="Times New Roman"/>
          <w:i/>
          <w:sz w:val="24"/>
          <w:szCs w:val="24"/>
          <w:lang w:val="en-US"/>
        </w:rPr>
        <w:t>A Brazilian debt crisis.</w:t>
      </w:r>
      <w:r w:rsidRPr="00432F0A">
        <w:rPr>
          <w:rFonts w:ascii="Times New Roman" w:hAnsi="Times New Roman"/>
          <w:sz w:val="24"/>
          <w:szCs w:val="24"/>
          <w:lang w:val="en-US"/>
        </w:rPr>
        <w:t xml:space="preserve"> NBER Working Paper series, n. 9160, p. 1-7, 2002</w:t>
      </w:r>
    </w:p>
    <w:p w:rsidR="0040631F" w:rsidRPr="00B978D1" w:rsidRDefault="0040631F" w:rsidP="00545993">
      <w:pPr>
        <w:spacing w:line="240" w:lineRule="auto"/>
        <w:jc w:val="both"/>
        <w:rPr>
          <w:rFonts w:ascii="Times New Roman" w:hAnsi="Times New Roman"/>
          <w:sz w:val="24"/>
          <w:szCs w:val="24"/>
          <w:lang w:val="en-US"/>
        </w:rPr>
      </w:pPr>
      <w:r w:rsidRPr="00B978D1">
        <w:rPr>
          <w:rFonts w:ascii="Times New Roman" w:hAnsi="Times New Roman"/>
          <w:sz w:val="24"/>
          <w:szCs w:val="24"/>
        </w:rPr>
        <w:t xml:space="preserve">SACHSIDA, A. (1999). </w:t>
      </w:r>
      <w:r w:rsidRPr="00545993">
        <w:rPr>
          <w:rFonts w:ascii="Times New Roman" w:hAnsi="Times New Roman"/>
          <w:i/>
          <w:sz w:val="24"/>
          <w:szCs w:val="24"/>
        </w:rPr>
        <w:t>Testes de Exogeneidade sobre a Correlação Poupança Doméstica e Investimento.</w:t>
      </w:r>
      <w:r w:rsidRPr="00545993">
        <w:rPr>
          <w:rFonts w:ascii="Times New Roman" w:hAnsi="Times New Roman"/>
          <w:sz w:val="24"/>
          <w:szCs w:val="24"/>
        </w:rPr>
        <w:t xml:space="preserve"> </w:t>
      </w:r>
      <w:r w:rsidRPr="00B978D1">
        <w:rPr>
          <w:rFonts w:ascii="Times New Roman" w:hAnsi="Times New Roman"/>
          <w:sz w:val="24"/>
          <w:szCs w:val="24"/>
          <w:lang w:val="en-US"/>
        </w:rPr>
        <w:t>IPEA:Texto para Discussão No 659, p. 1-37.</w:t>
      </w:r>
    </w:p>
    <w:p w:rsidR="0040631F" w:rsidRPr="004B5301" w:rsidRDefault="0040631F" w:rsidP="004B5301">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TABAK, B. (2003</w:t>
      </w:r>
      <w:r w:rsidRPr="00545993">
        <w:rPr>
          <w:rFonts w:ascii="Times New Roman" w:hAnsi="Times New Roman"/>
          <w:sz w:val="24"/>
          <w:szCs w:val="24"/>
          <w:lang w:val="en-US"/>
        </w:rPr>
        <w:t xml:space="preserve">). </w:t>
      </w:r>
      <w:r w:rsidRPr="00545993">
        <w:rPr>
          <w:rFonts w:ascii="Times New Roman" w:hAnsi="Times New Roman"/>
          <w:i/>
          <w:sz w:val="24"/>
          <w:szCs w:val="24"/>
          <w:lang w:val="en-US"/>
        </w:rPr>
        <w:t>The Random Walk Hypothesis and the Behavior of Foreign Capital Portfolio Flows: the Brazilian Stock Market Case.</w:t>
      </w:r>
      <w:r w:rsidRPr="004B5301">
        <w:rPr>
          <w:rFonts w:ascii="Times New Roman" w:hAnsi="Times New Roman"/>
          <w:sz w:val="24"/>
          <w:szCs w:val="24"/>
          <w:lang w:val="en-US"/>
        </w:rPr>
        <w:t>.</w:t>
      </w:r>
      <w:r w:rsidRPr="004B5301">
        <w:rPr>
          <w:rFonts w:ascii="AdvTimes-i" w:hAnsi="AdvTimes-i" w:cs="AdvTimes-i"/>
          <w:sz w:val="18"/>
          <w:szCs w:val="18"/>
          <w:lang w:val="en-US"/>
        </w:rPr>
        <w:t xml:space="preserve"> </w:t>
      </w:r>
      <w:r w:rsidRPr="00725174">
        <w:rPr>
          <w:rFonts w:ascii="Times New Roman" w:hAnsi="Times New Roman"/>
          <w:sz w:val="24"/>
          <w:szCs w:val="24"/>
          <w:lang w:val="en-US"/>
        </w:rPr>
        <w:t>Applied Financial Economics, 13, 369–78.</w:t>
      </w:r>
    </w:p>
    <w:p w:rsidR="0040631F" w:rsidRPr="00545993" w:rsidRDefault="0040631F" w:rsidP="00545993">
      <w:pPr>
        <w:autoSpaceDE w:val="0"/>
        <w:autoSpaceDN w:val="0"/>
        <w:spacing w:line="240" w:lineRule="auto"/>
        <w:rPr>
          <w:rFonts w:ascii="Times New Roman" w:hAnsi="Times New Roman"/>
          <w:sz w:val="24"/>
          <w:szCs w:val="24"/>
        </w:rPr>
      </w:pPr>
      <w:r w:rsidRPr="00725174">
        <w:rPr>
          <w:rFonts w:ascii="Times New Roman" w:hAnsi="Times New Roman"/>
          <w:caps/>
          <w:sz w:val="24"/>
          <w:szCs w:val="24"/>
          <w:lang w:val="en-US"/>
        </w:rPr>
        <w:t>Taylor, M., &amp; Sarno,</w:t>
      </w:r>
      <w:r w:rsidRPr="00725174">
        <w:rPr>
          <w:rFonts w:ascii="Times New Roman" w:hAnsi="Times New Roman"/>
          <w:sz w:val="24"/>
          <w:szCs w:val="24"/>
          <w:lang w:val="en-US"/>
        </w:rPr>
        <w:t xml:space="preserve"> L. (1997). </w:t>
      </w:r>
      <w:r w:rsidRPr="00545993">
        <w:rPr>
          <w:rFonts w:ascii="Times New Roman" w:hAnsi="Times New Roman"/>
          <w:i/>
          <w:sz w:val="24"/>
          <w:szCs w:val="24"/>
          <w:lang w:val="en-US"/>
        </w:rPr>
        <w:t>Capital flows to developing countries: Long- and short-term determinants</w:t>
      </w:r>
      <w:r w:rsidRPr="00545993">
        <w:rPr>
          <w:rFonts w:ascii="Times New Roman" w:hAnsi="Times New Roman"/>
          <w:sz w:val="24"/>
          <w:szCs w:val="24"/>
          <w:lang w:val="en-US"/>
        </w:rPr>
        <w:t xml:space="preserve">. </w:t>
      </w:r>
      <w:r w:rsidRPr="00545993">
        <w:rPr>
          <w:rFonts w:ascii="Times New Roman" w:hAnsi="Times New Roman"/>
          <w:sz w:val="24"/>
          <w:szCs w:val="24"/>
        </w:rPr>
        <w:t>The World Bank Economic Review, 11(3), 451–470.</w:t>
      </w:r>
    </w:p>
    <w:p w:rsidR="0040631F" w:rsidRPr="00545993" w:rsidRDefault="0040631F" w:rsidP="00545993">
      <w:pPr>
        <w:spacing w:after="0" w:line="240" w:lineRule="auto"/>
        <w:jc w:val="both"/>
        <w:rPr>
          <w:rFonts w:ascii="Times New Roman" w:hAnsi="Times New Roman"/>
          <w:sz w:val="24"/>
          <w:szCs w:val="24"/>
        </w:rPr>
      </w:pPr>
      <w:r w:rsidRPr="00545993">
        <w:rPr>
          <w:rFonts w:ascii="Times New Roman" w:hAnsi="Times New Roman"/>
          <w:sz w:val="24"/>
          <w:szCs w:val="24"/>
        </w:rPr>
        <w:lastRenderedPageBreak/>
        <w:t>VAL, V.; CORRÊA</w:t>
      </w:r>
      <w:r>
        <w:rPr>
          <w:rFonts w:ascii="Times New Roman" w:hAnsi="Times New Roman"/>
          <w:sz w:val="24"/>
          <w:szCs w:val="24"/>
        </w:rPr>
        <w:t>, V. (2009</w:t>
      </w:r>
      <w:r w:rsidRPr="00545993">
        <w:rPr>
          <w:rFonts w:ascii="Times New Roman" w:hAnsi="Times New Roman"/>
          <w:sz w:val="24"/>
          <w:szCs w:val="24"/>
        </w:rPr>
        <w:t xml:space="preserve">).; </w:t>
      </w:r>
      <w:r w:rsidRPr="00545993">
        <w:rPr>
          <w:rFonts w:ascii="Times New Roman" w:hAnsi="Times New Roman"/>
          <w:i/>
          <w:sz w:val="24"/>
          <w:szCs w:val="24"/>
        </w:rPr>
        <w:t>Volatilidade do</w:t>
      </w:r>
      <w:r>
        <w:rPr>
          <w:rFonts w:ascii="Times New Roman" w:hAnsi="Times New Roman"/>
          <w:i/>
          <w:sz w:val="24"/>
          <w:szCs w:val="24"/>
        </w:rPr>
        <w:t>s</w:t>
      </w:r>
      <w:r w:rsidRPr="00545993">
        <w:rPr>
          <w:rFonts w:ascii="Times New Roman" w:hAnsi="Times New Roman"/>
          <w:i/>
          <w:sz w:val="24"/>
          <w:szCs w:val="24"/>
        </w:rPr>
        <w:t xml:space="preserve"> fluxo </w:t>
      </w:r>
      <w:r>
        <w:rPr>
          <w:rFonts w:ascii="Times New Roman" w:hAnsi="Times New Roman"/>
          <w:i/>
          <w:sz w:val="24"/>
          <w:szCs w:val="24"/>
        </w:rPr>
        <w:t xml:space="preserve">financeiros </w:t>
      </w:r>
      <w:r w:rsidRPr="00545993">
        <w:rPr>
          <w:rFonts w:ascii="Times New Roman" w:hAnsi="Times New Roman"/>
          <w:i/>
          <w:sz w:val="24"/>
          <w:szCs w:val="24"/>
        </w:rPr>
        <w:t>no</w:t>
      </w:r>
      <w:r>
        <w:rPr>
          <w:rFonts w:ascii="Times New Roman" w:hAnsi="Times New Roman"/>
          <w:i/>
          <w:sz w:val="24"/>
          <w:szCs w:val="24"/>
        </w:rPr>
        <w:t xml:space="preserve"> Brasil: </w:t>
      </w:r>
      <w:r w:rsidRPr="00545993">
        <w:rPr>
          <w:rFonts w:ascii="Times New Roman" w:hAnsi="Times New Roman"/>
          <w:i/>
          <w:sz w:val="24"/>
          <w:szCs w:val="24"/>
        </w:rPr>
        <w:t>Uma análise</w:t>
      </w:r>
      <w:r>
        <w:rPr>
          <w:rFonts w:ascii="Times New Roman" w:hAnsi="Times New Roman"/>
          <w:i/>
          <w:sz w:val="24"/>
          <w:szCs w:val="24"/>
        </w:rPr>
        <w:t xml:space="preserve"> empírica</w:t>
      </w:r>
      <w:r w:rsidRPr="00545993">
        <w:rPr>
          <w:rFonts w:ascii="Times New Roman" w:hAnsi="Times New Roman"/>
          <w:i/>
          <w:sz w:val="24"/>
          <w:szCs w:val="24"/>
        </w:rPr>
        <w:t xml:space="preserve"> por meio do modelo ARCH</w:t>
      </w:r>
      <w:r w:rsidRPr="00545993">
        <w:rPr>
          <w:rFonts w:ascii="Times New Roman" w:hAnsi="Times New Roman"/>
          <w:sz w:val="24"/>
          <w:szCs w:val="24"/>
        </w:rPr>
        <w:t xml:space="preserve">. </w:t>
      </w:r>
      <w:r>
        <w:rPr>
          <w:rFonts w:ascii="Times New Roman" w:hAnsi="Times New Roman"/>
          <w:sz w:val="24"/>
          <w:szCs w:val="24"/>
        </w:rPr>
        <w:t>Análise Econômica, UFRGS, Vol. 52, p. 201-232.</w:t>
      </w:r>
    </w:p>
    <w:p w:rsidR="0040631F" w:rsidRPr="00545993" w:rsidRDefault="0040631F" w:rsidP="00545993">
      <w:pPr>
        <w:autoSpaceDE w:val="0"/>
        <w:autoSpaceDN w:val="0"/>
        <w:adjustRightInd w:val="0"/>
        <w:spacing w:after="0" w:line="240" w:lineRule="auto"/>
        <w:rPr>
          <w:rFonts w:ascii="Times New Roman" w:hAnsi="Times New Roman"/>
          <w:sz w:val="24"/>
          <w:szCs w:val="24"/>
          <w:lang w:eastAsia="pt-BR"/>
        </w:rPr>
      </w:pPr>
    </w:p>
    <w:p w:rsidR="0040631F" w:rsidRPr="00545993" w:rsidRDefault="0040631F" w:rsidP="00545993">
      <w:pPr>
        <w:spacing w:after="0" w:line="240" w:lineRule="auto"/>
        <w:jc w:val="both"/>
        <w:rPr>
          <w:rFonts w:ascii="Times New Roman" w:hAnsi="Times New Roman"/>
          <w:sz w:val="24"/>
          <w:szCs w:val="24"/>
        </w:rPr>
      </w:pPr>
      <w:r w:rsidRPr="00545993">
        <w:rPr>
          <w:rFonts w:ascii="Times New Roman" w:hAnsi="Times New Roman"/>
          <w:sz w:val="24"/>
          <w:szCs w:val="24"/>
        </w:rPr>
        <w:t xml:space="preserve">VIEIRA, F. V. (2004). </w:t>
      </w:r>
      <w:r w:rsidRPr="00545993">
        <w:rPr>
          <w:rFonts w:ascii="Times New Roman" w:hAnsi="Times New Roman"/>
          <w:i/>
          <w:sz w:val="24"/>
          <w:szCs w:val="24"/>
        </w:rPr>
        <w:t>Endividamento Público e Impactos sobre os Fluxos de Capitais, Risco-País e Diferencial de Juros no Brasil: Modelo VAR e Testes de Causalidade</w:t>
      </w:r>
      <w:r w:rsidRPr="00545993">
        <w:rPr>
          <w:rFonts w:ascii="Times New Roman" w:hAnsi="Times New Roman"/>
          <w:sz w:val="24"/>
          <w:szCs w:val="24"/>
        </w:rPr>
        <w:t>. Análise Econômica, UFRGS, Vol. 22, p. 129-148.</w:t>
      </w:r>
    </w:p>
    <w:p w:rsidR="0040631F" w:rsidRPr="00545993" w:rsidRDefault="0040631F" w:rsidP="00545993">
      <w:pPr>
        <w:spacing w:line="240" w:lineRule="auto"/>
        <w:rPr>
          <w:rFonts w:ascii="Times New Roman" w:hAnsi="Times New Roman"/>
          <w:b/>
          <w:sz w:val="24"/>
          <w:szCs w:val="24"/>
        </w:rPr>
      </w:pPr>
    </w:p>
    <w:sectPr w:rsidR="0040631F" w:rsidRPr="00545993" w:rsidSect="00F72712">
      <w:footerReference w:type="default" r:id="rId11"/>
      <w:pgSz w:w="11906" w:h="16838"/>
      <w:pgMar w:top="1134" w:right="85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43" w:rsidRDefault="00A90943" w:rsidP="00D766D4">
      <w:pPr>
        <w:spacing w:after="0" w:line="240" w:lineRule="auto"/>
      </w:pPr>
      <w:r>
        <w:separator/>
      </w:r>
    </w:p>
  </w:endnote>
  <w:endnote w:type="continuationSeparator" w:id="0">
    <w:p w:rsidR="00A90943" w:rsidRDefault="00A90943" w:rsidP="00D76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dvTimes-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B8" w:rsidRDefault="007A29B8">
    <w:pPr>
      <w:pStyle w:val="Rodap"/>
      <w:jc w:val="right"/>
    </w:pPr>
    <w:fldSimple w:instr=" PAGE   \* MERGEFORMAT ">
      <w:r w:rsidR="008837C0">
        <w:rPr>
          <w:noProof/>
        </w:rPr>
        <w:t>19</w:t>
      </w:r>
    </w:fldSimple>
  </w:p>
  <w:p w:rsidR="007A29B8" w:rsidRDefault="007A29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43" w:rsidRDefault="00A90943" w:rsidP="00D766D4">
      <w:pPr>
        <w:spacing w:after="0" w:line="240" w:lineRule="auto"/>
      </w:pPr>
      <w:r>
        <w:separator/>
      </w:r>
    </w:p>
  </w:footnote>
  <w:footnote w:type="continuationSeparator" w:id="0">
    <w:p w:rsidR="00A90943" w:rsidRDefault="00A90943" w:rsidP="00D766D4">
      <w:pPr>
        <w:spacing w:after="0" w:line="240" w:lineRule="auto"/>
      </w:pPr>
      <w:r>
        <w:continuationSeparator/>
      </w:r>
    </w:p>
  </w:footnote>
  <w:footnote w:id="1">
    <w:p w:rsidR="007A29B8" w:rsidRDefault="007A29B8">
      <w:pPr>
        <w:pStyle w:val="Textodenotaderodap"/>
      </w:pPr>
      <w:r>
        <w:rPr>
          <w:rStyle w:val="Refdenotaderodap"/>
        </w:rPr>
        <w:footnoteRef/>
      </w:r>
      <w:r>
        <w:t xml:space="preserve"> Mestrando do programa de pós-graduação em economia da Universidade Federal de Santa Catarina (UFSC); email: lucioosb@hotmail.com.</w:t>
      </w:r>
    </w:p>
  </w:footnote>
  <w:footnote w:id="2">
    <w:p w:rsidR="007A29B8" w:rsidRDefault="007A29B8">
      <w:pPr>
        <w:pStyle w:val="Textodenotaderodap"/>
      </w:pPr>
      <w:r>
        <w:rPr>
          <w:rStyle w:val="Refdenotaderodap"/>
        </w:rPr>
        <w:footnoteRef/>
      </w:r>
      <w:r>
        <w:t xml:space="preserve"> Professor da Universidade Federal de Santa Catarina (UFSC)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66C8"/>
    <w:multiLevelType w:val="hybridMultilevel"/>
    <w:tmpl w:val="91CE3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A32536B"/>
    <w:multiLevelType w:val="hybridMultilevel"/>
    <w:tmpl w:val="74185CC8"/>
    <w:lvl w:ilvl="0" w:tplc="5D9A620A">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D5BF3"/>
    <w:rsid w:val="00010CBD"/>
    <w:rsid w:val="0002449F"/>
    <w:rsid w:val="00032EA4"/>
    <w:rsid w:val="00036C1C"/>
    <w:rsid w:val="00037BE3"/>
    <w:rsid w:val="0004099E"/>
    <w:rsid w:val="000532EE"/>
    <w:rsid w:val="0005569A"/>
    <w:rsid w:val="00056C07"/>
    <w:rsid w:val="00073C5D"/>
    <w:rsid w:val="00073C8B"/>
    <w:rsid w:val="00077889"/>
    <w:rsid w:val="0008515E"/>
    <w:rsid w:val="000860A1"/>
    <w:rsid w:val="000875BF"/>
    <w:rsid w:val="0009111E"/>
    <w:rsid w:val="00093CF8"/>
    <w:rsid w:val="00093F9E"/>
    <w:rsid w:val="000A642B"/>
    <w:rsid w:val="000C3593"/>
    <w:rsid w:val="000C643E"/>
    <w:rsid w:val="000E4CA7"/>
    <w:rsid w:val="000E5229"/>
    <w:rsid w:val="000F0E24"/>
    <w:rsid w:val="00104A59"/>
    <w:rsid w:val="00104BAD"/>
    <w:rsid w:val="0012196B"/>
    <w:rsid w:val="00130596"/>
    <w:rsid w:val="00141B7D"/>
    <w:rsid w:val="001500EB"/>
    <w:rsid w:val="001517BA"/>
    <w:rsid w:val="001527D5"/>
    <w:rsid w:val="00154D7B"/>
    <w:rsid w:val="00164AA7"/>
    <w:rsid w:val="00165A48"/>
    <w:rsid w:val="00173BB5"/>
    <w:rsid w:val="00174AED"/>
    <w:rsid w:val="001842C8"/>
    <w:rsid w:val="0019145D"/>
    <w:rsid w:val="001A1862"/>
    <w:rsid w:val="001A7F1C"/>
    <w:rsid w:val="001B5827"/>
    <w:rsid w:val="001B78C9"/>
    <w:rsid w:val="001D5BF3"/>
    <w:rsid w:val="001F0CCA"/>
    <w:rsid w:val="001F5017"/>
    <w:rsid w:val="001F6333"/>
    <w:rsid w:val="001F7617"/>
    <w:rsid w:val="0020250F"/>
    <w:rsid w:val="00227FA9"/>
    <w:rsid w:val="00237A64"/>
    <w:rsid w:val="002647E0"/>
    <w:rsid w:val="00274445"/>
    <w:rsid w:val="002757ED"/>
    <w:rsid w:val="00276894"/>
    <w:rsid w:val="002807C4"/>
    <w:rsid w:val="00292717"/>
    <w:rsid w:val="002973DE"/>
    <w:rsid w:val="002A4108"/>
    <w:rsid w:val="002A5EA0"/>
    <w:rsid w:val="002C1599"/>
    <w:rsid w:val="002C16F0"/>
    <w:rsid w:val="002C2346"/>
    <w:rsid w:val="002C3F84"/>
    <w:rsid w:val="002D4166"/>
    <w:rsid w:val="002D7F14"/>
    <w:rsid w:val="002E1ED2"/>
    <w:rsid w:val="002F35F4"/>
    <w:rsid w:val="002F61F8"/>
    <w:rsid w:val="003012F2"/>
    <w:rsid w:val="00315F2E"/>
    <w:rsid w:val="00352A37"/>
    <w:rsid w:val="00362194"/>
    <w:rsid w:val="003649D4"/>
    <w:rsid w:val="0036536B"/>
    <w:rsid w:val="00365718"/>
    <w:rsid w:val="003702B6"/>
    <w:rsid w:val="0037235A"/>
    <w:rsid w:val="00377218"/>
    <w:rsid w:val="0037741D"/>
    <w:rsid w:val="00382D99"/>
    <w:rsid w:val="003A4FB0"/>
    <w:rsid w:val="003E1165"/>
    <w:rsid w:val="003F0AFB"/>
    <w:rsid w:val="003F3455"/>
    <w:rsid w:val="00402F30"/>
    <w:rsid w:val="0040372C"/>
    <w:rsid w:val="00404561"/>
    <w:rsid w:val="00405143"/>
    <w:rsid w:val="0040631F"/>
    <w:rsid w:val="00417A38"/>
    <w:rsid w:val="00421AF5"/>
    <w:rsid w:val="00432F0A"/>
    <w:rsid w:val="00440108"/>
    <w:rsid w:val="00445919"/>
    <w:rsid w:val="0046781F"/>
    <w:rsid w:val="004730D6"/>
    <w:rsid w:val="004840AE"/>
    <w:rsid w:val="004849C5"/>
    <w:rsid w:val="00486E6D"/>
    <w:rsid w:val="004907C2"/>
    <w:rsid w:val="004A0E79"/>
    <w:rsid w:val="004A1CA8"/>
    <w:rsid w:val="004A5F29"/>
    <w:rsid w:val="004A784C"/>
    <w:rsid w:val="004B5301"/>
    <w:rsid w:val="004C5496"/>
    <w:rsid w:val="004D5DDD"/>
    <w:rsid w:val="004F1F71"/>
    <w:rsid w:val="004F34EF"/>
    <w:rsid w:val="004F36B3"/>
    <w:rsid w:val="00505602"/>
    <w:rsid w:val="00507D85"/>
    <w:rsid w:val="00516C1A"/>
    <w:rsid w:val="00522028"/>
    <w:rsid w:val="00544239"/>
    <w:rsid w:val="00545993"/>
    <w:rsid w:val="00554699"/>
    <w:rsid w:val="00563AFB"/>
    <w:rsid w:val="00582A78"/>
    <w:rsid w:val="0058351C"/>
    <w:rsid w:val="00583876"/>
    <w:rsid w:val="0059638A"/>
    <w:rsid w:val="005A245E"/>
    <w:rsid w:val="005A6448"/>
    <w:rsid w:val="005B6F46"/>
    <w:rsid w:val="005C53EF"/>
    <w:rsid w:val="005E0577"/>
    <w:rsid w:val="005E3303"/>
    <w:rsid w:val="005E495B"/>
    <w:rsid w:val="005F3D26"/>
    <w:rsid w:val="00607CB5"/>
    <w:rsid w:val="0061685C"/>
    <w:rsid w:val="006235DD"/>
    <w:rsid w:val="006258B6"/>
    <w:rsid w:val="006315A4"/>
    <w:rsid w:val="00631BC7"/>
    <w:rsid w:val="006457EF"/>
    <w:rsid w:val="00646F35"/>
    <w:rsid w:val="00666353"/>
    <w:rsid w:val="0067524A"/>
    <w:rsid w:val="006C0BFA"/>
    <w:rsid w:val="00703C41"/>
    <w:rsid w:val="00711075"/>
    <w:rsid w:val="007145D2"/>
    <w:rsid w:val="00720085"/>
    <w:rsid w:val="0072347C"/>
    <w:rsid w:val="00725174"/>
    <w:rsid w:val="00726DF6"/>
    <w:rsid w:val="00727F62"/>
    <w:rsid w:val="00730276"/>
    <w:rsid w:val="00732A15"/>
    <w:rsid w:val="007346CD"/>
    <w:rsid w:val="007353ED"/>
    <w:rsid w:val="00736A34"/>
    <w:rsid w:val="007400DD"/>
    <w:rsid w:val="007466B4"/>
    <w:rsid w:val="0075512B"/>
    <w:rsid w:val="00755B14"/>
    <w:rsid w:val="007603E1"/>
    <w:rsid w:val="00774E74"/>
    <w:rsid w:val="00775594"/>
    <w:rsid w:val="007A06D0"/>
    <w:rsid w:val="007A29B8"/>
    <w:rsid w:val="007A52E0"/>
    <w:rsid w:val="007A60F9"/>
    <w:rsid w:val="007B18C1"/>
    <w:rsid w:val="007B1A99"/>
    <w:rsid w:val="007B36AC"/>
    <w:rsid w:val="007C09B8"/>
    <w:rsid w:val="007C2605"/>
    <w:rsid w:val="007D12DD"/>
    <w:rsid w:val="007F3CFF"/>
    <w:rsid w:val="00800C64"/>
    <w:rsid w:val="00812849"/>
    <w:rsid w:val="00815F11"/>
    <w:rsid w:val="008270A2"/>
    <w:rsid w:val="008363EC"/>
    <w:rsid w:val="00862BA0"/>
    <w:rsid w:val="00866915"/>
    <w:rsid w:val="00873AF1"/>
    <w:rsid w:val="00873CA2"/>
    <w:rsid w:val="008837C0"/>
    <w:rsid w:val="008872EC"/>
    <w:rsid w:val="00887AAA"/>
    <w:rsid w:val="008E7884"/>
    <w:rsid w:val="009004E6"/>
    <w:rsid w:val="00917B49"/>
    <w:rsid w:val="00917F53"/>
    <w:rsid w:val="00936ADD"/>
    <w:rsid w:val="00965E55"/>
    <w:rsid w:val="00970380"/>
    <w:rsid w:val="00970985"/>
    <w:rsid w:val="0097126C"/>
    <w:rsid w:val="00975358"/>
    <w:rsid w:val="00987747"/>
    <w:rsid w:val="00996BBB"/>
    <w:rsid w:val="009A79B6"/>
    <w:rsid w:val="009B553E"/>
    <w:rsid w:val="009B7BF9"/>
    <w:rsid w:val="009D2D8E"/>
    <w:rsid w:val="009E082A"/>
    <w:rsid w:val="009F572B"/>
    <w:rsid w:val="00A12E46"/>
    <w:rsid w:val="00A21A21"/>
    <w:rsid w:val="00A43E3B"/>
    <w:rsid w:val="00A5502C"/>
    <w:rsid w:val="00A62965"/>
    <w:rsid w:val="00A64A49"/>
    <w:rsid w:val="00A71F65"/>
    <w:rsid w:val="00A735F5"/>
    <w:rsid w:val="00A803F5"/>
    <w:rsid w:val="00A831B2"/>
    <w:rsid w:val="00A856EF"/>
    <w:rsid w:val="00A90943"/>
    <w:rsid w:val="00A919E3"/>
    <w:rsid w:val="00AA015E"/>
    <w:rsid w:val="00AC2DC4"/>
    <w:rsid w:val="00AD1B9A"/>
    <w:rsid w:val="00B154AF"/>
    <w:rsid w:val="00B158E9"/>
    <w:rsid w:val="00B4635B"/>
    <w:rsid w:val="00B5124A"/>
    <w:rsid w:val="00B51923"/>
    <w:rsid w:val="00B55CDF"/>
    <w:rsid w:val="00B626BC"/>
    <w:rsid w:val="00B72720"/>
    <w:rsid w:val="00B9788F"/>
    <w:rsid w:val="00B978D1"/>
    <w:rsid w:val="00B97B55"/>
    <w:rsid w:val="00BB1167"/>
    <w:rsid w:val="00BD335F"/>
    <w:rsid w:val="00BE0ED4"/>
    <w:rsid w:val="00BE5434"/>
    <w:rsid w:val="00C2536F"/>
    <w:rsid w:val="00C31EB7"/>
    <w:rsid w:val="00C37EB9"/>
    <w:rsid w:val="00C51666"/>
    <w:rsid w:val="00C55EAE"/>
    <w:rsid w:val="00C72FC8"/>
    <w:rsid w:val="00C95531"/>
    <w:rsid w:val="00C957A6"/>
    <w:rsid w:val="00CA051B"/>
    <w:rsid w:val="00CB5098"/>
    <w:rsid w:val="00CD5F87"/>
    <w:rsid w:val="00CE1518"/>
    <w:rsid w:val="00D008E7"/>
    <w:rsid w:val="00D10842"/>
    <w:rsid w:val="00D10C6D"/>
    <w:rsid w:val="00D13816"/>
    <w:rsid w:val="00D138DD"/>
    <w:rsid w:val="00D227F1"/>
    <w:rsid w:val="00D2637F"/>
    <w:rsid w:val="00D26AE8"/>
    <w:rsid w:val="00D34BDD"/>
    <w:rsid w:val="00D71BAE"/>
    <w:rsid w:val="00D744BD"/>
    <w:rsid w:val="00D766D4"/>
    <w:rsid w:val="00D77A4F"/>
    <w:rsid w:val="00D93716"/>
    <w:rsid w:val="00DA7BAF"/>
    <w:rsid w:val="00DB0862"/>
    <w:rsid w:val="00DC36C8"/>
    <w:rsid w:val="00DD126A"/>
    <w:rsid w:val="00DD4BE2"/>
    <w:rsid w:val="00DD5DE4"/>
    <w:rsid w:val="00DF26CC"/>
    <w:rsid w:val="00DF6B7A"/>
    <w:rsid w:val="00E228E5"/>
    <w:rsid w:val="00E2424E"/>
    <w:rsid w:val="00E71507"/>
    <w:rsid w:val="00E75B7A"/>
    <w:rsid w:val="00E91ED7"/>
    <w:rsid w:val="00E9354B"/>
    <w:rsid w:val="00E96DCF"/>
    <w:rsid w:val="00E97743"/>
    <w:rsid w:val="00EA3217"/>
    <w:rsid w:val="00EA3658"/>
    <w:rsid w:val="00EB518B"/>
    <w:rsid w:val="00ED56F4"/>
    <w:rsid w:val="00EF0132"/>
    <w:rsid w:val="00EF2090"/>
    <w:rsid w:val="00EF3158"/>
    <w:rsid w:val="00EF32EB"/>
    <w:rsid w:val="00EF53BA"/>
    <w:rsid w:val="00F01382"/>
    <w:rsid w:val="00F05369"/>
    <w:rsid w:val="00F05375"/>
    <w:rsid w:val="00F139CE"/>
    <w:rsid w:val="00F171D9"/>
    <w:rsid w:val="00F33230"/>
    <w:rsid w:val="00F505F8"/>
    <w:rsid w:val="00F52F0D"/>
    <w:rsid w:val="00F55499"/>
    <w:rsid w:val="00F55EFA"/>
    <w:rsid w:val="00F63FA5"/>
    <w:rsid w:val="00F72712"/>
    <w:rsid w:val="00F8145F"/>
    <w:rsid w:val="00FA0B31"/>
    <w:rsid w:val="00FA6517"/>
    <w:rsid w:val="00FA75E4"/>
    <w:rsid w:val="00FA764A"/>
    <w:rsid w:val="00FA795C"/>
    <w:rsid w:val="00FB114B"/>
    <w:rsid w:val="00FB48F0"/>
    <w:rsid w:val="00FC0BE6"/>
    <w:rsid w:val="00FD507A"/>
    <w:rsid w:val="00FE3899"/>
    <w:rsid w:val="00FF3312"/>
    <w:rsid w:val="00FF7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5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32EA4"/>
    <w:rPr>
      <w:rFonts w:cs="Times New Roman"/>
      <w:color w:val="808080"/>
    </w:rPr>
  </w:style>
  <w:style w:type="paragraph" w:styleId="Textodebalo">
    <w:name w:val="Balloon Text"/>
    <w:basedOn w:val="Normal"/>
    <w:link w:val="TextodebaloChar"/>
    <w:uiPriority w:val="99"/>
    <w:semiHidden/>
    <w:unhideWhenUsed/>
    <w:rsid w:val="00032E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32EA4"/>
    <w:rPr>
      <w:rFonts w:ascii="Tahoma" w:hAnsi="Tahoma" w:cs="Tahoma"/>
      <w:sz w:val="16"/>
      <w:szCs w:val="16"/>
    </w:rPr>
  </w:style>
  <w:style w:type="table" w:styleId="Tabelacomgrade">
    <w:name w:val="Table Grid"/>
    <w:basedOn w:val="Tabelanormal"/>
    <w:uiPriority w:val="59"/>
    <w:rsid w:val="001F63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270A2"/>
    <w:rPr>
      <w:rFonts w:cs="Times New Roman"/>
      <w:sz w:val="16"/>
      <w:szCs w:val="16"/>
    </w:rPr>
  </w:style>
  <w:style w:type="paragraph" w:styleId="Textodecomentrio">
    <w:name w:val="annotation text"/>
    <w:basedOn w:val="Normal"/>
    <w:link w:val="TextodecomentrioChar"/>
    <w:uiPriority w:val="99"/>
    <w:unhideWhenUsed/>
    <w:rsid w:val="008270A2"/>
    <w:pPr>
      <w:spacing w:line="240" w:lineRule="auto"/>
    </w:pPr>
    <w:rPr>
      <w:sz w:val="20"/>
      <w:szCs w:val="20"/>
    </w:rPr>
  </w:style>
  <w:style w:type="character" w:customStyle="1" w:styleId="TextodecomentrioChar">
    <w:name w:val="Texto de comentário Char"/>
    <w:basedOn w:val="Fontepargpadro"/>
    <w:link w:val="Textodecomentrio"/>
    <w:uiPriority w:val="99"/>
    <w:locked/>
    <w:rsid w:val="008270A2"/>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270A2"/>
    <w:rPr>
      <w:b/>
      <w:bCs/>
    </w:rPr>
  </w:style>
  <w:style w:type="character" w:customStyle="1" w:styleId="AssuntodocomentrioChar">
    <w:name w:val="Assunto do comentário Char"/>
    <w:basedOn w:val="TextodecomentrioChar"/>
    <w:link w:val="Assuntodocomentrio"/>
    <w:uiPriority w:val="99"/>
    <w:semiHidden/>
    <w:locked/>
    <w:rsid w:val="008270A2"/>
    <w:rPr>
      <w:b/>
      <w:bCs/>
    </w:rPr>
  </w:style>
  <w:style w:type="paragraph" w:styleId="Cabealho">
    <w:name w:val="header"/>
    <w:basedOn w:val="Normal"/>
    <w:link w:val="CabealhoChar"/>
    <w:uiPriority w:val="99"/>
    <w:semiHidden/>
    <w:unhideWhenUsed/>
    <w:rsid w:val="00D766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D766D4"/>
    <w:rPr>
      <w:rFonts w:cs="Times New Roman"/>
    </w:rPr>
  </w:style>
  <w:style w:type="paragraph" w:styleId="Rodap">
    <w:name w:val="footer"/>
    <w:basedOn w:val="Normal"/>
    <w:link w:val="RodapChar"/>
    <w:uiPriority w:val="99"/>
    <w:unhideWhenUsed/>
    <w:rsid w:val="00D766D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D766D4"/>
    <w:rPr>
      <w:rFonts w:cs="Times New Roman"/>
    </w:rPr>
  </w:style>
  <w:style w:type="paragraph" w:styleId="Textodenotaderodap">
    <w:name w:val="footnote text"/>
    <w:basedOn w:val="Normal"/>
    <w:link w:val="TextodenotaderodapChar"/>
    <w:uiPriority w:val="99"/>
    <w:unhideWhenUsed/>
    <w:rsid w:val="00D766D4"/>
    <w:pPr>
      <w:spacing w:after="0" w:line="240" w:lineRule="auto"/>
    </w:pPr>
    <w:rPr>
      <w:sz w:val="20"/>
      <w:szCs w:val="20"/>
    </w:rPr>
  </w:style>
  <w:style w:type="character" w:customStyle="1" w:styleId="TextodenotaderodapChar">
    <w:name w:val="Texto de nota de rodapé Char"/>
    <w:basedOn w:val="Fontepargpadro"/>
    <w:link w:val="Textodenotaderodap"/>
    <w:uiPriority w:val="99"/>
    <w:locked/>
    <w:rsid w:val="00D766D4"/>
    <w:rPr>
      <w:rFonts w:cs="Times New Roman"/>
      <w:sz w:val="20"/>
      <w:szCs w:val="20"/>
    </w:rPr>
  </w:style>
  <w:style w:type="character" w:styleId="Refdenotaderodap">
    <w:name w:val="footnote reference"/>
    <w:basedOn w:val="Fontepargpadro"/>
    <w:uiPriority w:val="99"/>
    <w:semiHidden/>
    <w:unhideWhenUsed/>
    <w:rsid w:val="00D766D4"/>
    <w:rPr>
      <w:rFonts w:cs="Times New Roman"/>
      <w:vertAlign w:val="superscript"/>
    </w:rPr>
  </w:style>
  <w:style w:type="paragraph" w:styleId="PargrafodaLista">
    <w:name w:val="List Paragraph"/>
    <w:basedOn w:val="Normal"/>
    <w:uiPriority w:val="99"/>
    <w:qFormat/>
    <w:rsid w:val="00ED56F4"/>
    <w:pPr>
      <w:ind w:left="720"/>
      <w:contextualSpacing/>
    </w:pPr>
  </w:style>
  <w:style w:type="paragraph" w:styleId="Legenda">
    <w:name w:val="caption"/>
    <w:basedOn w:val="Normal"/>
    <w:next w:val="Normal"/>
    <w:uiPriority w:val="35"/>
    <w:unhideWhenUsed/>
    <w:qFormat/>
    <w:rsid w:val="00F63FA5"/>
    <w:pPr>
      <w:spacing w:line="240" w:lineRule="auto"/>
    </w:pPr>
    <w:rPr>
      <w:b/>
      <w:bCs/>
      <w:color w:val="4F81BD"/>
      <w:sz w:val="18"/>
      <w:szCs w:val="18"/>
    </w:rPr>
  </w:style>
  <w:style w:type="character" w:styleId="Hyperlink">
    <w:name w:val="Hyperlink"/>
    <w:basedOn w:val="Fontepargpadro"/>
    <w:uiPriority w:val="99"/>
    <w:unhideWhenUsed/>
    <w:rsid w:val="008E7884"/>
    <w:rPr>
      <w:rFonts w:cs="Times New Roman"/>
      <w:color w:val="0000FF"/>
      <w:u w:val="single"/>
    </w:rPr>
  </w:style>
  <w:style w:type="paragraph" w:styleId="NormalWeb">
    <w:name w:val="Normal (Web)"/>
    <w:basedOn w:val="Normal"/>
    <w:uiPriority w:val="99"/>
    <w:semiHidden/>
    <w:unhideWhenUsed/>
    <w:rsid w:val="008E7884"/>
    <w:pPr>
      <w:spacing w:before="100" w:beforeAutospacing="1" w:after="100" w:afterAutospacing="1" w:line="240" w:lineRule="auto"/>
    </w:pPr>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81999295">
      <w:marLeft w:val="0"/>
      <w:marRight w:val="0"/>
      <w:marTop w:val="0"/>
      <w:marBottom w:val="0"/>
      <w:divBdr>
        <w:top w:val="none" w:sz="0" w:space="0" w:color="auto"/>
        <w:left w:val="none" w:sz="0" w:space="0" w:color="auto"/>
        <w:bottom w:val="none" w:sz="0" w:space="0" w:color="auto"/>
        <w:right w:val="none" w:sz="0" w:space="0" w:color="auto"/>
      </w:divBdr>
    </w:div>
    <w:div w:id="781999296">
      <w:marLeft w:val="0"/>
      <w:marRight w:val="0"/>
      <w:marTop w:val="0"/>
      <w:marBottom w:val="0"/>
      <w:divBdr>
        <w:top w:val="none" w:sz="0" w:space="0" w:color="auto"/>
        <w:left w:val="none" w:sz="0" w:space="0" w:color="auto"/>
        <w:bottom w:val="none" w:sz="0" w:space="0" w:color="auto"/>
        <w:right w:val="none" w:sz="0" w:space="0" w:color="auto"/>
      </w:divBdr>
      <w:divsChild>
        <w:div w:id="781999299">
          <w:marLeft w:val="0"/>
          <w:marRight w:val="0"/>
          <w:marTop w:val="0"/>
          <w:marBottom w:val="0"/>
          <w:divBdr>
            <w:top w:val="none" w:sz="0" w:space="0" w:color="auto"/>
            <w:left w:val="none" w:sz="0" w:space="0" w:color="auto"/>
            <w:bottom w:val="none" w:sz="0" w:space="0" w:color="auto"/>
            <w:right w:val="none" w:sz="0" w:space="0" w:color="auto"/>
          </w:divBdr>
          <w:divsChild>
            <w:div w:id="781999297">
              <w:marLeft w:val="0"/>
              <w:marRight w:val="0"/>
              <w:marTop w:val="0"/>
              <w:marBottom w:val="0"/>
              <w:divBdr>
                <w:top w:val="none" w:sz="0" w:space="0" w:color="auto"/>
                <w:left w:val="none" w:sz="0" w:space="0" w:color="auto"/>
                <w:bottom w:val="none" w:sz="0" w:space="0" w:color="auto"/>
                <w:right w:val="none" w:sz="0" w:space="0" w:color="auto"/>
              </w:divBdr>
              <w:divsChild>
                <w:div w:id="7819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9298">
      <w:marLeft w:val="0"/>
      <w:marRight w:val="0"/>
      <w:marTop w:val="0"/>
      <w:marBottom w:val="0"/>
      <w:divBdr>
        <w:top w:val="none" w:sz="0" w:space="0" w:color="auto"/>
        <w:left w:val="none" w:sz="0" w:space="0" w:color="auto"/>
        <w:bottom w:val="none" w:sz="0" w:space="0" w:color="auto"/>
        <w:right w:val="none" w:sz="0" w:space="0" w:color="auto"/>
      </w:divBdr>
    </w:div>
    <w:div w:id="781999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eadat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eadata.gov.br/" TargetMode="External"/><Relationship Id="rId4" Type="http://schemas.openxmlformats.org/officeDocument/2006/relationships/settings" Target="settings.xml"/><Relationship Id="rId9" Type="http://schemas.openxmlformats.org/officeDocument/2006/relationships/hyperlink" Target="http://www.ipeadat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942B-E11D-4515-9C35-9BBB2AE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8291</Words>
  <Characters>44775</Characters>
  <Application>Microsoft Office Word</Application>
  <DocSecurity>0</DocSecurity>
  <Lines>373</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52961</CharactersWithSpaces>
  <SharedDoc>false</SharedDoc>
  <HLinks>
    <vt:vector size="18" baseType="variant">
      <vt:variant>
        <vt:i4>2752562</vt:i4>
      </vt:variant>
      <vt:variant>
        <vt:i4>21</vt:i4>
      </vt:variant>
      <vt:variant>
        <vt:i4>0</vt:i4>
      </vt:variant>
      <vt:variant>
        <vt:i4>5</vt:i4>
      </vt:variant>
      <vt:variant>
        <vt:lpwstr>http://www.ipeadata.gov.br/</vt:lpwstr>
      </vt:variant>
      <vt:variant>
        <vt:lpwstr/>
      </vt:variant>
      <vt:variant>
        <vt:i4>2752562</vt:i4>
      </vt:variant>
      <vt:variant>
        <vt:i4>18</vt:i4>
      </vt:variant>
      <vt:variant>
        <vt:i4>0</vt:i4>
      </vt:variant>
      <vt:variant>
        <vt:i4>5</vt:i4>
      </vt:variant>
      <vt:variant>
        <vt:lpwstr>http://www.ipeadata.gov.br/</vt:lpwstr>
      </vt:variant>
      <vt:variant>
        <vt:lpwstr/>
      </vt:variant>
      <vt:variant>
        <vt:i4>2752562</vt:i4>
      </vt:variant>
      <vt:variant>
        <vt:i4>15</vt:i4>
      </vt:variant>
      <vt:variant>
        <vt:i4>0</vt:i4>
      </vt:variant>
      <vt:variant>
        <vt:i4>5</vt:i4>
      </vt:variant>
      <vt:variant>
        <vt:lpwstr>http://www.ipeadata.gov.br/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6</cp:revision>
  <cp:lastPrinted>2010-07-19T23:53:00Z</cp:lastPrinted>
  <dcterms:created xsi:type="dcterms:W3CDTF">2010-08-02T12:47:00Z</dcterms:created>
  <dcterms:modified xsi:type="dcterms:W3CDTF">2010-10-07T15:29:00Z</dcterms:modified>
</cp:coreProperties>
</file>