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F5" w:rsidRPr="00453219" w:rsidRDefault="00101EF5" w:rsidP="00AC60B2">
      <w:pPr>
        <w:pStyle w:val="Ttulo1"/>
      </w:pPr>
      <w:r w:rsidRPr="00453219">
        <w:t>Determinantes da Composição do Endividamento das Empresas Brasileiras: A Consideração da Maturidade e da Fonte de Financiamento</w:t>
      </w:r>
    </w:p>
    <w:p w:rsidR="00101EF5" w:rsidRPr="00453219" w:rsidRDefault="00101EF5" w:rsidP="00AC60B2">
      <w:pPr>
        <w:rPr>
          <w:szCs w:val="24"/>
        </w:rPr>
      </w:pPr>
    </w:p>
    <w:p w:rsidR="00101EF5" w:rsidRPr="00C53507" w:rsidRDefault="00C53507" w:rsidP="00AC60B2">
      <w:pPr>
        <w:ind w:firstLine="0"/>
        <w:rPr>
          <w:rFonts w:cs="Times New Roman"/>
          <w:szCs w:val="24"/>
        </w:rPr>
      </w:pPr>
      <w:r w:rsidRPr="00C53507">
        <w:rPr>
          <w:rFonts w:cs="Times New Roman"/>
          <w:szCs w:val="24"/>
        </w:rPr>
        <w:t>Área 7 - Microeconomia, Métodos Quantitativos e Finanças</w:t>
      </w:r>
      <w:r>
        <w:rPr>
          <w:rFonts w:cs="Times New Roman"/>
          <w:szCs w:val="24"/>
        </w:rPr>
        <w:t xml:space="preserve"> (Finanças)</w:t>
      </w:r>
    </w:p>
    <w:p w:rsidR="00C53507" w:rsidRPr="00453219" w:rsidRDefault="00C53507" w:rsidP="00AC60B2">
      <w:pPr>
        <w:ind w:firstLine="0"/>
        <w:rPr>
          <w:rFonts w:cs="Times New Roman"/>
          <w:szCs w:val="24"/>
        </w:rPr>
      </w:pPr>
    </w:p>
    <w:p w:rsidR="00A55574" w:rsidRDefault="00A55574" w:rsidP="00A55574">
      <w:pPr>
        <w:ind w:firstLine="0"/>
        <w:jc w:val="right"/>
        <w:rPr>
          <w:rFonts w:cs="Times New Roman"/>
          <w:szCs w:val="24"/>
        </w:rPr>
      </w:pPr>
      <w:r>
        <w:rPr>
          <w:rFonts w:cs="Times New Roman"/>
          <w:szCs w:val="24"/>
        </w:rPr>
        <w:t>Filipe Simões Ribeiro</w:t>
      </w:r>
    </w:p>
    <w:p w:rsidR="00DF051F" w:rsidRPr="00DF051F" w:rsidRDefault="00DF051F" w:rsidP="00A55574">
      <w:pPr>
        <w:ind w:firstLine="0"/>
        <w:jc w:val="right"/>
        <w:rPr>
          <w:rFonts w:cs="Times New Roman"/>
          <w:sz w:val="20"/>
        </w:rPr>
      </w:pPr>
      <w:r w:rsidRPr="00DF051F">
        <w:rPr>
          <w:sz w:val="20"/>
        </w:rPr>
        <w:t>(Faculdade de Economia, Universidade Federal de Juiz de Fora – UFJF)</w:t>
      </w:r>
    </w:p>
    <w:p w:rsidR="00A55574" w:rsidRDefault="00A55574" w:rsidP="00A55574">
      <w:pPr>
        <w:ind w:firstLine="0"/>
        <w:jc w:val="right"/>
        <w:rPr>
          <w:rFonts w:cs="Times New Roman"/>
          <w:szCs w:val="24"/>
        </w:rPr>
      </w:pPr>
      <w:r w:rsidRPr="00453219">
        <w:rPr>
          <w:rFonts w:cs="Times New Roman"/>
          <w:szCs w:val="24"/>
        </w:rPr>
        <w:t>Fern</w:t>
      </w:r>
      <w:r>
        <w:rPr>
          <w:rFonts w:cs="Times New Roman"/>
          <w:szCs w:val="24"/>
        </w:rPr>
        <w:t>anda Finotti Cordeiro Perobelli</w:t>
      </w:r>
    </w:p>
    <w:p w:rsidR="00DF051F" w:rsidRPr="00DF051F" w:rsidRDefault="00DF051F" w:rsidP="00A55574">
      <w:pPr>
        <w:ind w:firstLine="0"/>
        <w:jc w:val="right"/>
        <w:rPr>
          <w:rFonts w:cs="Times New Roman"/>
          <w:sz w:val="20"/>
        </w:rPr>
      </w:pPr>
      <w:r w:rsidRPr="00DF051F">
        <w:rPr>
          <w:rFonts w:cs="Times New Roman"/>
          <w:sz w:val="20"/>
        </w:rPr>
        <w:t>(</w:t>
      </w:r>
      <w:r w:rsidRPr="00DF051F">
        <w:rPr>
          <w:sz w:val="20"/>
        </w:rPr>
        <w:t>Professora Adjunta da Faculdade de Economia da Universidade Federal de Juiz de Fora – UFJF</w:t>
      </w:r>
      <w:r w:rsidRPr="00DF051F">
        <w:rPr>
          <w:rFonts w:cs="Times New Roman"/>
          <w:sz w:val="20"/>
        </w:rPr>
        <w:t>)</w:t>
      </w:r>
    </w:p>
    <w:p w:rsidR="00150185" w:rsidRDefault="00150185" w:rsidP="00211B74">
      <w:pPr>
        <w:ind w:firstLine="0"/>
        <w:rPr>
          <w:rFonts w:cs="Times New Roman"/>
          <w:szCs w:val="24"/>
        </w:rPr>
      </w:pPr>
    </w:p>
    <w:p w:rsidR="007D4E92" w:rsidRDefault="007D4E92" w:rsidP="007D4E92">
      <w:pPr>
        <w:pStyle w:val="Ttulo1"/>
      </w:pPr>
      <w:r>
        <w:t>Resumo</w:t>
      </w:r>
    </w:p>
    <w:p w:rsidR="007D4E92" w:rsidRDefault="007D4E92" w:rsidP="007D4E92">
      <w:r>
        <w:t>E</w:t>
      </w:r>
      <w:r w:rsidRPr="00D759BF">
        <w:t>ste estudo tem como objetivo promover uma investigação empírica acerca das características que influenciam a escolha da maturidade da dívida (dívidas de curto ou longo prazo) e da fonte de financiamento (utilização de oferta pública ou colocação privada de títulos). Para tanto, é utilizada a metodologia de Dados em Painel, a fim de se considerar simultaneamente as dimensões tempo e seccional, auxiliada pela abordagem de equações simultâneas, tendo em vista haver na literatura indicações acerca da endogeneidade de alguns regressores. As informações necessárias à condução do estudo são levantadas para empresas brasileiras que possuem suas ações listadas na Bolsa de Valores de São Paulo (BOVESPA) e na Sociedade Operadora do Mercado de Ativos (SOMA) a partir do banco de dados da Economatica</w:t>
      </w:r>
      <w:r w:rsidRPr="001D6716">
        <w:rPr>
          <w:vertAlign w:val="superscript"/>
        </w:rPr>
        <w:t>®</w:t>
      </w:r>
      <w:r w:rsidRPr="00D759BF">
        <w:t>. Os resultados mostram que empresas brasileiras mais maduras e estabelecidas no mercado tendem a utilizar seus recursos internos como forma de financiar projetos, conforme sugere a Teoria da Pecking Order. Entretanto, quando  estas procuram recursos externos, preferem a utilização de fontes privadas de dívidas, como os bancos, importante fonte de recursos para as empresas brasileiras. Pode-se dizer também que existem fortes indicações do processo conhecido como “colaterização da dívida”, principalmente quando se trata</w:t>
      </w:r>
      <w:r>
        <w:t>m</w:t>
      </w:r>
      <w:r w:rsidRPr="00D759BF">
        <w:t xml:space="preserve"> de fontes privadas e recursos de curto prazo. Outro resultado interessante é que a decisão sobre </w:t>
      </w:r>
      <w:r>
        <w:t>a maturidade e a</w:t>
      </w:r>
      <w:r w:rsidRPr="00D759BF">
        <w:t xml:space="preserve"> fonte de financiamento é também influenciada pelas “janelas de oportunidade”, provavelmente porque o maior volume de transações aumenta a liquidez do mercado financeiro, reduzindo o custo da dívida pública em relação ao da dívida privada.</w:t>
      </w:r>
    </w:p>
    <w:p w:rsidR="007D4E92" w:rsidRDefault="007D4E92" w:rsidP="007D4E92">
      <w:pPr>
        <w:rPr>
          <w:bCs/>
        </w:rPr>
      </w:pPr>
    </w:p>
    <w:p w:rsidR="007D4E92" w:rsidRDefault="007D4E92" w:rsidP="00A55574">
      <w:pPr>
        <w:ind w:firstLine="0"/>
      </w:pPr>
      <w:r w:rsidRPr="00AB330E">
        <w:rPr>
          <w:bCs/>
          <w:i/>
        </w:rPr>
        <w:t>Palavras-chave:</w:t>
      </w:r>
      <w:r w:rsidRPr="00BB4238">
        <w:t xml:space="preserve"> Estrutura de Capital, Finanças Corporativas, Modelos de Efeitos Fixos, Dados em Painel, Modelos de Equações Simultâneas.</w:t>
      </w:r>
    </w:p>
    <w:p w:rsidR="007D4E92" w:rsidRPr="00AC60B2" w:rsidRDefault="007D4E92" w:rsidP="00A55574">
      <w:pPr>
        <w:ind w:firstLine="0"/>
        <w:rPr>
          <w:szCs w:val="24"/>
        </w:rPr>
      </w:pPr>
      <w:r w:rsidRPr="00AB330E">
        <w:rPr>
          <w:i/>
          <w:szCs w:val="24"/>
        </w:rPr>
        <w:t>Classificação JEL:</w:t>
      </w:r>
      <w:r w:rsidRPr="00AC60B2">
        <w:rPr>
          <w:szCs w:val="24"/>
        </w:rPr>
        <w:t xml:space="preserve"> C33, G32</w:t>
      </w:r>
    </w:p>
    <w:p w:rsidR="007D4E92" w:rsidRDefault="007D4E92" w:rsidP="007D4E92"/>
    <w:p w:rsidR="007D4E92" w:rsidRPr="00BB4238" w:rsidRDefault="007D4E92" w:rsidP="007D4E92">
      <w:pPr>
        <w:pStyle w:val="Ttulo1"/>
      </w:pPr>
      <w:bookmarkStart w:id="0" w:name="_Toc257395448"/>
      <w:bookmarkStart w:id="1" w:name="_Toc257810265"/>
      <w:r w:rsidRPr="00BB4238">
        <w:t>Abstract</w:t>
      </w:r>
      <w:bookmarkEnd w:id="0"/>
      <w:bookmarkEnd w:id="1"/>
    </w:p>
    <w:p w:rsidR="007D4E92" w:rsidRDefault="007D4E92" w:rsidP="007D4E92">
      <w:pPr>
        <w:rPr>
          <w:lang w:val="en-US"/>
        </w:rPr>
      </w:pPr>
      <w:r>
        <w:rPr>
          <w:lang w:val="en-US"/>
        </w:rPr>
        <w:t>T</w:t>
      </w:r>
      <w:r w:rsidRPr="003664B3">
        <w:rPr>
          <w:lang w:val="en-US"/>
        </w:rPr>
        <w:t>his study aims to promote empirical research about characteristics that influence debt maturity choice (short or long term debt) and funding source (public offering or private placement). Therefore, Panel Data Method is used in order to consider both time and cross-sectional dimensions, aided by simultaneous equations approach, as literature indicates the presence of regressors endogeneity. Sample data, regarding Brazilian companies listed on São Paulo Stock Exchange (BOVESPA) and Sociedade Operadora do Mercado de Ativos (SOMA), were collected from Economatica</w:t>
      </w:r>
      <w:r w:rsidRPr="001D6716">
        <w:rPr>
          <w:vertAlign w:val="superscript"/>
          <w:lang w:val="en-US"/>
        </w:rPr>
        <w:t>®</w:t>
      </w:r>
      <w:r w:rsidRPr="003664B3">
        <w:rPr>
          <w:lang w:val="en-US"/>
        </w:rPr>
        <w:t xml:space="preserve"> database. The results show that mature and well-established Brazilian firms tend to prefer internal resources when financing projects, as suggested by Pecking Order Theory. However, when they seek external resources, private debt sources, such as banks, are important for Brazilian companies. We can also say that there are strong indications of the process known as "collateralized debt", especially when it comes from private sources and short-term funds. Another interesting result is the debt structure decision is also influenced by "opportunities windows", probably because it increases financial markets liquidity, reducing the cost of public debt compared to private debt.</w:t>
      </w:r>
    </w:p>
    <w:p w:rsidR="007D4E92" w:rsidRDefault="007D4E92" w:rsidP="007D4E92">
      <w:pPr>
        <w:rPr>
          <w:lang w:val="en-US"/>
        </w:rPr>
      </w:pPr>
    </w:p>
    <w:p w:rsidR="007D4E92" w:rsidRDefault="007D4E92" w:rsidP="00DF051F">
      <w:pPr>
        <w:ind w:firstLine="0"/>
        <w:rPr>
          <w:lang w:val="en-US"/>
        </w:rPr>
      </w:pPr>
      <w:r w:rsidRPr="00DF051F">
        <w:rPr>
          <w:i/>
          <w:lang w:val="en-US"/>
        </w:rPr>
        <w:t>Keywords</w:t>
      </w:r>
      <w:r w:rsidRPr="007D4E92">
        <w:rPr>
          <w:lang w:val="en-US"/>
        </w:rPr>
        <w:t>: Capital Structure, Corporate Finance, Fixed Effects Models, Panel Data, Simultaneous Equation Models.</w:t>
      </w:r>
    </w:p>
    <w:p w:rsidR="00DF051F" w:rsidRPr="00DF051F" w:rsidRDefault="00DF051F" w:rsidP="00DF051F">
      <w:pPr>
        <w:ind w:firstLine="0"/>
        <w:rPr>
          <w:szCs w:val="24"/>
        </w:rPr>
      </w:pPr>
      <w:r w:rsidRPr="00AB330E">
        <w:rPr>
          <w:i/>
          <w:szCs w:val="24"/>
        </w:rPr>
        <w:t>JEL</w:t>
      </w:r>
      <w:r>
        <w:rPr>
          <w:i/>
          <w:szCs w:val="24"/>
        </w:rPr>
        <w:t xml:space="preserve"> Code</w:t>
      </w:r>
      <w:r w:rsidRPr="00AB330E">
        <w:rPr>
          <w:i/>
          <w:szCs w:val="24"/>
        </w:rPr>
        <w:t>:</w:t>
      </w:r>
      <w:r w:rsidRPr="00AC60B2">
        <w:rPr>
          <w:szCs w:val="24"/>
        </w:rPr>
        <w:t xml:space="preserve"> C33, G32</w:t>
      </w:r>
    </w:p>
    <w:p w:rsidR="00642E84" w:rsidRPr="00453219" w:rsidRDefault="00642E84" w:rsidP="00AC60B2">
      <w:pPr>
        <w:ind w:firstLine="0"/>
        <w:rPr>
          <w:rFonts w:cs="Times New Roman"/>
          <w:szCs w:val="24"/>
        </w:rPr>
      </w:pPr>
    </w:p>
    <w:p w:rsidR="00642E84" w:rsidRDefault="00642E84" w:rsidP="00101EF5">
      <w:pPr>
        <w:rPr>
          <w:rFonts w:cs="Times New Roman"/>
          <w:szCs w:val="24"/>
        </w:rPr>
        <w:sectPr w:rsidR="00642E84" w:rsidSect="00150185">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851" w:header="680" w:footer="680" w:gutter="0"/>
          <w:cols w:space="708"/>
          <w:docGrid w:linePitch="360"/>
        </w:sectPr>
      </w:pPr>
    </w:p>
    <w:p w:rsidR="00101EF5" w:rsidRPr="00453219" w:rsidRDefault="00101EF5" w:rsidP="00AE152C">
      <w:pPr>
        <w:pStyle w:val="Ttulo1"/>
      </w:pPr>
      <w:r w:rsidRPr="00453219">
        <w:lastRenderedPageBreak/>
        <w:t>Determinantes da Composição do Endividamento das Empresas Brasileiras: A Consideração da Maturidade e da Fonte de Financiamento</w:t>
      </w:r>
    </w:p>
    <w:p w:rsidR="00C62432" w:rsidRPr="00DC3578" w:rsidRDefault="00C62432" w:rsidP="007D4E92"/>
    <w:p w:rsidR="00AC60B2" w:rsidRDefault="00AC60B2" w:rsidP="007D4E92">
      <w:bookmarkStart w:id="2" w:name="_Toc239579705"/>
      <w:bookmarkStart w:id="3" w:name="_Toc256616793"/>
      <w:bookmarkStart w:id="4" w:name="_Toc256617094"/>
    </w:p>
    <w:p w:rsidR="008D7C19" w:rsidRPr="00706042" w:rsidRDefault="008D7C19" w:rsidP="00B328BE">
      <w:pPr>
        <w:pStyle w:val="Ttulo1"/>
      </w:pPr>
      <w:r w:rsidRPr="00706042">
        <w:t>1 Introdução</w:t>
      </w:r>
      <w:bookmarkEnd w:id="2"/>
      <w:bookmarkEnd w:id="3"/>
      <w:bookmarkEnd w:id="4"/>
    </w:p>
    <w:p w:rsidR="0082217E" w:rsidRPr="00706042" w:rsidRDefault="0082217E" w:rsidP="00DC0CB0">
      <w:bookmarkStart w:id="5" w:name="_Toc239579706"/>
    </w:p>
    <w:bookmarkEnd w:id="5"/>
    <w:p w:rsidR="00D203D1" w:rsidRPr="00706042" w:rsidRDefault="00621CA7" w:rsidP="00E32225">
      <w:r w:rsidRPr="00706042">
        <w:t xml:space="preserve">Para que as empresas possam realizar suas operações cotidianas, é essencial que elas sejam capazes de obter recursos financeiros. Tais recursos </w:t>
      </w:r>
      <w:r w:rsidR="00CE4807" w:rsidRPr="00706042">
        <w:t xml:space="preserve">podem ser originados dos sócios, através de lucros retidos ou de novos aportes de capital </w:t>
      </w:r>
      <w:r w:rsidRPr="00706042">
        <w:t>(</w:t>
      </w:r>
      <w:r w:rsidR="00CE4807" w:rsidRPr="00706042">
        <w:t>capital próprio), ou podem vir de terceiros, como emprestadores de dívida bancária ou detentores de títulos de dívida emitidos pela empresa.</w:t>
      </w:r>
      <w:r w:rsidR="00D203D1" w:rsidRPr="00706042">
        <w:t xml:space="preserve"> A decisão de financiamento (a estrutura de capital) se refere a quais recursos serão utilizados pela empresa</w:t>
      </w:r>
      <w:r w:rsidR="00436FA8" w:rsidRPr="00706042">
        <w:t xml:space="preserve"> na execução de seus projetos de investimento</w:t>
      </w:r>
      <w:r w:rsidR="00D203D1" w:rsidRPr="00706042">
        <w:t>.</w:t>
      </w:r>
    </w:p>
    <w:p w:rsidR="008D7C19" w:rsidRPr="00706042" w:rsidRDefault="008D7C19" w:rsidP="00E32225">
      <w:r w:rsidRPr="00706042">
        <w:t xml:space="preserve">Na área de </w:t>
      </w:r>
      <w:r w:rsidR="00A26EB8" w:rsidRPr="00706042">
        <w:t>F</w:t>
      </w:r>
      <w:r w:rsidRPr="00706042">
        <w:t xml:space="preserve">inanças </w:t>
      </w:r>
      <w:r w:rsidR="00A26EB8" w:rsidRPr="00706042">
        <w:t>C</w:t>
      </w:r>
      <w:r w:rsidRPr="00706042">
        <w:t>orporativas, muitos estudos têm sido realizados em relação à estrutura de capital das empresas. M</w:t>
      </w:r>
      <w:r w:rsidR="00AC0D0C" w:rsidRPr="00706042">
        <w:t>odgliani e Miller (1958) inici</w:t>
      </w:r>
      <w:r w:rsidRPr="00706042">
        <w:t>am uma discussão a respeito da relevância da composição do capital para o valor da empresa, concluindo que, dad</w:t>
      </w:r>
      <w:r w:rsidR="001F1206" w:rsidRPr="00706042">
        <w:t>os</w:t>
      </w:r>
      <w:r w:rsidRPr="00706042">
        <w:t xml:space="preserve"> alguns pressupostos, a estrutura de capital não exe</w:t>
      </w:r>
      <w:r w:rsidR="001E3651" w:rsidRPr="00706042">
        <w:t>r</w:t>
      </w:r>
      <w:r w:rsidR="00AC0D0C" w:rsidRPr="00706042">
        <w:t>ceria</w:t>
      </w:r>
      <w:r w:rsidRPr="00706042">
        <w:t xml:space="preserve"> nenhuma influência sobre o valor da firma. A partir daí, diversas outras teorias </w:t>
      </w:r>
      <w:r w:rsidR="00AC0D0C" w:rsidRPr="00706042">
        <w:t xml:space="preserve">são </w:t>
      </w:r>
      <w:r w:rsidRPr="00706042">
        <w:t xml:space="preserve">desenvolvidas sobre </w:t>
      </w:r>
      <w:r w:rsidR="006E7F58" w:rsidRPr="00706042">
        <w:t>o</w:t>
      </w:r>
      <w:r w:rsidRPr="00706042">
        <w:t xml:space="preserve"> tema, considerando novas perspectivas, como o relaxamento de algumas premissas ditadas por Modgliani e Miller (1958).</w:t>
      </w:r>
    </w:p>
    <w:p w:rsidR="000F5D6E" w:rsidRDefault="00A75845" w:rsidP="00E32225">
      <w:r>
        <w:t>E</w:t>
      </w:r>
      <w:r w:rsidR="000F5D6E" w:rsidRPr="00D759BF">
        <w:t>ste estudo tem como objetivo promover uma investigação empírica acerca das características que influenciam a escolha da maturidade da dívida (dívidas de curto ou longo prazo) e da fonte de financiamento (utilização de oferta pública ou colocação privada de títulos). Para tanto, é utilizada a metodologia de Dados em Painel, a fim de se considerar simultaneamente as dimensões tempo e seccional, auxiliada pela abordagem de equações simultâneas, tendo em vista haver na literatura indicações acerca da endogeneidade de alguns regressores.</w:t>
      </w:r>
      <w:r w:rsidR="000F5D6E">
        <w:t xml:space="preserve"> No capítulo 2, encontra-se breve referencial teórico a respeito do tema; o capítulo 3 dedica-se à exposição da metodologia utilizada; o capítulo 4 apresenta os principais resultados encontrados pelo estudo e o capítulo 5 conclui a pesquisa.</w:t>
      </w:r>
    </w:p>
    <w:p w:rsidR="00E32225" w:rsidRPr="00706042" w:rsidRDefault="00E32225" w:rsidP="00E32225"/>
    <w:p w:rsidR="00955CA4" w:rsidRPr="00706042" w:rsidRDefault="00D759BF" w:rsidP="009A78CA">
      <w:pPr>
        <w:pStyle w:val="Ttulo1"/>
      </w:pPr>
      <w:bookmarkStart w:id="6" w:name="_Toc256616809"/>
      <w:bookmarkStart w:id="7" w:name="_Toc256617110"/>
      <w:r>
        <w:t>2</w:t>
      </w:r>
      <w:r w:rsidR="00955CA4" w:rsidRPr="00706042">
        <w:t xml:space="preserve"> Referencial </w:t>
      </w:r>
      <w:r w:rsidR="009A2E87" w:rsidRPr="00706042">
        <w:t>T</w:t>
      </w:r>
      <w:r w:rsidR="00955CA4" w:rsidRPr="00706042">
        <w:t>eórico</w:t>
      </w:r>
      <w:bookmarkEnd w:id="6"/>
      <w:bookmarkEnd w:id="7"/>
    </w:p>
    <w:p w:rsidR="00E62046" w:rsidRPr="00706042" w:rsidRDefault="00E62046" w:rsidP="00E62046"/>
    <w:p w:rsidR="000D1352" w:rsidRDefault="000D1352" w:rsidP="000D1352">
      <w:r>
        <w:t>U</w:t>
      </w:r>
      <w:r w:rsidRPr="00706042">
        <w:t xml:space="preserve">m dos primeiros </w:t>
      </w:r>
      <w:r w:rsidR="00CC1926">
        <w:t xml:space="preserve">estudiosos </w:t>
      </w:r>
      <w:r w:rsidRPr="00706042">
        <w:t xml:space="preserve">a investigar o tema </w:t>
      </w:r>
      <w:r w:rsidR="00CC1926" w:rsidRPr="00706042">
        <w:t xml:space="preserve">estrutura de capital </w:t>
      </w:r>
      <w:r w:rsidRPr="00706042">
        <w:t xml:space="preserve">é Durand (1952), </w:t>
      </w:r>
      <w:r>
        <w:t xml:space="preserve">que defende </w:t>
      </w:r>
      <w:r w:rsidRPr="00706042">
        <w:t>a existência de uma estrutura de capital ótima</w:t>
      </w:r>
      <w:r>
        <w:t>, capaz de tornar</w:t>
      </w:r>
      <w:r w:rsidRPr="00706042">
        <w:t xml:space="preserve"> mínimo o custo médio p</w:t>
      </w:r>
      <w:r>
        <w:t xml:space="preserve">onderado de capital da empresa. Opondo-se a esta visão, </w:t>
      </w:r>
      <w:r w:rsidRPr="00706042">
        <w:t>Modigliani e Miller (1958)</w:t>
      </w:r>
      <w:r>
        <w:t xml:space="preserve"> afirmam </w:t>
      </w:r>
      <w:r w:rsidRPr="00706042">
        <w:t>que a estrutura de capital das empresas seria irrelevante para o valor das mesmas</w:t>
      </w:r>
      <w:r>
        <w:t xml:space="preserve"> e mais tarde, admitem a existência dos benefícios fiscais</w:t>
      </w:r>
      <w:r w:rsidR="000F5D6E">
        <w:t xml:space="preserve"> influenciando tal escolha</w:t>
      </w:r>
      <w:r>
        <w:t xml:space="preserve">. A partir desse ponto, </w:t>
      </w:r>
      <w:r w:rsidRPr="00706042">
        <w:t xml:space="preserve">diversas teorias são desenvolvidas sem, contudo, existir consenso entre os estudiosos sobre a questão. </w:t>
      </w:r>
    </w:p>
    <w:p w:rsidR="000D1352" w:rsidRPr="00BB4238" w:rsidRDefault="000F5D6E" w:rsidP="000D1352">
      <w:r>
        <w:t xml:space="preserve">Nessa evolução, duas abordagens destacam-se. A primeira </w:t>
      </w:r>
      <w:r w:rsidR="000D1352">
        <w:t xml:space="preserve">é a do </w:t>
      </w:r>
      <w:r w:rsidR="000D1352" w:rsidRPr="00012602">
        <w:rPr>
          <w:i/>
        </w:rPr>
        <w:t>trade-off</w:t>
      </w:r>
      <w:r w:rsidR="000D1352">
        <w:t xml:space="preserve">, segundo a qual as empresas escolheriam uma estrutura de capital capaz de </w:t>
      </w:r>
      <w:r w:rsidR="000D1352" w:rsidRPr="00706042">
        <w:t>balancear os benefícios e os custos decorrentes da utilização de dívidas</w:t>
      </w:r>
      <w:r w:rsidR="000D1352">
        <w:t xml:space="preserve">. </w:t>
      </w:r>
      <w:r w:rsidR="000D1352" w:rsidRPr="00706042">
        <w:t xml:space="preserve">Existem três tipos básicos de modelos de </w:t>
      </w:r>
      <w:r w:rsidR="000D1352" w:rsidRPr="00706042">
        <w:rPr>
          <w:i/>
        </w:rPr>
        <w:t>trade-off</w:t>
      </w:r>
      <w:r w:rsidR="000D1352" w:rsidRPr="00706042">
        <w:t>: (i) modelos baseados no equilíbrio entre os custos de falência e os benefícios fiscais da dívida</w:t>
      </w:r>
      <w:r w:rsidR="000D1352">
        <w:rPr>
          <w:rStyle w:val="Refdenotaderodap"/>
        </w:rPr>
        <w:footnoteReference w:id="2"/>
      </w:r>
      <w:r w:rsidR="000D1352" w:rsidRPr="00706042">
        <w:t>; (ii) baseados na re</w:t>
      </w:r>
      <w:r w:rsidR="000D1352">
        <w:t xml:space="preserve">lação entre os efeitos fiscais </w:t>
      </w:r>
      <w:r w:rsidR="000D1352" w:rsidRPr="00706042">
        <w:t>e outros benefícios independentes do endividamento</w:t>
      </w:r>
      <w:r w:rsidR="000D1352">
        <w:rPr>
          <w:rStyle w:val="Refdenotaderodap"/>
        </w:rPr>
        <w:footnoteReference w:id="3"/>
      </w:r>
      <w:r w:rsidR="000D1352" w:rsidRPr="00706042">
        <w:t>; e (iii) modelos baseados nos custos de agência</w:t>
      </w:r>
      <w:r w:rsidR="000D1352">
        <w:rPr>
          <w:rStyle w:val="Refdenotaderodap"/>
        </w:rPr>
        <w:footnoteReference w:id="4"/>
      </w:r>
      <w:r w:rsidR="000D1352" w:rsidRPr="00706042">
        <w:t>.</w:t>
      </w:r>
      <w:r w:rsidR="000D1352">
        <w:t xml:space="preserve"> Outra abordagem é a da </w:t>
      </w:r>
      <w:r w:rsidR="000D1352" w:rsidRPr="00706042">
        <w:rPr>
          <w:i/>
          <w:iCs/>
        </w:rPr>
        <w:t>Pecking Order Theory</w:t>
      </w:r>
      <w:r w:rsidR="000D1352" w:rsidRPr="000D1352">
        <w:rPr>
          <w:rStyle w:val="Refdenotaderodap"/>
          <w:iCs/>
        </w:rPr>
        <w:footnoteReference w:id="5"/>
      </w:r>
      <w:r w:rsidR="000D1352" w:rsidRPr="00785F9B">
        <w:rPr>
          <w:iCs/>
        </w:rPr>
        <w:t xml:space="preserve">, </w:t>
      </w:r>
      <w:r w:rsidR="000D1352">
        <w:rPr>
          <w:iCs/>
        </w:rPr>
        <w:t>que</w:t>
      </w:r>
      <w:r>
        <w:rPr>
          <w:iCs/>
        </w:rPr>
        <w:t>,</w:t>
      </w:r>
      <w:r w:rsidR="000D1352">
        <w:rPr>
          <w:iCs/>
        </w:rPr>
        <w:t xml:space="preserve"> </w:t>
      </w:r>
      <w:r>
        <w:rPr>
          <w:iCs/>
        </w:rPr>
        <w:t>de maneira oposta à a</w:t>
      </w:r>
      <w:r w:rsidR="000D1352">
        <w:rPr>
          <w:iCs/>
        </w:rPr>
        <w:t xml:space="preserve">nterior, aponta a existência de </w:t>
      </w:r>
      <w:r>
        <w:rPr>
          <w:iCs/>
        </w:rPr>
        <w:t xml:space="preserve">uma </w:t>
      </w:r>
      <w:r w:rsidR="000D1352" w:rsidRPr="00706042">
        <w:t>ordem de prioridade</w:t>
      </w:r>
      <w:r w:rsidR="000D1352" w:rsidRPr="00785F9B">
        <w:t xml:space="preserve"> </w:t>
      </w:r>
      <w:r w:rsidR="000D1352" w:rsidRPr="00706042">
        <w:t xml:space="preserve">entre as várias fontes </w:t>
      </w:r>
      <w:r w:rsidR="000D1352">
        <w:t xml:space="preserve">possíveis </w:t>
      </w:r>
      <w:r w:rsidR="000D1352" w:rsidRPr="00706042">
        <w:t>de financiamento</w:t>
      </w:r>
      <w:r w:rsidR="000D1352">
        <w:t xml:space="preserve">, </w:t>
      </w:r>
      <w:r w:rsidR="000D1352" w:rsidRPr="00706042">
        <w:t xml:space="preserve">não </w:t>
      </w:r>
      <w:r>
        <w:t xml:space="preserve">preconizando a </w:t>
      </w:r>
      <w:r w:rsidR="000D1352" w:rsidRPr="00706042">
        <w:t>estrutura ótima de capital</w:t>
      </w:r>
      <w:r w:rsidR="000D1352">
        <w:t xml:space="preserve">. </w:t>
      </w:r>
      <w:r>
        <w:t>De acordo com essa teoria, s</w:t>
      </w:r>
      <w:r w:rsidR="000D1352" w:rsidRPr="00BB4238">
        <w:t>ão usados primeiramente os recursos retidos internamente, pois são de fácil obtenção e não sofrem nenhum tipo de desvalorização</w:t>
      </w:r>
      <w:r>
        <w:t xml:space="preserve"> por assimetria informacional</w:t>
      </w:r>
      <w:r w:rsidR="000D1352" w:rsidRPr="00BB4238">
        <w:t xml:space="preserve">. Quando as fontes internas </w:t>
      </w:r>
      <w:r w:rsidR="00044661">
        <w:t>esgotam</w:t>
      </w:r>
      <w:r>
        <w:t>-se</w:t>
      </w:r>
      <w:r w:rsidR="000D1352" w:rsidRPr="00BB4238">
        <w:t xml:space="preserve">, </w:t>
      </w:r>
      <w:r>
        <w:t>as empresas</w:t>
      </w:r>
      <w:r w:rsidR="000D1352" w:rsidRPr="00BB4238">
        <w:t xml:space="preserve"> recorrem à emissão de </w:t>
      </w:r>
      <w:r w:rsidR="000D1352" w:rsidRPr="00BB4238">
        <w:lastRenderedPageBreak/>
        <w:t>dívida, seguid</w:t>
      </w:r>
      <w:r>
        <w:t>a</w:t>
      </w:r>
      <w:r w:rsidR="000D1352" w:rsidRPr="00BB4238">
        <w:t xml:space="preserve"> pela emissão de ações preferenciais e, </w:t>
      </w:r>
      <w:r>
        <w:t>em</w:t>
      </w:r>
      <w:r w:rsidR="000D1352" w:rsidRPr="00BB4238">
        <w:t xml:space="preserve"> último caso, </w:t>
      </w:r>
      <w:r>
        <w:t xml:space="preserve">pelas </w:t>
      </w:r>
      <w:r w:rsidR="000D1352" w:rsidRPr="00BB4238">
        <w:t>ações ordinárias (DONALDSON, 1961).</w:t>
      </w:r>
    </w:p>
    <w:p w:rsidR="000F5D6E" w:rsidRDefault="000F5D6E" w:rsidP="009A78CA">
      <w:r>
        <w:t xml:space="preserve">Além dessas duas abordagens, </w:t>
      </w:r>
      <w:r w:rsidRPr="00D759BF">
        <w:t>há uma vasta literatura que trata dos determinantes do endividamento das empresas. Entretanto, os estudos que analisam essa escolha têm se focado mais nas diferenças entre a utilização de capital próprio e de terceiros, enquanto a literatura a respeito da estrutura (maturidade e fonte) desse endividamento é relativamente menos abundante.</w:t>
      </w:r>
    </w:p>
    <w:p w:rsidR="00A609D6" w:rsidRPr="00706042" w:rsidRDefault="000F5D6E" w:rsidP="009A78CA">
      <w:r>
        <w:t>Não obstante, p</w:t>
      </w:r>
      <w:r w:rsidR="00A609D6" w:rsidRPr="00706042">
        <w:t xml:space="preserve">ara entender o mecanismo de escolha da estrutura de capital das empresas, é de suma importância </w:t>
      </w:r>
      <w:r>
        <w:t>conhecer</w:t>
      </w:r>
      <w:r w:rsidR="00A609D6" w:rsidRPr="00706042">
        <w:t xml:space="preserve"> como se dão as relações existentes entre as características da firma e a decisão sobre o tempo de maturação da dívida (dívidas de curto ou longo prazo) e da fonte dos recursos (utilização de dívidas públicas ou privadas).</w:t>
      </w:r>
      <w:r>
        <w:t xml:space="preserve"> Com esse objetivo, apresentam-se os itens 2.1 e 2.2 abaixo.</w:t>
      </w:r>
    </w:p>
    <w:p w:rsidR="00E62046" w:rsidRPr="00706042" w:rsidRDefault="00E62046" w:rsidP="009A78CA"/>
    <w:p w:rsidR="00955CA4" w:rsidRPr="00706042" w:rsidRDefault="00D759BF" w:rsidP="00DC0CB0">
      <w:pPr>
        <w:pStyle w:val="Ttulo2"/>
      </w:pPr>
      <w:bookmarkStart w:id="8" w:name="_Toc256616810"/>
      <w:bookmarkStart w:id="9" w:name="_Toc256617111"/>
      <w:r>
        <w:t>2</w:t>
      </w:r>
      <w:r w:rsidR="00955CA4" w:rsidRPr="00706042">
        <w:t>.1</w:t>
      </w:r>
      <w:r w:rsidR="008D7C19" w:rsidRPr="00706042">
        <w:t xml:space="preserve"> A Consideração da </w:t>
      </w:r>
      <w:r w:rsidR="009A2E87" w:rsidRPr="00706042">
        <w:t>m</w:t>
      </w:r>
      <w:r w:rsidR="008D7C19" w:rsidRPr="00706042">
        <w:t>aturidade</w:t>
      </w:r>
      <w:r w:rsidR="00955CA4" w:rsidRPr="00706042">
        <w:t>: evidências empíricas</w:t>
      </w:r>
      <w:bookmarkEnd w:id="8"/>
      <w:bookmarkEnd w:id="9"/>
    </w:p>
    <w:p w:rsidR="00E62046" w:rsidRPr="00706042" w:rsidRDefault="00E62046" w:rsidP="00E62046"/>
    <w:p w:rsidR="00E34B68" w:rsidRPr="00706042" w:rsidRDefault="00955CA4" w:rsidP="009A78CA">
      <w:r w:rsidRPr="00706042">
        <w:t xml:space="preserve">Recentemente, têm surgido estudos </w:t>
      </w:r>
      <w:r w:rsidR="00BF3774">
        <w:t>focados no</w:t>
      </w:r>
      <w:r w:rsidR="008D7C19" w:rsidRPr="00706042">
        <w:t xml:space="preserve"> </w:t>
      </w:r>
      <w:r w:rsidR="00D27EAC" w:rsidRPr="00706042">
        <w:t>prazo da</w:t>
      </w:r>
      <w:r w:rsidRPr="00706042">
        <w:t xml:space="preserve"> dívida, </w:t>
      </w:r>
      <w:r w:rsidR="008D7C19" w:rsidRPr="00706042">
        <w:t xml:space="preserve">ou seja, </w:t>
      </w:r>
      <w:r w:rsidRPr="00706042">
        <w:t>que procuram explicar como a firma decide entre as muitas possibilidades de obtenção de recursos, escolhendo entre dívidas de curto e longo prazos, e quais características da empresa são responsáveis por influenciar tal decisão.</w:t>
      </w:r>
      <w:r w:rsidR="00E34B68" w:rsidRPr="00706042">
        <w:t xml:space="preserve"> </w:t>
      </w:r>
    </w:p>
    <w:p w:rsidR="00955CA4" w:rsidRPr="00706042" w:rsidRDefault="008D7C19" w:rsidP="009A78CA">
      <w:r w:rsidRPr="00706042">
        <w:t>O trabalho de Barclay e Smith (1995)</w:t>
      </w:r>
      <w:r w:rsidR="00E34B68" w:rsidRPr="00706042">
        <w:t>, por exemplo,</w:t>
      </w:r>
      <w:r w:rsidRPr="00706042">
        <w:t xml:space="preserve"> procur</w:t>
      </w:r>
      <w:r w:rsidR="00955CA4" w:rsidRPr="00706042">
        <w:t>a</w:t>
      </w:r>
      <w:r w:rsidRPr="00706042">
        <w:t xml:space="preserve"> identificar os determinantes da maturidade das dívidas das empresas industriais norte-americanas. </w:t>
      </w:r>
      <w:r w:rsidR="009B24F0" w:rsidRPr="00706042">
        <w:t xml:space="preserve">Utilizando modelos com base em regressões em </w:t>
      </w:r>
      <w:r w:rsidR="009B24F0" w:rsidRPr="00706042">
        <w:rPr>
          <w:i/>
        </w:rPr>
        <w:t>cross section</w:t>
      </w:r>
      <w:r w:rsidR="009B24F0" w:rsidRPr="00706042">
        <w:t xml:space="preserve">, </w:t>
      </w:r>
      <w:r w:rsidR="009B24F0" w:rsidRPr="00706042">
        <w:rPr>
          <w:i/>
        </w:rPr>
        <w:t>Pooled OLS</w:t>
      </w:r>
      <w:r w:rsidR="009B24F0" w:rsidRPr="00706042">
        <w:t xml:space="preserve"> e efeitos fixos, </w:t>
      </w:r>
      <w:r w:rsidR="00955CA4" w:rsidRPr="00706042">
        <w:t>analisa</w:t>
      </w:r>
      <w:r w:rsidR="001F203B">
        <w:t>m</w:t>
      </w:r>
      <w:r w:rsidR="00955CA4" w:rsidRPr="00706042">
        <w:t xml:space="preserve"> como fatores determinantes o conjunto de oportunidade de crescimento, o nível de regulamentação sobre a gestão e o tamanho da empresa</w:t>
      </w:r>
      <w:r w:rsidR="009B24F0" w:rsidRPr="00706042">
        <w:t>, considerando a hipótese da sinalização, do custo de contratação e da influência dos impostos.</w:t>
      </w:r>
      <w:r w:rsidR="00727787">
        <w:t xml:space="preserve"> </w:t>
      </w:r>
      <w:r w:rsidR="009B24F0" w:rsidRPr="00706042">
        <w:t>Seus resultados apont</w:t>
      </w:r>
      <w:r w:rsidR="00955CA4" w:rsidRPr="00706042">
        <w:t xml:space="preserve">am que (i) firmas com maiores oportunidades de crescimento possuem maior volume de dívidas de curto prazo; (ii) conforme a empresa aumenta de tamanho, maior é a participação de dívidas de longo prazo e (iii) tudo o mais constante, empresas que fazem parte de uma indústria regulada tendem a utilizar mais dívidas de longo prazo. </w:t>
      </w:r>
      <w:r w:rsidR="009B24F0" w:rsidRPr="00706042">
        <w:t xml:space="preserve">Barclay e Smith (1995) </w:t>
      </w:r>
      <w:r w:rsidR="00955CA4" w:rsidRPr="00706042">
        <w:t>afirmam</w:t>
      </w:r>
      <w:r w:rsidR="009B24F0" w:rsidRPr="00706042">
        <w:t xml:space="preserve">, no entanto, </w:t>
      </w:r>
      <w:r w:rsidR="00955CA4" w:rsidRPr="00706042">
        <w:t>não terem encontrado</w:t>
      </w:r>
      <w:r w:rsidR="009B24F0" w:rsidRPr="00706042">
        <w:t xml:space="preserve"> </w:t>
      </w:r>
      <w:r w:rsidR="00955CA4" w:rsidRPr="00706042">
        <w:t>evidências de que os impostos afetem a decisão sobre a maturidade da dívida.</w:t>
      </w:r>
    </w:p>
    <w:p w:rsidR="008D7C19" w:rsidRPr="00706042" w:rsidRDefault="00DE791C" w:rsidP="009A78CA">
      <w:r w:rsidRPr="00706042">
        <w:t xml:space="preserve">Flannery (1986) faz seu trabalho baseado em um modelo de dois períodos para a escolha da maturidade de dívida sob a suposição de assimetria de informação, encontrando indícios de </w:t>
      </w:r>
      <w:r w:rsidR="008D7C19" w:rsidRPr="00706042">
        <w:t>que tal decisão tem relação com a qualidade da empresa.</w:t>
      </w:r>
      <w:r w:rsidRPr="00706042">
        <w:t xml:space="preserve"> Segundo ele, se os agentes internos à firma ("</w:t>
      </w:r>
      <w:r w:rsidRPr="00706042">
        <w:rPr>
          <w:i/>
        </w:rPr>
        <w:t>insiders</w:t>
      </w:r>
      <w:r w:rsidRPr="00706042">
        <w:t xml:space="preserve">") são sistematicamente </w:t>
      </w:r>
      <w:r w:rsidR="00D70A16" w:rsidRPr="00706042">
        <w:t xml:space="preserve">mais bem </w:t>
      </w:r>
      <w:r w:rsidRPr="00706042">
        <w:t>informados que os investidores externos à firma ("</w:t>
      </w:r>
      <w:r w:rsidRPr="00706042">
        <w:rPr>
          <w:i/>
        </w:rPr>
        <w:t>outsiders</w:t>
      </w:r>
      <w:r w:rsidRPr="00706042">
        <w:t xml:space="preserve">"), eles escolherão a estrutura de capital de acordo com a valorização atribuída pelo mercado. Sabendo disso, o investidor racional tentará </w:t>
      </w:r>
      <w:r w:rsidR="004F6CFD">
        <w:t xml:space="preserve">a </w:t>
      </w:r>
      <w:r w:rsidRPr="00706042">
        <w:t>inferir sobre as informações dos gestores analisando a estrutura de capital da firma. Considerando que as dívidas de longo prazo são mais sensíveis a mudanças no valor da empresa do que as de curto prazo, e que o mercado é incapaz de identificar a qualidade das empresas, as dívidas de longo prazo serão subavaliadas. Sendo assim, as empresas boas irão preferir dívidas de curto prazo, ao passo que as de baixa qualidade optarão pelos recursos de longo prazo</w:t>
      </w:r>
      <w:r w:rsidR="00D77030" w:rsidRPr="00706042">
        <w:t>, pois</w:t>
      </w:r>
      <w:r w:rsidR="004F6CFD">
        <w:t>,</w:t>
      </w:r>
      <w:r w:rsidR="00D77030" w:rsidRPr="00706042">
        <w:t xml:space="preserve"> do seu ponto de vista, </w:t>
      </w:r>
      <w:r w:rsidR="004F6CFD">
        <w:t xml:space="preserve">essas </w:t>
      </w:r>
      <w:r w:rsidR="00D77030" w:rsidRPr="00706042">
        <w:t>estão sendo sobrevalorizadas</w:t>
      </w:r>
      <w:r w:rsidRPr="00706042">
        <w:t>.</w:t>
      </w:r>
    </w:p>
    <w:p w:rsidR="008D7C19" w:rsidRPr="00706042" w:rsidRDefault="008D7C19" w:rsidP="009A78CA">
      <w:r w:rsidRPr="00706042">
        <w:t>Diamond (1991</w:t>
      </w:r>
      <w:r w:rsidR="00841AE8">
        <w:t xml:space="preserve">) </w:t>
      </w:r>
      <w:r w:rsidRPr="00706042">
        <w:t>encontr</w:t>
      </w:r>
      <w:r w:rsidR="00B35A35" w:rsidRPr="00706042">
        <w:t>a</w:t>
      </w:r>
      <w:r w:rsidRPr="00706042">
        <w:t xml:space="preserve"> resultados semelhantes ao de Flannery (1986) quando se trata</w:t>
      </w:r>
      <w:r w:rsidR="004F6CFD">
        <w:t>m</w:t>
      </w:r>
      <w:r w:rsidRPr="00706042">
        <w:t xml:space="preserve"> de informações assimétricas da empresa. Entretanto, destaca a existência dos riscos de liquidação devido ao excesso de dívidas de curto prazo</w:t>
      </w:r>
      <w:r w:rsidR="008F3130" w:rsidRPr="00706042">
        <w:t xml:space="preserve"> ou adiamento de receitas importantes para além do vencimento das dívidas</w:t>
      </w:r>
      <w:r w:rsidRPr="00706042">
        <w:t xml:space="preserve">, sobretudo nos casos em que pode haver mudanças inesperadas a respeito do futuro das empresas, tornando mais difícil o refinanciamento de dívidas. </w:t>
      </w:r>
      <w:r w:rsidR="00E362A0" w:rsidRPr="00706042">
        <w:t>Diamond (1991) argumenta ainda que firmas com boas condições de crédito</w:t>
      </w:r>
      <w:r w:rsidR="008F3130" w:rsidRPr="00706042">
        <w:t xml:space="preserve"> (</w:t>
      </w:r>
      <w:r w:rsidR="008F3130" w:rsidRPr="00706042">
        <w:rPr>
          <w:i/>
        </w:rPr>
        <w:t>credit ratings</w:t>
      </w:r>
      <w:r w:rsidR="008F3130" w:rsidRPr="00706042">
        <w:t>)</w:t>
      </w:r>
      <w:r w:rsidR="00E362A0" w:rsidRPr="00706042">
        <w:t xml:space="preserve"> estariam dispostas a correr o risco de contrair maior volume de dívidas de curto prazo (em geral, </w:t>
      </w:r>
      <w:r w:rsidR="00E362A0" w:rsidRPr="00706042">
        <w:rPr>
          <w:i/>
        </w:rPr>
        <w:t>commercial papers</w:t>
      </w:r>
      <w:r w:rsidR="00E362A0" w:rsidRPr="00706042">
        <w:t>) diretamente dos investidores, uma vez que apresentam baixos custos (riscos) de refinanciamento. Empresas que não possuem a avaliação de crédito tão boa</w:t>
      </w:r>
      <w:r w:rsidR="00D24C87" w:rsidRPr="00706042">
        <w:t xml:space="preserve"> tendem</w:t>
      </w:r>
      <w:r w:rsidR="00E362A0" w:rsidRPr="00706042">
        <w:t xml:space="preserve"> a preferir o longo prazo ou tomam emprestado de intermediários financeiros, como os bancos. Enquanto que aquelas que têm sérios problemas relacionados ao crédito (baixa qualidade)</w:t>
      </w:r>
      <w:r w:rsidR="00D24C87" w:rsidRPr="00706042">
        <w:t xml:space="preserve"> são</w:t>
      </w:r>
      <w:r w:rsidR="00E362A0" w:rsidRPr="00706042">
        <w:t xml:space="preserve"> incapazes de adquirir recursos de longo prazo, devido aos altíssimos custos relacionados ao problema de seleção advers</w:t>
      </w:r>
      <w:r w:rsidR="004325D1">
        <w:t>a. Baseado nisso, Diamond (1991</w:t>
      </w:r>
      <w:r w:rsidR="00E362A0" w:rsidRPr="00706042">
        <w:t>) conclui que as empresas que fazem uso de financiamentos de curto prazo podem ser divididas em dois tipos: aquelas que possuem avaliação de crédito muito boa e aquelas muito ruins (a função da escolha não é monotônica). Todas as outras firmas entre esses dois extremos tendem a utilizar dívidas de longo prazo.</w:t>
      </w:r>
    </w:p>
    <w:p w:rsidR="004F6CFD" w:rsidRDefault="00EF617A" w:rsidP="009A78CA">
      <w:r w:rsidRPr="00706042">
        <w:lastRenderedPageBreak/>
        <w:t>Titman e Wessels (1988</w:t>
      </w:r>
      <w:r w:rsidR="00B35A35" w:rsidRPr="00706042">
        <w:t>), em seu trabalho, utiliza</w:t>
      </w:r>
      <w:r w:rsidRPr="00706042">
        <w:t xml:space="preserve">m dados relativos a 469 firmas entre 1974 e 1982. Segundo os autores, a emissão de dívida de curto prazo se mostra negativamente relacionada com o tamanho da empresa. Afirma ainda que, como os custos relacionados a problemas de agência são maiores para firmas com grandes possibilidades de crescimento, que têm mais flexibilidades de escolha de seus investimentos futuros, a expectativa de crescimento futuro deve ser negativamente relacionada com o uso de recursos de longo prazo. </w:t>
      </w:r>
    </w:p>
    <w:p w:rsidR="00EF617A" w:rsidRPr="00706042" w:rsidRDefault="00EF617A" w:rsidP="009A78CA">
      <w:r w:rsidRPr="00706042">
        <w:t xml:space="preserve">Em um trabalho recente, Perobelli e Fama (2003) analisam </w:t>
      </w:r>
      <w:r w:rsidR="000446F2" w:rsidRPr="00706042">
        <w:t xml:space="preserve">279 empresas não-financeiras de capital aberto de </w:t>
      </w:r>
      <w:r w:rsidRPr="00706042">
        <w:t>três países latino</w:t>
      </w:r>
      <w:r w:rsidR="00FE41C6" w:rsidRPr="00706042">
        <w:t>-</w:t>
      </w:r>
      <w:r w:rsidRPr="00706042">
        <w:t>americanos</w:t>
      </w:r>
      <w:r w:rsidR="000446F2" w:rsidRPr="00706042">
        <w:t xml:space="preserve"> (</w:t>
      </w:r>
      <w:r w:rsidRPr="00706042">
        <w:t>Argentina, Chile e México</w:t>
      </w:r>
      <w:r w:rsidR="000446F2" w:rsidRPr="00706042">
        <w:t xml:space="preserve">), entre </w:t>
      </w:r>
      <w:r w:rsidRPr="00706042">
        <w:t xml:space="preserve">1995 </w:t>
      </w:r>
      <w:r w:rsidR="000446F2" w:rsidRPr="00706042">
        <w:t xml:space="preserve">e 2000. </w:t>
      </w:r>
      <w:r w:rsidR="004F6CFD">
        <w:t>Os autores</w:t>
      </w:r>
      <w:r w:rsidR="00FE41C6" w:rsidRPr="00706042">
        <w:t xml:space="preserve"> testam </w:t>
      </w:r>
      <w:r w:rsidRPr="00706042">
        <w:t xml:space="preserve">atributos </w:t>
      </w:r>
      <w:r w:rsidR="00FE41C6" w:rsidRPr="00706042">
        <w:t xml:space="preserve">como </w:t>
      </w:r>
      <w:r w:rsidRPr="00706042">
        <w:t xml:space="preserve">tangibilidade, </w:t>
      </w:r>
      <w:r w:rsidR="00FE41C6" w:rsidRPr="00706042">
        <w:t xml:space="preserve">uso de </w:t>
      </w:r>
      <w:r w:rsidRPr="00706042">
        <w:t xml:space="preserve">benefícios fiscais, expectativa de crescimento, grau de singularidade, tamanho, volatilidade dos resultados operacionais e lucratividade. Com relação </w:t>
      </w:r>
      <w:r w:rsidR="004F6CFD">
        <w:t xml:space="preserve">ao </w:t>
      </w:r>
      <w:r w:rsidRPr="00706042">
        <w:t>México</w:t>
      </w:r>
      <w:r w:rsidR="00FE41C6" w:rsidRPr="00706042">
        <w:t xml:space="preserve">, </w:t>
      </w:r>
      <w:r w:rsidRPr="00706042">
        <w:t xml:space="preserve">todas as variáveis, exceto tangibilidade e usufruto de outros benefícios fiscais, </w:t>
      </w:r>
      <w:r w:rsidR="00B35A35" w:rsidRPr="00706042">
        <w:t xml:space="preserve">são </w:t>
      </w:r>
      <w:r w:rsidRPr="00706042">
        <w:t>consideradas relevantes</w:t>
      </w:r>
      <w:r w:rsidR="00FE41C6" w:rsidRPr="00706042">
        <w:t xml:space="preserve"> para a decisão do endividamento de longo prazo</w:t>
      </w:r>
      <w:r w:rsidRPr="00706042">
        <w:t xml:space="preserve">. Para o endividamento de curto prazo, as conclusões </w:t>
      </w:r>
      <w:r w:rsidR="00B35A35" w:rsidRPr="00706042">
        <w:t xml:space="preserve">são </w:t>
      </w:r>
      <w:r w:rsidRPr="00706042">
        <w:t>parecidas, exceto pela exclusão de tamanho e pela inclusão de usufruto de outros benefícios fiscais.</w:t>
      </w:r>
      <w:r w:rsidR="00FE41C6" w:rsidRPr="00706042">
        <w:t xml:space="preserve"> No caso da </w:t>
      </w:r>
      <w:r w:rsidRPr="00706042">
        <w:t>Argentina</w:t>
      </w:r>
      <w:r w:rsidR="00FE41C6" w:rsidRPr="00706042">
        <w:t xml:space="preserve">, </w:t>
      </w:r>
      <w:r w:rsidRPr="00706042">
        <w:t xml:space="preserve">o modelo não </w:t>
      </w:r>
      <w:r w:rsidR="0057360C" w:rsidRPr="00706042">
        <w:t xml:space="preserve">é </w:t>
      </w:r>
      <w:r w:rsidRPr="00706042">
        <w:t xml:space="preserve">muito eficaz, </w:t>
      </w:r>
      <w:r w:rsidR="00FE41C6" w:rsidRPr="00706042">
        <w:t xml:space="preserve">pois </w:t>
      </w:r>
      <w:r w:rsidR="0057360C" w:rsidRPr="00706042">
        <w:t>há</w:t>
      </w:r>
      <w:r w:rsidRPr="00706042">
        <w:t xml:space="preserve"> apenas uma relação negativa entre lucratividade e endividamento de curto prazo, com 10% de significância.</w:t>
      </w:r>
      <w:r w:rsidR="00FE41C6" w:rsidRPr="00706042">
        <w:t xml:space="preserve"> Enquanto que</w:t>
      </w:r>
      <w:r w:rsidR="004F6CFD">
        <w:t>,</w:t>
      </w:r>
      <w:r w:rsidR="00FE41C6" w:rsidRPr="00706042">
        <w:t xml:space="preserve"> para o </w:t>
      </w:r>
      <w:r w:rsidRPr="00706042">
        <w:t>Chile</w:t>
      </w:r>
      <w:r w:rsidR="00FE41C6" w:rsidRPr="00706042">
        <w:t xml:space="preserve">, </w:t>
      </w:r>
      <w:r w:rsidRPr="00706042">
        <w:t>o endividamento de curto prazo</w:t>
      </w:r>
      <w:r w:rsidR="00FE41C6" w:rsidRPr="00706042">
        <w:t xml:space="preserve"> </w:t>
      </w:r>
      <w:r w:rsidR="00B82524" w:rsidRPr="00706042">
        <w:t>mostra relação significativa</w:t>
      </w:r>
      <w:r w:rsidRPr="00706042">
        <w:t xml:space="preserve"> com tamanho e tangibilidade</w:t>
      </w:r>
      <w:r w:rsidR="00B82524" w:rsidRPr="00706042">
        <w:t xml:space="preserve"> e o </w:t>
      </w:r>
      <w:r w:rsidRPr="00706042">
        <w:t>d</w:t>
      </w:r>
      <w:r w:rsidR="00B82524" w:rsidRPr="00706042">
        <w:t>e</w:t>
      </w:r>
      <w:r w:rsidRPr="00706042">
        <w:t xml:space="preserve"> longo prazo, além dessas, </w:t>
      </w:r>
      <w:r w:rsidR="00B82524" w:rsidRPr="00706042">
        <w:t>inclu</w:t>
      </w:r>
      <w:r w:rsidR="002A3D43" w:rsidRPr="00706042">
        <w:t>i</w:t>
      </w:r>
      <w:r w:rsidR="00B82524" w:rsidRPr="00706042">
        <w:t xml:space="preserve"> a </w:t>
      </w:r>
      <w:r w:rsidRPr="00706042">
        <w:t>lucratividade.</w:t>
      </w:r>
    </w:p>
    <w:p w:rsidR="008D7C19" w:rsidRPr="00706042" w:rsidRDefault="008D7C19" w:rsidP="009A78CA">
      <w:r w:rsidRPr="00706042">
        <w:t>Johnson (20</w:t>
      </w:r>
      <w:r w:rsidR="00933FE8" w:rsidRPr="00706042">
        <w:t xml:space="preserve">03) e Terra </w:t>
      </w:r>
      <w:r w:rsidR="004F6CFD">
        <w:t xml:space="preserve">e Mateus </w:t>
      </w:r>
      <w:r w:rsidR="00933FE8" w:rsidRPr="00706042">
        <w:t>(2005) desenvolvem</w:t>
      </w:r>
      <w:r w:rsidRPr="00706042">
        <w:t xml:space="preserve"> trabalhos mais completos sobre a escolha da maturidade da dívida. Segundo Johnson (2003), a estrutura de alavancagem da firma recebe grande influência das oportunidades de investimento e da maturidade da dívida</w:t>
      </w:r>
      <w:r w:rsidR="002949F3" w:rsidRPr="00706042">
        <w:t>.</w:t>
      </w:r>
      <w:r w:rsidR="008A6B28" w:rsidRPr="00706042">
        <w:t xml:space="preserve"> </w:t>
      </w:r>
      <w:r w:rsidR="002949F3" w:rsidRPr="00706042">
        <w:t>Já o</w:t>
      </w:r>
      <w:r w:rsidRPr="00706042">
        <w:t xml:space="preserve"> </w:t>
      </w:r>
      <w:r w:rsidR="00933FE8" w:rsidRPr="00706042">
        <w:t xml:space="preserve">estudo de Terra </w:t>
      </w:r>
      <w:r w:rsidR="004F6CFD">
        <w:t xml:space="preserve">e Mateus </w:t>
      </w:r>
      <w:r w:rsidR="00933FE8" w:rsidRPr="00706042">
        <w:t>(2005) se baseia</w:t>
      </w:r>
      <w:r w:rsidRPr="00706042">
        <w:t xml:space="preserve"> na escolha do tempo de maturação da dívida, indicando que, embora exista um componente dinâmico relevante em tal decisão, o efeito da alavancagem da empresa sobre a maturidade da dívida é apenas residual. Os resultados dos trabalhos do</w:t>
      </w:r>
      <w:r w:rsidR="002949F3" w:rsidRPr="00706042">
        <w:t>s</w:t>
      </w:r>
      <w:r w:rsidRPr="00706042">
        <w:t xml:space="preserve"> autor</w:t>
      </w:r>
      <w:r w:rsidR="002949F3" w:rsidRPr="00706042">
        <w:t>es</w:t>
      </w:r>
      <w:r w:rsidRPr="00706042">
        <w:t xml:space="preserve"> mostram ainda que os determinantes da maturidade das dívidas de empresas latino-americanas e dos EUA possuem grande similaridade, embora os grupos tenham características muito distintas.</w:t>
      </w:r>
    </w:p>
    <w:p w:rsidR="00E62046" w:rsidRPr="00706042" w:rsidRDefault="00E62046" w:rsidP="009A78CA"/>
    <w:p w:rsidR="008D7C19" w:rsidRPr="00706042" w:rsidRDefault="00D759BF" w:rsidP="00DC0CB0">
      <w:pPr>
        <w:pStyle w:val="Ttulo2"/>
      </w:pPr>
      <w:bookmarkStart w:id="10" w:name="_Toc239579717"/>
      <w:bookmarkStart w:id="11" w:name="_Toc256616811"/>
      <w:bookmarkStart w:id="12" w:name="_Toc256617112"/>
      <w:r>
        <w:t>2</w:t>
      </w:r>
      <w:r w:rsidR="00E62046" w:rsidRPr="00706042">
        <w:t xml:space="preserve">.2 </w:t>
      </w:r>
      <w:r w:rsidR="008D7C19" w:rsidRPr="00706042">
        <w:t xml:space="preserve">A Consideração </w:t>
      </w:r>
      <w:r w:rsidR="00E62046" w:rsidRPr="00706042">
        <w:t>da Fonte De Financiamento</w:t>
      </w:r>
      <w:bookmarkEnd w:id="10"/>
      <w:r w:rsidR="00E62046" w:rsidRPr="00706042">
        <w:t>: Evidências Empíricas</w:t>
      </w:r>
      <w:bookmarkEnd w:id="11"/>
      <w:bookmarkEnd w:id="12"/>
    </w:p>
    <w:p w:rsidR="00E62046" w:rsidRPr="00706042" w:rsidRDefault="00E62046" w:rsidP="00E62046"/>
    <w:p w:rsidR="00B52E2E" w:rsidRPr="00706042" w:rsidRDefault="008D7C19" w:rsidP="009A78CA">
      <w:r w:rsidRPr="00706042">
        <w:t xml:space="preserve">Outra característica importante no estudo da estrutura da dívida é </w:t>
      </w:r>
      <w:r w:rsidR="001F75ED" w:rsidRPr="00706042">
        <w:t xml:space="preserve">a </w:t>
      </w:r>
      <w:r w:rsidRPr="00706042">
        <w:t>fonte</w:t>
      </w:r>
      <w:r w:rsidR="001F75ED" w:rsidRPr="00706042">
        <w:t xml:space="preserve"> do endividamento</w:t>
      </w:r>
      <w:r w:rsidRPr="00706042">
        <w:t xml:space="preserve">. </w:t>
      </w:r>
      <w:r w:rsidR="00933FE8" w:rsidRPr="00706042">
        <w:t>Importante ressaltar que</w:t>
      </w:r>
      <w:r w:rsidR="00786596">
        <w:t>,</w:t>
      </w:r>
      <w:r w:rsidR="00933FE8" w:rsidRPr="00706042">
        <w:t xml:space="preserve"> ao fazer a escolha sobre qual tipo de dívida será usada, a empresa encontra à sua disposição uma grande diversidade de fontes. Neste trabalho, </w:t>
      </w:r>
      <w:r w:rsidR="00942353" w:rsidRPr="00706042">
        <w:t xml:space="preserve">essas fontes são </w:t>
      </w:r>
      <w:r w:rsidR="00933FE8" w:rsidRPr="00706042">
        <w:t xml:space="preserve">agrupadas em </w:t>
      </w:r>
      <w:r w:rsidR="00942353" w:rsidRPr="00706042">
        <w:t xml:space="preserve">dois tipos: (i) fontes públicas de recursos, divididas entre debêntures e notas promissórias (ou </w:t>
      </w:r>
      <w:r w:rsidR="00942353" w:rsidRPr="00706042">
        <w:rPr>
          <w:i/>
        </w:rPr>
        <w:t>commercial paper</w:t>
      </w:r>
      <w:r w:rsidR="00786596">
        <w:rPr>
          <w:i/>
        </w:rPr>
        <w:t>s</w:t>
      </w:r>
      <w:r w:rsidR="00942353" w:rsidRPr="00706042">
        <w:t>); e (ii) fontes privadas, onde estão incluídos os empréstimos bancário</w:t>
      </w:r>
      <w:r w:rsidR="00786596">
        <w:t>s</w:t>
      </w:r>
      <w:r w:rsidR="00942353" w:rsidRPr="00706042">
        <w:t>, as debêntures privadas, os financiamentos de fornecedores e de empresas controladas.</w:t>
      </w:r>
      <w:r w:rsidR="00C70E4B" w:rsidRPr="00706042">
        <w:t xml:space="preserve"> </w:t>
      </w:r>
      <w:r w:rsidR="00B52E2E" w:rsidRPr="00706042">
        <w:t>Esta seção mostra alguns trabalhos conhecidos sobre o tema, apontando suas principais conclusões.</w:t>
      </w:r>
    </w:p>
    <w:p w:rsidR="008D7C19" w:rsidRPr="00706042" w:rsidRDefault="008D7C19" w:rsidP="009A78CA">
      <w:r w:rsidRPr="00706042">
        <w:t>Johnson (1997) foc</w:t>
      </w:r>
      <w:r w:rsidR="00FA3D2F" w:rsidRPr="00706042">
        <w:t>a</w:t>
      </w:r>
      <w:r w:rsidRPr="00706042">
        <w:t xml:space="preserve"> seu estudo na escolha da fonte do financiamento, </w:t>
      </w:r>
      <w:r w:rsidR="00FA3D2F" w:rsidRPr="00706042">
        <w:t xml:space="preserve">distinguindo </w:t>
      </w:r>
      <w:r w:rsidRPr="00706042">
        <w:t xml:space="preserve">as dívidas privadas </w:t>
      </w:r>
      <w:r w:rsidR="00FA3D2F" w:rsidRPr="00706042">
        <w:t xml:space="preserve">entre </w:t>
      </w:r>
      <w:r w:rsidRPr="00706042">
        <w:t xml:space="preserve">bancária </w:t>
      </w:r>
      <w:r w:rsidR="00AE4233" w:rsidRPr="00706042">
        <w:t>e</w:t>
      </w:r>
      <w:r w:rsidRPr="00706042">
        <w:t xml:space="preserve"> não-bancária. Ele analis</w:t>
      </w:r>
      <w:r w:rsidR="00FA3D2F" w:rsidRPr="00706042">
        <w:t>a</w:t>
      </w:r>
      <w:r w:rsidRPr="00706042">
        <w:t xml:space="preserve"> a maneira como as empresas utilizam cada tipo de dívida e conclui que elas dão preferência às dívidas públicas quando os custos de informação e monitoramento são reduzidos, as chances de sofrerem um processo de liquidação são menores ou quando existem poucos incentivos a prejudicar de alguma forma</w:t>
      </w:r>
      <w:r w:rsidR="0057360C" w:rsidRPr="00706042">
        <w:t xml:space="preserve"> o emprestador. O autor conclui </w:t>
      </w:r>
      <w:r w:rsidRPr="00706042">
        <w:t>também que a decisão da empresa acerca do tipo de dívida ocorre de modo independente d</w:t>
      </w:r>
      <w:r w:rsidR="001F75ED" w:rsidRPr="00706042">
        <w:t>a escolha d</w:t>
      </w:r>
      <w:r w:rsidRPr="00706042">
        <w:t>o tempo de maturação.</w:t>
      </w:r>
    </w:p>
    <w:p w:rsidR="008D7C19" w:rsidRPr="00706042" w:rsidRDefault="008D7C19" w:rsidP="009A78CA">
      <w:r w:rsidRPr="00706042">
        <w:t xml:space="preserve">O trabalho de Krishnaswami </w:t>
      </w:r>
      <w:r w:rsidRPr="00706042">
        <w:rPr>
          <w:i/>
        </w:rPr>
        <w:t>et al.</w:t>
      </w:r>
      <w:r w:rsidRPr="00706042">
        <w:t xml:space="preserve"> (1999) teve como base empresas que utilizavam tanto dívida privada quanto pública, tenta</w:t>
      </w:r>
      <w:r w:rsidR="00FB1D2E" w:rsidRPr="00706042">
        <w:t>n</w:t>
      </w:r>
      <w:r w:rsidRPr="00706042">
        <w:t>do identificar os determinantes das escolhas das proporções de cada uma no total, considerando o problema de agência, os custos que envolvem cada tipo dívida, as características da regulação e a existência de assimetria de i</w:t>
      </w:r>
      <w:r w:rsidR="00C70E4B" w:rsidRPr="00706042">
        <w:t>nformação. Os autores concluem</w:t>
      </w:r>
      <w:r w:rsidRPr="00706042">
        <w:t xml:space="preserve"> que empresas de grande porte optariam por manter menores volumes de dívida bancária, uma vez que teriam a possibilidade de explorar o fato de que a emissão </w:t>
      </w:r>
      <w:r w:rsidR="001F75ED" w:rsidRPr="00706042">
        <w:t xml:space="preserve">de </w:t>
      </w:r>
      <w:r w:rsidRPr="00706042">
        <w:t>grande quantidade de títulos de dívida envolve</w:t>
      </w:r>
      <w:r w:rsidR="001F75ED" w:rsidRPr="00706042">
        <w:t xml:space="preserve"> </w:t>
      </w:r>
      <w:r w:rsidRPr="00706042">
        <w:t>custos relativamente baixos, dada a existência de economia de escala.</w:t>
      </w:r>
    </w:p>
    <w:p w:rsidR="008D7C19" w:rsidRPr="00706042" w:rsidRDefault="00C70E4B" w:rsidP="009A78CA">
      <w:r w:rsidRPr="00706042">
        <w:t>Denis e Mihov (2003) encontr</w:t>
      </w:r>
      <w:r w:rsidR="008D7C19" w:rsidRPr="00706042">
        <w:t xml:space="preserve">am resultados diferentes dos pesquisadores anteriores, afirmando que o principal fator que influencia a escolha entre os tipos de dívida seria a qualidade creditícia do tomador. De acordo com os autores, firmas com baixa qualidade de crédito se utilizariam do mercado de dívidas </w:t>
      </w:r>
      <w:r w:rsidR="008D7C19" w:rsidRPr="00706042">
        <w:lastRenderedPageBreak/>
        <w:t>privadas não-bancárias, firmas com qualidade intermediária prefeririam dívidas banc</w:t>
      </w:r>
      <w:r w:rsidR="001F75ED" w:rsidRPr="00706042">
        <w:t>á</w:t>
      </w:r>
      <w:r w:rsidR="008D7C19" w:rsidRPr="00706042">
        <w:t>rias, enquanto as que possuem melhor qualidade se financiariam a partir de fontes públicas de crédito.</w:t>
      </w:r>
    </w:p>
    <w:p w:rsidR="00D10D33" w:rsidRPr="00706042" w:rsidRDefault="008355B6" w:rsidP="009A78CA">
      <w:r>
        <w:t xml:space="preserve">Segundo o </w:t>
      </w:r>
      <w:r w:rsidR="00B52E2E" w:rsidRPr="00706042">
        <w:t xml:space="preserve">trabalho empírico de Faulkender e Petersen </w:t>
      </w:r>
      <w:r w:rsidR="00FB1D2E" w:rsidRPr="00706042">
        <w:t>(</w:t>
      </w:r>
      <w:r w:rsidR="00B52E2E" w:rsidRPr="00706042">
        <w:t>2006</w:t>
      </w:r>
      <w:r w:rsidR="00FB1D2E" w:rsidRPr="00706042">
        <w:t>)</w:t>
      </w:r>
      <w:r>
        <w:t>,</w:t>
      </w:r>
      <w:r w:rsidR="00D10D33" w:rsidRPr="00706042">
        <w:t xml:space="preserve"> firmas que têm acesso ao mercado de títulos públicos, ou seja, que possuem melhores condições de crédito</w:t>
      </w:r>
      <w:r w:rsidR="00786596">
        <w:t>,</w:t>
      </w:r>
      <w:r w:rsidR="00D24C87" w:rsidRPr="00706042">
        <w:t xml:space="preserve"> tendem</w:t>
      </w:r>
      <w:r w:rsidR="00D10D33" w:rsidRPr="00706042">
        <w:t xml:space="preserve"> a ser</w:t>
      </w:r>
      <w:r w:rsidR="00D24C87" w:rsidRPr="00706042">
        <w:t xml:space="preserve"> </w:t>
      </w:r>
      <w:r w:rsidR="00D10D33" w:rsidRPr="00706042">
        <w:t>mais alavancadas. Embora, historicamente</w:t>
      </w:r>
      <w:r w:rsidR="00786596">
        <w:t>,</w:t>
      </w:r>
      <w:r w:rsidR="00D10D33" w:rsidRPr="00706042">
        <w:t xml:space="preserve"> o tamanho da firma tenha correlação positiva com o nível de alavancagem, Faulkender e Petersen (2006) encontra</w:t>
      </w:r>
      <w:r w:rsidR="00B35A35" w:rsidRPr="00706042">
        <w:t>m</w:t>
      </w:r>
      <w:r w:rsidR="00D10D33" w:rsidRPr="00706042">
        <w:t xml:space="preserve"> em seus resultados evidências de correlação negativa. Uma justificativa para isto é que são utilizad</w:t>
      </w:r>
      <w:r w:rsidR="00B97AC5" w:rsidRPr="00706042">
        <w:t>a</w:t>
      </w:r>
      <w:r w:rsidR="00D10D33" w:rsidRPr="00706042">
        <w:t>s observações de cada firma apenas nos períodos nos quais apresenta</w:t>
      </w:r>
      <w:r w:rsidR="00B35A35" w:rsidRPr="00706042">
        <w:t>m</w:t>
      </w:r>
      <w:r w:rsidR="00D10D33" w:rsidRPr="00706042">
        <w:t xml:space="preserve"> volume positivo de dívidas. Além disso, em seu trabalho, o</w:t>
      </w:r>
      <w:r w:rsidR="00B97AC5" w:rsidRPr="00706042">
        <w:t>s</w:t>
      </w:r>
      <w:r w:rsidR="00D10D33" w:rsidRPr="00706042">
        <w:t xml:space="preserve"> autor</w:t>
      </w:r>
      <w:r w:rsidR="00B97AC5" w:rsidRPr="00706042">
        <w:t>es</w:t>
      </w:r>
      <w:r w:rsidR="00D10D33" w:rsidRPr="00706042">
        <w:t xml:space="preserve"> usa</w:t>
      </w:r>
      <w:r w:rsidR="00B97AC5" w:rsidRPr="00706042">
        <w:t>m</w:t>
      </w:r>
      <w:r w:rsidR="00D10D33" w:rsidRPr="00706042">
        <w:t xml:space="preserve"> a razão entre a dívida total sobre o ativo, enquanto os outros trabalhos consideram apenas as dívidas de longo prazo. Com isso, é possível concluir que</w:t>
      </w:r>
      <w:r w:rsidR="00786596">
        <w:t>,</w:t>
      </w:r>
      <w:r w:rsidR="00D10D33" w:rsidRPr="00706042">
        <w:t xml:space="preserve"> embora o volume total de dívidas da empresa diminu</w:t>
      </w:r>
      <w:r w:rsidR="00786596">
        <w:t>a</w:t>
      </w:r>
      <w:r w:rsidR="00D10D33" w:rsidRPr="00706042">
        <w:t xml:space="preserve"> conforme ela cresce, a proporção de dívidas de longo prazo sobre o total aumenta, concordando com os resultados de Barclays e Smith Jr. (1995). Faulkender e Petersen (2006) concluem ainda que empresas que possuem ativos mais voláteis (maior risco)</w:t>
      </w:r>
      <w:r w:rsidR="00D24C87" w:rsidRPr="00706042">
        <w:t xml:space="preserve"> tendem</w:t>
      </w:r>
      <w:r w:rsidR="00D10D33" w:rsidRPr="00706042">
        <w:t xml:space="preserve"> a manter menor alavancagem e</w:t>
      </w:r>
      <w:r w:rsidR="00FB1D2E" w:rsidRPr="00706042">
        <w:t>,</w:t>
      </w:r>
      <w:r w:rsidR="00D10D33" w:rsidRPr="00706042">
        <w:t xml:space="preserve"> quando precisam de recursos, preferem fontes privadas, principalmente bancos.</w:t>
      </w:r>
    </w:p>
    <w:p w:rsidR="00786596" w:rsidRPr="00706042" w:rsidRDefault="00786596" w:rsidP="00786596">
      <w:pPr>
        <w:pStyle w:val="Texto"/>
      </w:pPr>
      <w:r w:rsidRPr="00786596">
        <w:t>Figueiredo (2007) aponta como determinantes da escolha da fonte de financiamento variáveis relativas às oportunidades de crescimento e qualidade dos projetos, nível de alavancagem, lucratividade e tangibilidade. Para a pesquisadora, quanto maiores as oportunidades de crescimento, o nível de endividamento atual, a proporção de ativos tangíveis e quanto menor o nível de lucratividade, maior a propensão ao endividamento privado.</w:t>
      </w:r>
    </w:p>
    <w:p w:rsidR="00786596" w:rsidRDefault="008D7C19" w:rsidP="009A78CA">
      <w:r w:rsidRPr="00706042">
        <w:t>Segundo Jiménez (2007), os gestores também definem a forma de captação de financiamento (se pública ou privada) de acordo com a presença ou não de “</w:t>
      </w:r>
      <w:r w:rsidR="001F75ED" w:rsidRPr="00706042">
        <w:t>j</w:t>
      </w:r>
      <w:r w:rsidRPr="00706042">
        <w:t xml:space="preserve">anelas de </w:t>
      </w:r>
      <w:r w:rsidR="001F75ED" w:rsidRPr="00706042">
        <w:t>o</w:t>
      </w:r>
      <w:r w:rsidRPr="00706042">
        <w:t>portunidade”, representadas por períodos nos quais há aumentos na emissão d</w:t>
      </w:r>
      <w:r w:rsidR="001F75ED" w:rsidRPr="00706042">
        <w:t>e</w:t>
      </w:r>
      <w:r w:rsidRPr="00706042">
        <w:t xml:space="preserve"> título</w:t>
      </w:r>
      <w:r w:rsidR="001F75ED" w:rsidRPr="00706042">
        <w:t>s</w:t>
      </w:r>
      <w:r w:rsidRPr="00706042">
        <w:t xml:space="preserve"> de dívida pública. </w:t>
      </w:r>
      <w:r w:rsidR="00CC56FF" w:rsidRPr="00706042">
        <w:t xml:space="preserve">Baker e Wurgler (2002) </w:t>
      </w:r>
      <w:r w:rsidR="00C70E4B" w:rsidRPr="00706042">
        <w:t xml:space="preserve">são </w:t>
      </w:r>
      <w:r w:rsidR="00CC56FF" w:rsidRPr="00706042">
        <w:t xml:space="preserve">os </w:t>
      </w:r>
      <w:r w:rsidR="000C51BC" w:rsidRPr="00706042">
        <w:t>primeiros</w:t>
      </w:r>
      <w:r w:rsidR="00CC56FF" w:rsidRPr="00706042">
        <w:t xml:space="preserve"> na articulação entre os diversos</w:t>
      </w:r>
      <w:r w:rsidR="000C51BC" w:rsidRPr="00706042">
        <w:t xml:space="preserve"> </w:t>
      </w:r>
      <w:r w:rsidR="00CC56FF" w:rsidRPr="00706042">
        <w:t xml:space="preserve">estudos publicados anteriormente e a teoria de </w:t>
      </w:r>
      <w:r w:rsidR="00CC56FF" w:rsidRPr="00706042">
        <w:rPr>
          <w:i/>
          <w:iCs/>
        </w:rPr>
        <w:t>market timing</w:t>
      </w:r>
      <w:r w:rsidR="00CC56FF" w:rsidRPr="00706042">
        <w:t>. A partir do pressuposto da</w:t>
      </w:r>
      <w:r w:rsidR="000C51BC" w:rsidRPr="00706042">
        <w:t xml:space="preserve"> </w:t>
      </w:r>
      <w:r w:rsidR="00CC56FF" w:rsidRPr="00706042">
        <w:t xml:space="preserve">ineficiência </w:t>
      </w:r>
      <w:r w:rsidR="00C70E4B" w:rsidRPr="00706042">
        <w:t>de mercado, os autores encontr</w:t>
      </w:r>
      <w:r w:rsidR="00CC56FF" w:rsidRPr="00706042">
        <w:t>am resultados consistentes com a idéia de que o</w:t>
      </w:r>
      <w:r w:rsidR="000C51BC" w:rsidRPr="00706042">
        <w:t xml:space="preserve"> </w:t>
      </w:r>
      <w:r w:rsidR="00CC56FF" w:rsidRPr="00706042">
        <w:rPr>
          <w:i/>
          <w:iCs/>
        </w:rPr>
        <w:t>market timing</w:t>
      </w:r>
      <w:r w:rsidR="000C51BC" w:rsidRPr="00706042">
        <w:t xml:space="preserve"> possui </w:t>
      </w:r>
      <w:r w:rsidR="00CC56FF" w:rsidRPr="00706042">
        <w:t xml:space="preserve">efeito persistente na estrutura de capital. </w:t>
      </w:r>
      <w:r w:rsidR="000C51BC" w:rsidRPr="00706042">
        <w:t xml:space="preserve">Segundo </w:t>
      </w:r>
      <w:r w:rsidR="00CC56FF" w:rsidRPr="00706042">
        <w:t>eles, é na procura por</w:t>
      </w:r>
      <w:r w:rsidR="000C51BC" w:rsidRPr="00706042">
        <w:t xml:space="preserve"> </w:t>
      </w:r>
      <w:r w:rsidR="00CC56FF" w:rsidRPr="00706042">
        <w:t>janelas de oportunidade que os gestores definem a estrutura de capital das</w:t>
      </w:r>
      <w:r w:rsidR="000C51BC" w:rsidRPr="00706042">
        <w:t xml:space="preserve"> </w:t>
      </w:r>
      <w:r w:rsidR="00CC56FF" w:rsidRPr="00706042">
        <w:t xml:space="preserve">empresas. </w:t>
      </w:r>
      <w:r w:rsidR="000C51BC" w:rsidRPr="00706042">
        <w:t xml:space="preserve">Este fato </w:t>
      </w:r>
      <w:r w:rsidR="00CC56FF" w:rsidRPr="00706042">
        <w:t>ocorre porque o acionista percebe a anormalidade no valor das suas ações</w:t>
      </w:r>
      <w:r w:rsidR="00DE6D78" w:rsidRPr="00706042">
        <w:t>,</w:t>
      </w:r>
      <w:r w:rsidR="000C51BC" w:rsidRPr="00706042">
        <w:t xml:space="preserve"> </w:t>
      </w:r>
      <w:r w:rsidR="00CC56FF" w:rsidRPr="00706042">
        <w:t xml:space="preserve">incentivando os gestores a procurar o momento certo de emitir ações ou dívidas. </w:t>
      </w:r>
    </w:p>
    <w:p w:rsidR="00420D4B" w:rsidRDefault="00420D4B" w:rsidP="009A78CA">
      <w:r w:rsidRPr="00706042">
        <w:t>Myers e Majluf</w:t>
      </w:r>
      <w:r w:rsidR="00190FD5" w:rsidRPr="00706042">
        <w:t xml:space="preserve"> </w:t>
      </w:r>
      <w:r w:rsidRPr="00706042">
        <w:t>(1984) sugerem que as empresas podem achar vantajoso o uso de dívidas com garantia. Embora esta prática possa envolver custos associados à assimetria de informação (os gestores conhecem o valor real do ativo dado como garantia melhor que os credores), esses custos podem ser evitados, ou pelo menos minimizados, forçando a administração a usar ativos cujo valor</w:t>
      </w:r>
      <w:r w:rsidR="003905E7" w:rsidRPr="00706042">
        <w:t xml:space="preserve"> seja</w:t>
      </w:r>
      <w:r w:rsidRPr="00706042">
        <w:t xml:space="preserve"> conhecido por todos. Em seu estudo, eles demonstram que, por esta razão, empresas que possuem ativos que efetivamente podem ser utilizados como garantia</w:t>
      </w:r>
      <w:r w:rsidR="00190FD5" w:rsidRPr="00706042">
        <w:t xml:space="preserve"> (</w:t>
      </w:r>
      <w:r w:rsidR="00146222" w:rsidRPr="00706042">
        <w:t>o</w:t>
      </w:r>
      <w:r w:rsidR="00190FD5" w:rsidRPr="00706042">
        <w:t>s</w:t>
      </w:r>
      <w:r w:rsidR="00146222" w:rsidRPr="00706042">
        <w:t xml:space="preserve"> chamados "colaterais") têm forte tendência a tomar vantagem dessa oportunidade, aumentando seu volume de dívida</w:t>
      </w:r>
      <w:r w:rsidR="00D10D33" w:rsidRPr="00706042">
        <w:t xml:space="preserve"> das fontes que aceitam tais colaterais (bancos, alguns tipos de </w:t>
      </w:r>
      <w:r w:rsidR="00D10D33" w:rsidRPr="00706042">
        <w:rPr>
          <w:i/>
        </w:rPr>
        <w:t>debêntures</w:t>
      </w:r>
      <w:r w:rsidR="00D10D33" w:rsidRPr="00706042">
        <w:t xml:space="preserve">, </w:t>
      </w:r>
      <w:r w:rsidR="00D24C87" w:rsidRPr="00706042">
        <w:t>etc.</w:t>
      </w:r>
      <w:r w:rsidR="00D10D33" w:rsidRPr="00706042">
        <w:t>)</w:t>
      </w:r>
      <w:r w:rsidRPr="00706042">
        <w:t>.</w:t>
      </w:r>
    </w:p>
    <w:p w:rsidR="0089087B" w:rsidRPr="00706042" w:rsidRDefault="0089087B" w:rsidP="0089087B">
      <w:r w:rsidRPr="00786596">
        <w:t xml:space="preserve">Alguns estudos tentam </w:t>
      </w:r>
      <w:r w:rsidR="00786596" w:rsidRPr="00786596">
        <w:t xml:space="preserve">ainda </w:t>
      </w:r>
      <w:r w:rsidRPr="00786596">
        <w:t xml:space="preserve">analisar se as variáveis de decisão continuam as mesmas após as empresas acessarem o mercado de dívida pública. De acordo com Johnson (1997), uma vez acessado esse mercado, a empresa passa a contrair financiamentos privados caso necessite de um endividamento de curto prazo ou de menores montantes de capital, pelas facilidades de levantar capital neste mercado </w:t>
      </w:r>
      <w:r w:rsidRPr="00786596">
        <w:rPr>
          <w:i/>
        </w:rPr>
        <w:t xml:space="preserve">vis-à-vis </w:t>
      </w:r>
      <w:r w:rsidRPr="00786596">
        <w:t>no mercado de dívida pública. Outra possibilidade seria o acesso da empresa no mercado de dívida privada enquanto ainda não tivesse reputação suficiente para contrair somente dívida pública.</w:t>
      </w:r>
    </w:p>
    <w:p w:rsidR="00DD0571" w:rsidRPr="00706042" w:rsidRDefault="00DD0571" w:rsidP="009A78CA">
      <w:r w:rsidRPr="00706042">
        <w:t xml:space="preserve">Os principais resultados encontrados nos trabalhos analisados nortearão o experimento empírico conduzido neste trabalho, estando sumarizados na </w:t>
      </w:r>
      <w:r w:rsidR="00CC1926">
        <w:t>t</w:t>
      </w:r>
      <w:r w:rsidRPr="00706042">
        <w:t xml:space="preserve">abela 1, seção </w:t>
      </w:r>
      <w:r w:rsidR="008D2D09">
        <w:t>3</w:t>
      </w:r>
      <w:r w:rsidRPr="00706042">
        <w:t>.</w:t>
      </w:r>
      <w:r w:rsidR="00CC1926">
        <w:t>3</w:t>
      </w:r>
      <w:r w:rsidRPr="00706042">
        <w:t>. Modelo Empírico e Descrição das Variáveis.</w:t>
      </w:r>
    </w:p>
    <w:p w:rsidR="00790F0F" w:rsidRPr="00706042" w:rsidRDefault="00790F0F" w:rsidP="009A78CA">
      <w:bookmarkStart w:id="13" w:name="_Toc239579725"/>
      <w:bookmarkStart w:id="14" w:name="OLE_LINK1"/>
      <w:bookmarkStart w:id="15" w:name="OLE_LINK2"/>
    </w:p>
    <w:p w:rsidR="0028749C" w:rsidRDefault="00D759BF" w:rsidP="00B328BE">
      <w:pPr>
        <w:pStyle w:val="Ttulo1"/>
      </w:pPr>
      <w:bookmarkStart w:id="16" w:name="_Toc256616812"/>
      <w:bookmarkStart w:id="17" w:name="_Toc256617113"/>
      <w:r>
        <w:t>3</w:t>
      </w:r>
      <w:r w:rsidR="0028749C" w:rsidRPr="00706042">
        <w:t xml:space="preserve"> Metodologia</w:t>
      </w:r>
      <w:bookmarkEnd w:id="13"/>
      <w:bookmarkEnd w:id="16"/>
      <w:bookmarkEnd w:id="17"/>
    </w:p>
    <w:p w:rsidR="005A6816" w:rsidRDefault="005A6816" w:rsidP="005A6816"/>
    <w:p w:rsidR="008D2D09" w:rsidRPr="008D2D09" w:rsidRDefault="008D2D09" w:rsidP="00604592">
      <w:pPr>
        <w:pStyle w:val="Ttulo2"/>
      </w:pPr>
      <w:r w:rsidRPr="008D2D09">
        <w:t>3.</w:t>
      </w:r>
      <w:r>
        <w:t>1</w:t>
      </w:r>
      <w:r w:rsidRPr="008D2D09">
        <w:t xml:space="preserve"> </w:t>
      </w:r>
      <w:r>
        <w:t>Modelos de Dados em Painel e Equações Simultâneas</w:t>
      </w:r>
    </w:p>
    <w:p w:rsidR="008D2D09" w:rsidRDefault="008D2D09" w:rsidP="005A6816"/>
    <w:p w:rsidR="00D227B1" w:rsidRDefault="00A34638" w:rsidP="009A78CA">
      <w:r w:rsidRPr="00706042">
        <w:lastRenderedPageBreak/>
        <w:t>Neste trabalho, opt</w:t>
      </w:r>
      <w:r w:rsidR="00404692" w:rsidRPr="00706042">
        <w:t>a</w:t>
      </w:r>
      <w:r w:rsidRPr="00706042">
        <w:t xml:space="preserve">-se </w:t>
      </w:r>
      <w:r w:rsidR="00457008">
        <w:t>pela abordagem microeconométrica</w:t>
      </w:r>
      <w:r w:rsidR="00457008">
        <w:rPr>
          <w:rStyle w:val="Refdenotaderodap"/>
        </w:rPr>
        <w:footnoteReference w:id="6"/>
      </w:r>
      <w:r w:rsidR="00457008">
        <w:t xml:space="preserve"> e </w:t>
      </w:r>
      <w:r w:rsidRPr="00706042">
        <w:t xml:space="preserve">pelo uso </w:t>
      </w:r>
      <w:r w:rsidR="00000AFD" w:rsidRPr="00706042">
        <w:t xml:space="preserve">do método de </w:t>
      </w:r>
      <w:r w:rsidRPr="00706042">
        <w:t>dados</w:t>
      </w:r>
      <w:r w:rsidR="00000AFD" w:rsidRPr="00706042">
        <w:t xml:space="preserve"> em painel</w:t>
      </w:r>
      <w:r w:rsidR="000265AB">
        <w:rPr>
          <w:rStyle w:val="Refdenotaderodap"/>
        </w:rPr>
        <w:footnoteReference w:id="7"/>
      </w:r>
      <w:r w:rsidR="00000AFD" w:rsidRPr="00706042">
        <w:t xml:space="preserve"> uma vez que, por ser uma combinação de séries temporais e de observações em corte transversal, possui </w:t>
      </w:r>
      <w:r w:rsidR="008D2D09">
        <w:t>algumas</w:t>
      </w:r>
      <w:r w:rsidR="00000AFD" w:rsidRPr="00706042">
        <w:t xml:space="preserve"> vantagens</w:t>
      </w:r>
      <w:r w:rsidR="00F73FE3" w:rsidRPr="00706042">
        <w:t xml:space="preserve"> em relação ao uso de séries de tempo ou de </w:t>
      </w:r>
      <w:r w:rsidR="00F73FE3" w:rsidRPr="00706042">
        <w:rPr>
          <w:i/>
        </w:rPr>
        <w:t xml:space="preserve">cross section </w:t>
      </w:r>
      <w:r w:rsidR="00F73FE3" w:rsidRPr="00706042">
        <w:t>individualmente</w:t>
      </w:r>
      <w:r w:rsidR="00000AFD" w:rsidRPr="00706042">
        <w:t xml:space="preserve">. Uma delas é o </w:t>
      </w:r>
      <w:r w:rsidR="00BD791F" w:rsidRPr="00706042">
        <w:t xml:space="preserve">maior </w:t>
      </w:r>
      <w:r w:rsidR="00000AFD" w:rsidRPr="00706042">
        <w:t xml:space="preserve">número de observações </w:t>
      </w:r>
      <w:r w:rsidR="00BD791F" w:rsidRPr="00706042">
        <w:t>existentes, aumentando o</w:t>
      </w:r>
      <w:r w:rsidR="008D2D09">
        <w:t>s</w:t>
      </w:r>
      <w:r w:rsidR="00BD791F" w:rsidRPr="00706042">
        <w:t xml:space="preserve"> grau</w:t>
      </w:r>
      <w:r w:rsidR="008D2D09">
        <w:t>s</w:t>
      </w:r>
      <w:r w:rsidR="00BD791F" w:rsidRPr="00706042">
        <w:t xml:space="preserve"> de liberdade e a quantidade de </w:t>
      </w:r>
      <w:r w:rsidR="00000AFD" w:rsidRPr="00706042">
        <w:t xml:space="preserve">informação </w:t>
      </w:r>
      <w:r w:rsidR="00BD791F" w:rsidRPr="00706042">
        <w:t>para a investigação do fenômeno em estudo</w:t>
      </w:r>
      <w:r w:rsidR="00000AFD" w:rsidRPr="00706042">
        <w:t xml:space="preserve">. </w:t>
      </w:r>
      <w:r w:rsidR="00B10474" w:rsidRPr="00706042">
        <w:t>Pode também fornecer um meio de resolver o problema econométrico da presença de variáveis omitidas (não observadas ou não medidas) que podem estar correlacionadas</w:t>
      </w:r>
      <w:r w:rsidR="00D227B1" w:rsidRPr="00706042">
        <w:t xml:space="preserve"> com as variáveis explicativas.</w:t>
      </w:r>
    </w:p>
    <w:p w:rsidR="00FC656A" w:rsidRDefault="008D2D09" w:rsidP="009A78CA">
      <w:r>
        <w:t xml:space="preserve">Além da metodologia de dados em painel, o estudo também faz uso de modelos de equações simultâneas lineares. Esses modelos são definidos como aqueles nos </w:t>
      </w:r>
      <w:bookmarkEnd w:id="14"/>
      <w:bookmarkEnd w:id="15"/>
      <w:r w:rsidR="003D2BE3" w:rsidRPr="00706042">
        <w:t xml:space="preserve">quais </w:t>
      </w:r>
      <w:r w:rsidR="001A5542" w:rsidRPr="00706042">
        <w:t>duas ou mais variáveis são determinadas conjuntamente por um sistema de equações</w:t>
      </w:r>
      <w:r w:rsidR="004307B2" w:rsidRPr="00706042">
        <w:t xml:space="preserve"> (</w:t>
      </w:r>
      <w:r w:rsidR="004307B2" w:rsidRPr="00706042">
        <w:rPr>
          <w:i/>
        </w:rPr>
        <w:t>Simultaneous Equations Models</w:t>
      </w:r>
      <w:r w:rsidR="00CA1F83" w:rsidRPr="00706042">
        <w:t xml:space="preserve"> ou SEM</w:t>
      </w:r>
      <w:r w:rsidR="004307B2" w:rsidRPr="00706042">
        <w:t>)</w:t>
      </w:r>
      <w:r w:rsidR="00AA548D" w:rsidRPr="00706042">
        <w:t xml:space="preserve">. </w:t>
      </w:r>
    </w:p>
    <w:p w:rsidR="001A5542" w:rsidRPr="00706042" w:rsidRDefault="001A5542" w:rsidP="009A78CA">
      <w:r w:rsidRPr="00706042">
        <w:t xml:space="preserve">Para aplicação </w:t>
      </w:r>
      <w:r w:rsidR="004307B2" w:rsidRPr="00706042">
        <w:t>efetiva de um SEM</w:t>
      </w:r>
      <w:r w:rsidRPr="00706042">
        <w:t xml:space="preserve">, </w:t>
      </w:r>
      <w:r w:rsidR="007F1F90" w:rsidRPr="00706042">
        <w:t xml:space="preserve">é preciso </w:t>
      </w:r>
      <w:r w:rsidRPr="00706042">
        <w:t xml:space="preserve">compreender </w:t>
      </w:r>
      <w:r w:rsidR="007F1F90" w:rsidRPr="00706042">
        <w:t xml:space="preserve">melhor suas características e </w:t>
      </w:r>
      <w:r w:rsidRPr="00706042">
        <w:t xml:space="preserve">os tipos de situações adequadas para </w:t>
      </w:r>
      <w:r w:rsidR="004307B2" w:rsidRPr="00706042">
        <w:t>sua análise</w:t>
      </w:r>
      <w:r w:rsidRPr="00706042">
        <w:t xml:space="preserve">. Quando uma equação em um SEM </w:t>
      </w:r>
      <w:r w:rsidR="007F1F90" w:rsidRPr="00706042">
        <w:t>possui</w:t>
      </w:r>
      <w:r w:rsidRPr="00706042">
        <w:t xml:space="preserve"> significado </w:t>
      </w:r>
      <w:r w:rsidR="007F1F90" w:rsidRPr="00706042">
        <w:t>econômico</w:t>
      </w:r>
      <w:r w:rsidRPr="00706042">
        <w:t xml:space="preserve"> </w:t>
      </w:r>
      <w:r w:rsidR="007F1F90" w:rsidRPr="00706042">
        <w:t xml:space="preserve">independente </w:t>
      </w:r>
      <w:r w:rsidRPr="00706042">
        <w:t>d</w:t>
      </w:r>
      <w:r w:rsidR="007F1F90" w:rsidRPr="00706042">
        <w:t>as</w:t>
      </w:r>
      <w:r w:rsidRPr="00706042">
        <w:t xml:space="preserve"> outras equações do sistema, </w:t>
      </w:r>
      <w:r w:rsidR="007F1F90" w:rsidRPr="00706042">
        <w:t xml:space="preserve">diz-se </w:t>
      </w:r>
      <w:r w:rsidRPr="00706042">
        <w:t xml:space="preserve">que a equação é </w:t>
      </w:r>
      <w:r w:rsidR="007F1F90" w:rsidRPr="00706042">
        <w:t>autônoma</w:t>
      </w:r>
      <w:r w:rsidRPr="00706042">
        <w:t>.</w:t>
      </w:r>
      <w:r w:rsidR="007F1F90" w:rsidRPr="00706042">
        <w:t xml:space="preserve"> A exigência de autonomia </w:t>
      </w:r>
      <w:r w:rsidRPr="00706042">
        <w:t>está estreitamente vinculada à</w:t>
      </w:r>
      <w:r w:rsidR="007F1F90" w:rsidRPr="00706042">
        <w:t xml:space="preserve"> causalidade</w:t>
      </w:r>
      <w:r w:rsidRPr="00706042">
        <w:t>. Uma equação em um SEM</w:t>
      </w:r>
      <w:r w:rsidR="007F1F90" w:rsidRPr="00706042">
        <w:t xml:space="preserve"> verdadeiro </w:t>
      </w:r>
      <w:r w:rsidRPr="00706042">
        <w:t>deve represent</w:t>
      </w:r>
      <w:r w:rsidR="007F1F90" w:rsidRPr="00706042">
        <w:t xml:space="preserve">ar necessariamente </w:t>
      </w:r>
      <w:r w:rsidRPr="00706042">
        <w:t>uma relação causal</w:t>
      </w:r>
      <w:r w:rsidR="00BF4EA6" w:rsidRPr="00706042">
        <w:t xml:space="preserve"> e, </w:t>
      </w:r>
      <w:r w:rsidRPr="00706042">
        <w:t xml:space="preserve">por conseguinte, </w:t>
      </w:r>
      <w:r w:rsidR="00BF4EA6" w:rsidRPr="00706042">
        <w:t>há interesse</w:t>
      </w:r>
      <w:r w:rsidRPr="00706042">
        <w:t xml:space="preserve"> em </w:t>
      </w:r>
      <w:r w:rsidR="00BF4EA6" w:rsidRPr="00706042">
        <w:t>variar</w:t>
      </w:r>
      <w:r w:rsidRPr="00706042">
        <w:t xml:space="preserve"> cada uma das variáveis explicativas </w:t>
      </w:r>
      <w:r w:rsidR="00BF4EA6" w:rsidRPr="00706042">
        <w:t>(</w:t>
      </w:r>
      <w:r w:rsidRPr="00706042">
        <w:t>incluin</w:t>
      </w:r>
      <w:r w:rsidR="00BF4EA6" w:rsidRPr="00706042">
        <w:t xml:space="preserve">do quaisquer que </w:t>
      </w:r>
      <w:r w:rsidR="005F4A19" w:rsidRPr="00706042">
        <w:t>sejam endógen</w:t>
      </w:r>
      <w:r w:rsidR="00AA548D" w:rsidRPr="00706042">
        <w:t>a</w:t>
      </w:r>
      <w:r w:rsidR="005F4A19" w:rsidRPr="00706042">
        <w:t>s</w:t>
      </w:r>
      <w:r w:rsidR="00BF4EA6" w:rsidRPr="00706042">
        <w:t>)</w:t>
      </w:r>
      <w:r w:rsidRPr="00706042">
        <w:t xml:space="preserve"> mantendo </w:t>
      </w:r>
      <w:r w:rsidR="00BF4EA6" w:rsidRPr="00706042">
        <w:t xml:space="preserve">fixas </w:t>
      </w:r>
      <w:r w:rsidRPr="00706042">
        <w:t>tod</w:t>
      </w:r>
      <w:r w:rsidR="00BF4EA6" w:rsidRPr="00706042">
        <w:t>a</w:t>
      </w:r>
      <w:r w:rsidRPr="00706042">
        <w:t xml:space="preserve">s </w:t>
      </w:r>
      <w:r w:rsidR="00BF4EA6" w:rsidRPr="00706042">
        <w:t>as demais</w:t>
      </w:r>
      <w:r w:rsidRPr="00706042">
        <w:t>.</w:t>
      </w:r>
    </w:p>
    <w:p w:rsidR="00006E9F" w:rsidRDefault="0010796F" w:rsidP="009A78CA">
      <w:r w:rsidRPr="00706042">
        <w:t xml:space="preserve">Segundo Cameron e Trivedi (2005), o </w:t>
      </w:r>
      <w:r w:rsidR="000B4292" w:rsidRPr="00706042">
        <w:t>modelo de equações simultâneas lineares espec</w:t>
      </w:r>
      <w:r w:rsidR="00DD0D48" w:rsidRPr="00706042">
        <w:t>i</w:t>
      </w:r>
      <w:r w:rsidR="000B4292" w:rsidRPr="00706042">
        <w:t>fica a g-ésima</w:t>
      </w:r>
      <w:r w:rsidR="00D32AB4" w:rsidRPr="00706042">
        <w:t xml:space="preserve"> </w:t>
      </w:r>
      <w:r w:rsidR="000B4292" w:rsidRPr="00706042">
        <w:t xml:space="preserve">dentre G equações para o i-ésimo </w:t>
      </w:r>
      <w:r w:rsidR="00A4248A" w:rsidRPr="00706042">
        <w:t xml:space="preserve">dos N </w:t>
      </w:r>
      <w:r w:rsidR="00006E9F" w:rsidRPr="00706042">
        <w:t>indivíduos, de acordo com a seguinte equação:</w:t>
      </w:r>
    </w:p>
    <w:p w:rsidR="008D2D09" w:rsidRDefault="00EA216D" w:rsidP="008D2D09">
      <w:pPr>
        <w:pStyle w:val="Frmula"/>
      </w:pPr>
      <w:r w:rsidRPr="00EA216D">
        <w:rPr>
          <w:position w:val="-14"/>
        </w:rPr>
        <w:object w:dxaOrig="35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20.15pt" o:ole="">
            <v:imagedata r:id="rId14" o:title=""/>
          </v:shape>
          <o:OLEObject Type="Embed" ProgID="Equation.3" ShapeID="_x0000_i1025" DrawAspect="Content" ObjectID="_1340777086" r:id="rId15"/>
        </w:object>
      </w:r>
      <w:r w:rsidR="00A60D88" w:rsidRPr="00706042">
        <w:t>,</w:t>
      </w:r>
      <w:r w:rsidR="00C47004" w:rsidRPr="00706042">
        <w:tab/>
      </w:r>
      <w:r w:rsidR="00C47004" w:rsidRPr="00706042">
        <w:tab/>
      </w:r>
      <w:r w:rsidR="00C47004" w:rsidRPr="00706042">
        <w:tab/>
      </w:r>
      <w:r w:rsidR="007D4E92">
        <w:tab/>
      </w:r>
      <w:r>
        <w:tab/>
      </w:r>
      <w:r w:rsidR="00B328BE">
        <w:tab/>
      </w:r>
      <w:r w:rsidR="00C47004" w:rsidRPr="00706042">
        <w:tab/>
      </w:r>
      <w:r w:rsidR="008D2D09" w:rsidRPr="00706042">
        <w:t>(4.1)</w:t>
      </w:r>
    </w:p>
    <w:p w:rsidR="00A60D88" w:rsidRDefault="00D32AB4" w:rsidP="008D2D09">
      <w:pPr>
        <w:pStyle w:val="Frmula"/>
        <w:ind w:firstLine="450"/>
        <w:jc w:val="both"/>
      </w:pPr>
      <w:r w:rsidRPr="00706042">
        <w:t xml:space="preserve">onde </w:t>
      </w:r>
      <w:r w:rsidRPr="00706042">
        <w:rPr>
          <w:position w:val="-14"/>
        </w:rPr>
        <w:object w:dxaOrig="320" w:dyaOrig="380">
          <v:shape id="_x0000_i1026" type="#_x0000_t75" style="width:16.15pt;height:20.15pt" o:ole="">
            <v:imagedata r:id="rId16" o:title=""/>
          </v:shape>
          <o:OLEObject Type="Embed" ProgID="Equation.3" ShapeID="_x0000_i1026" DrawAspect="Content" ObjectID="_1340777087" r:id="rId17"/>
        </w:object>
      </w:r>
      <w:r w:rsidRPr="00706042">
        <w:t xml:space="preserve"> é a matriz das variáveis explicadas,</w:t>
      </w:r>
      <w:r w:rsidR="00C47004" w:rsidRPr="00706042">
        <w:t xml:space="preserve"> </w:t>
      </w:r>
      <w:r w:rsidR="00C47004" w:rsidRPr="00706042">
        <w:rPr>
          <w:position w:val="-14"/>
        </w:rPr>
        <w:object w:dxaOrig="279" w:dyaOrig="380">
          <v:shape id="_x0000_i1027" type="#_x0000_t75" style="width:15pt;height:20.15pt" o:ole="">
            <v:imagedata r:id="rId18" o:title=""/>
          </v:shape>
          <o:OLEObject Type="Embed" ProgID="Equation.3" ShapeID="_x0000_i1027" DrawAspect="Content" ObjectID="_1340777088" r:id="rId19"/>
        </w:object>
      </w:r>
      <w:r w:rsidR="00C47004" w:rsidRPr="00706042">
        <w:t xml:space="preserve"> </w:t>
      </w:r>
      <w:r w:rsidR="000B4292" w:rsidRPr="00706042">
        <w:t xml:space="preserve">é um vetor de </w:t>
      </w:r>
      <w:r w:rsidR="00C47004" w:rsidRPr="00706042">
        <w:t xml:space="preserve">regressores </w:t>
      </w:r>
      <w:r w:rsidR="000B4292" w:rsidRPr="00706042">
        <w:t>exógenos</w:t>
      </w:r>
      <w:r w:rsidR="008D2D09">
        <w:t xml:space="preserve"> </w:t>
      </w:r>
      <w:r w:rsidRPr="00706042">
        <w:t>(</w:t>
      </w:r>
      <w:r w:rsidR="000B4292" w:rsidRPr="00706042">
        <w:t xml:space="preserve">que são considerados </w:t>
      </w:r>
      <w:r w:rsidR="00C47004" w:rsidRPr="00706042">
        <w:t>não-correlacionados</w:t>
      </w:r>
      <w:r w:rsidR="000B4292" w:rsidRPr="00706042">
        <w:t xml:space="preserve"> com o </w:t>
      </w:r>
      <w:r w:rsidR="00C47004" w:rsidRPr="00706042">
        <w:t xml:space="preserve">termo de </w:t>
      </w:r>
      <w:r w:rsidR="000B4292" w:rsidRPr="00706042">
        <w:t xml:space="preserve">erro </w:t>
      </w:r>
      <w:r w:rsidR="00251999" w:rsidRPr="00706042">
        <w:rPr>
          <w:position w:val="-14"/>
        </w:rPr>
        <w:object w:dxaOrig="279" w:dyaOrig="380">
          <v:shape id="_x0000_i1028" type="#_x0000_t75" style="width:15pt;height:20.15pt" o:ole="">
            <v:imagedata r:id="rId20" o:title=""/>
          </v:shape>
          <o:OLEObject Type="Embed" ProgID="Equation.3" ShapeID="_x0000_i1028" DrawAspect="Content" ObjectID="_1340777089" r:id="rId21"/>
        </w:object>
      </w:r>
      <w:r w:rsidRPr="00706042">
        <w:t>)</w:t>
      </w:r>
      <w:r w:rsidR="00C47004" w:rsidRPr="00706042">
        <w:t xml:space="preserve"> </w:t>
      </w:r>
      <w:r w:rsidR="000B4292" w:rsidRPr="00706042">
        <w:t xml:space="preserve">e </w:t>
      </w:r>
      <w:r w:rsidR="00251999" w:rsidRPr="00706042">
        <w:rPr>
          <w:position w:val="-14"/>
        </w:rPr>
        <w:object w:dxaOrig="279" w:dyaOrig="380">
          <v:shape id="_x0000_i1029" type="#_x0000_t75" style="width:15pt;height:20.15pt" o:ole="">
            <v:imagedata r:id="rId22" o:title=""/>
          </v:shape>
          <o:OLEObject Type="Embed" ProgID="Equation.3" ShapeID="_x0000_i1029" DrawAspect="Content" ObjectID="_1340777090" r:id="rId23"/>
        </w:object>
      </w:r>
      <w:r w:rsidR="000B4292" w:rsidRPr="00706042">
        <w:t>é um vetor que contém um subconjunto d</w:t>
      </w:r>
      <w:r w:rsidR="00251999" w:rsidRPr="00706042">
        <w:t xml:space="preserve">as </w:t>
      </w:r>
      <w:r w:rsidR="000B4292" w:rsidRPr="00706042">
        <w:t>variáveis dependentes</w:t>
      </w:r>
      <w:r w:rsidR="00251999" w:rsidRPr="00706042">
        <w:t xml:space="preserve"> </w:t>
      </w:r>
      <w:r w:rsidR="00251999" w:rsidRPr="00706042">
        <w:rPr>
          <w:position w:val="-14"/>
        </w:rPr>
        <w:object w:dxaOrig="2000" w:dyaOrig="380">
          <v:shape id="_x0000_i1030" type="#_x0000_t75" style="width:99.65pt;height:20.15pt" o:ole="">
            <v:imagedata r:id="rId24" o:title=""/>
          </v:shape>
          <o:OLEObject Type="Embed" ProgID="Equation.3" ShapeID="_x0000_i1030" DrawAspect="Content" ObjectID="_1340777091" r:id="rId25"/>
        </w:object>
      </w:r>
      <w:r w:rsidR="000B4292" w:rsidRPr="00706042">
        <w:t xml:space="preserve"> </w:t>
      </w:r>
      <w:r w:rsidR="00251999" w:rsidRPr="00706042">
        <w:t xml:space="preserve">das outras </w:t>
      </w:r>
      <w:r w:rsidR="00251999" w:rsidRPr="00706042">
        <w:rPr>
          <w:position w:val="-6"/>
        </w:rPr>
        <w:object w:dxaOrig="540" w:dyaOrig="279">
          <v:shape id="_x0000_i1031" type="#_x0000_t75" style="width:27.05pt;height:15pt" o:ole="">
            <v:imagedata r:id="rId26" o:title=""/>
          </v:shape>
          <o:OLEObject Type="Embed" ProgID="Equation.3" ShapeID="_x0000_i1031" DrawAspect="Content" ObjectID="_1340777092" r:id="rId27"/>
        </w:object>
      </w:r>
      <w:r w:rsidR="000B4292" w:rsidRPr="00706042">
        <w:t xml:space="preserve"> equações. </w:t>
      </w:r>
      <w:r w:rsidR="00251999" w:rsidRPr="00706042">
        <w:t xml:space="preserve">O termo </w:t>
      </w:r>
      <w:r w:rsidR="00251999" w:rsidRPr="00706042">
        <w:rPr>
          <w:position w:val="-14"/>
        </w:rPr>
        <w:object w:dxaOrig="279" w:dyaOrig="380">
          <v:shape id="_x0000_i1032" type="#_x0000_t75" style="width:15pt;height:20.15pt" o:ole="">
            <v:imagedata r:id="rId22" o:title=""/>
          </v:shape>
          <o:OLEObject Type="Embed" ProgID="Equation.3" ShapeID="_x0000_i1032" DrawAspect="Content" ObjectID="_1340777093" r:id="rId28"/>
        </w:object>
      </w:r>
      <w:r w:rsidR="00251999" w:rsidRPr="00706042">
        <w:t xml:space="preserve"> </w:t>
      </w:r>
      <w:r w:rsidR="000B4292" w:rsidRPr="00706042">
        <w:t xml:space="preserve">é </w:t>
      </w:r>
      <w:r w:rsidR="00251999" w:rsidRPr="00706042">
        <w:t xml:space="preserve">uma variável </w:t>
      </w:r>
      <w:r w:rsidR="000B4292" w:rsidRPr="00706042">
        <w:t xml:space="preserve">endógena, </w:t>
      </w:r>
      <w:r w:rsidR="00251999" w:rsidRPr="00706042">
        <w:t xml:space="preserve">uma vez que </w:t>
      </w:r>
      <w:r w:rsidR="000B4292" w:rsidRPr="00706042">
        <w:t>está corr</w:t>
      </w:r>
      <w:r w:rsidR="00A60D88" w:rsidRPr="00706042">
        <w:t>elacionado com erros de modelo. De forma semelhante, o</w:t>
      </w:r>
      <w:r w:rsidR="000B4292" w:rsidRPr="00706042">
        <w:t xml:space="preserve"> modelo para o i-ésimo </w:t>
      </w:r>
      <w:r w:rsidR="00A60D88" w:rsidRPr="00706042">
        <w:t>indivíduo pode ser escrito como:</w:t>
      </w:r>
    </w:p>
    <w:p w:rsidR="00A60D88" w:rsidRPr="00706042" w:rsidRDefault="00EA216D" w:rsidP="009A78CA">
      <w:pPr>
        <w:pStyle w:val="Frmula"/>
      </w:pPr>
      <w:r w:rsidRPr="00EA216D">
        <w:rPr>
          <w:position w:val="-14"/>
        </w:rPr>
        <w:object w:dxaOrig="1420" w:dyaOrig="380">
          <v:shape id="_x0000_i1033" type="#_x0000_t75" style="width:71.4pt;height:20.15pt" o:ole="">
            <v:imagedata r:id="rId29" o:title=""/>
          </v:shape>
          <o:OLEObject Type="Embed" ProgID="Equation.3" ShapeID="_x0000_i1033" DrawAspect="Content" ObjectID="_1340777094" r:id="rId30"/>
        </w:object>
      </w:r>
      <w:r w:rsidR="00A60D88" w:rsidRPr="00706042">
        <w:t xml:space="preserve">, </w:t>
      </w:r>
      <w:r w:rsidR="00A60D88" w:rsidRPr="00706042">
        <w:tab/>
      </w:r>
      <w:r w:rsidR="00A60D88" w:rsidRPr="00706042">
        <w:tab/>
      </w:r>
      <w:r w:rsidR="00A60D88" w:rsidRPr="00706042">
        <w:tab/>
      </w:r>
      <w:r w:rsidR="00A60D88" w:rsidRPr="00706042">
        <w:tab/>
      </w:r>
      <w:r w:rsidR="00A60D88" w:rsidRPr="00706042">
        <w:tab/>
      </w:r>
      <w:r w:rsidR="00A60D88" w:rsidRPr="00706042">
        <w:tab/>
      </w:r>
      <w:r w:rsidR="007D4E92">
        <w:tab/>
      </w:r>
      <w:r w:rsidR="00B328BE">
        <w:tab/>
      </w:r>
      <w:r w:rsidR="00A60D88" w:rsidRPr="00706042">
        <w:tab/>
      </w:r>
      <w:r w:rsidR="00A60D88" w:rsidRPr="00706042">
        <w:tab/>
        <w:t>(</w:t>
      </w:r>
      <w:r w:rsidR="00603AA2" w:rsidRPr="00706042">
        <w:t>4</w:t>
      </w:r>
      <w:r w:rsidR="00A60D88" w:rsidRPr="00706042">
        <w:t>.</w:t>
      </w:r>
      <w:r w:rsidR="008D2D09">
        <w:t>2</w:t>
      </w:r>
      <w:r w:rsidR="00A60D88" w:rsidRPr="00706042">
        <w:t>)</w:t>
      </w:r>
    </w:p>
    <w:p w:rsidR="000B4292" w:rsidRPr="00706042" w:rsidRDefault="000B4292" w:rsidP="009A78CA">
      <w:r w:rsidRPr="00706042">
        <w:t xml:space="preserve">onde </w:t>
      </w:r>
      <w:r w:rsidR="007C0A04" w:rsidRPr="00706042">
        <w:rPr>
          <w:position w:val="-12"/>
        </w:rPr>
        <w:object w:dxaOrig="1400" w:dyaOrig="460">
          <v:shape id="_x0000_i1034" type="#_x0000_t75" style="width:70.85pt;height:23.05pt" o:ole="">
            <v:imagedata r:id="rId31" o:title=""/>
          </v:shape>
          <o:OLEObject Type="Embed" ProgID="Equation.3" ShapeID="_x0000_i1034" DrawAspect="Content" ObjectID="_1340777095" r:id="rId32"/>
        </w:object>
      </w:r>
      <w:r w:rsidR="00A60D88" w:rsidRPr="00706042">
        <w:t xml:space="preserve"> </w:t>
      </w:r>
      <w:r w:rsidRPr="00706042">
        <w:t xml:space="preserve">é um vetor </w:t>
      </w:r>
      <w:r w:rsidR="002D598B" w:rsidRPr="00706042">
        <w:t xml:space="preserve">de variáveis endógenas </w:t>
      </w:r>
      <w:r w:rsidR="00F83995" w:rsidRPr="00706042">
        <w:t xml:space="preserve">com dimensão </w:t>
      </w:r>
      <w:r w:rsidR="00F83995" w:rsidRPr="00706042">
        <w:rPr>
          <w:position w:val="-6"/>
        </w:rPr>
        <w:object w:dxaOrig="520" w:dyaOrig="279">
          <v:shape id="_x0000_i1035" type="#_x0000_t75" style="width:25.9pt;height:15pt" o:ole="">
            <v:imagedata r:id="rId33" o:title=""/>
          </v:shape>
          <o:OLEObject Type="Embed" ProgID="Equation.3" ShapeID="_x0000_i1035" DrawAspect="Content" ObjectID="_1340777096" r:id="rId34"/>
        </w:object>
      </w:r>
      <w:r w:rsidRPr="00706042">
        <w:t xml:space="preserve">, </w:t>
      </w:r>
      <w:r w:rsidR="00F83995" w:rsidRPr="00706042">
        <w:rPr>
          <w:position w:val="-12"/>
        </w:rPr>
        <w:object w:dxaOrig="1340" w:dyaOrig="460">
          <v:shape id="_x0000_i1036" type="#_x0000_t75" style="width:68.55pt;height:23.05pt" o:ole="">
            <v:imagedata r:id="rId35" o:title=""/>
          </v:shape>
          <o:OLEObject Type="Embed" ProgID="Equation.3" ShapeID="_x0000_i1036" DrawAspect="Content" ObjectID="_1340777097" r:id="rId36"/>
        </w:object>
      </w:r>
      <w:r w:rsidR="002D598B" w:rsidRPr="00706042">
        <w:t xml:space="preserve"> é um vetor </w:t>
      </w:r>
      <w:r w:rsidR="007C0A04" w:rsidRPr="00706042">
        <w:rPr>
          <w:position w:val="-4"/>
        </w:rPr>
        <w:object w:dxaOrig="440" w:dyaOrig="260">
          <v:shape id="_x0000_i1037" type="#_x0000_t75" style="width:20.15pt;height:12.65pt" o:ole="">
            <v:imagedata r:id="rId37" o:title=""/>
          </v:shape>
          <o:OLEObject Type="Embed" ProgID="Equation.3" ShapeID="_x0000_i1037" DrawAspect="Content" ObjectID="_1340777098" r:id="rId38"/>
        </w:object>
      </w:r>
      <w:r w:rsidR="002D598B" w:rsidRPr="00706042">
        <w:t xml:space="preserve"> de </w:t>
      </w:r>
      <w:r w:rsidRPr="00706042">
        <w:t xml:space="preserve">variáveis exógenos, </w:t>
      </w:r>
      <w:r w:rsidR="007C0A04" w:rsidRPr="00706042">
        <w:rPr>
          <w:position w:val="-12"/>
        </w:rPr>
        <w:object w:dxaOrig="1359" w:dyaOrig="460">
          <v:shape id="_x0000_i1038" type="#_x0000_t75" style="width:67.95pt;height:23.05pt" o:ole="">
            <v:imagedata r:id="rId39" o:title=""/>
          </v:shape>
          <o:OLEObject Type="Embed" ProgID="Equation.3" ShapeID="_x0000_i1038" DrawAspect="Content" ObjectID="_1340777099" r:id="rId40"/>
        </w:object>
      </w:r>
      <w:r w:rsidR="00F83995" w:rsidRPr="00706042">
        <w:t xml:space="preserve"> </w:t>
      </w:r>
      <w:r w:rsidRPr="00706042">
        <w:t>é um vetor de erro de</w:t>
      </w:r>
      <w:r w:rsidR="007C0A04" w:rsidRPr="00706042">
        <w:t xml:space="preserve"> </w:t>
      </w:r>
      <w:r w:rsidR="007C0A04" w:rsidRPr="00706042">
        <w:rPr>
          <w:position w:val="-6"/>
        </w:rPr>
        <w:object w:dxaOrig="520" w:dyaOrig="279">
          <v:shape id="_x0000_i1039" type="#_x0000_t75" style="width:25.9pt;height:15pt" o:ole="">
            <v:imagedata r:id="rId41" o:title=""/>
          </v:shape>
          <o:OLEObject Type="Embed" ProgID="Equation.3" ShapeID="_x0000_i1039" DrawAspect="Content" ObjectID="_1340777100" r:id="rId42"/>
        </w:object>
      </w:r>
      <w:r w:rsidRPr="00706042">
        <w:t xml:space="preserve">, </w:t>
      </w:r>
      <w:r w:rsidR="00FA10AC" w:rsidRPr="00706042">
        <w:rPr>
          <w:position w:val="-4"/>
        </w:rPr>
        <w:object w:dxaOrig="240" w:dyaOrig="240">
          <v:shape id="_x0000_i1040" type="#_x0000_t75" style="width:12.65pt;height:12.65pt" o:ole="">
            <v:imagedata r:id="rId43" o:title=""/>
          </v:shape>
          <o:OLEObject Type="Embed" ProgID="Equation.3" ShapeID="_x0000_i1040" DrawAspect="Content" ObjectID="_1340777101" r:id="rId44"/>
        </w:object>
      </w:r>
      <w:r w:rsidRPr="00706042">
        <w:t xml:space="preserve"> é uma matriz </w:t>
      </w:r>
      <w:r w:rsidR="007C0A04" w:rsidRPr="00706042">
        <w:rPr>
          <w:position w:val="-6"/>
        </w:rPr>
        <w:object w:dxaOrig="620" w:dyaOrig="279">
          <v:shape id="_x0000_i1041" type="#_x0000_t75" style="width:30.55pt;height:15pt" o:ole="">
            <v:imagedata r:id="rId45" o:title=""/>
          </v:shape>
          <o:OLEObject Type="Embed" ProgID="Equation.3" ShapeID="_x0000_i1041" DrawAspect="Content" ObjectID="_1340777102" r:id="rId46"/>
        </w:object>
      </w:r>
      <w:r w:rsidR="007C0A04" w:rsidRPr="00706042">
        <w:t xml:space="preserve"> </w:t>
      </w:r>
      <w:r w:rsidRPr="00706042">
        <w:t>de parâmetro</w:t>
      </w:r>
      <w:r w:rsidR="007C0A04" w:rsidRPr="00706042">
        <w:t>s</w:t>
      </w:r>
      <w:r w:rsidRPr="00706042">
        <w:t xml:space="preserve"> com </w:t>
      </w:r>
      <w:r w:rsidR="007C0A04" w:rsidRPr="00706042">
        <w:t xml:space="preserve">valores unitários na </w:t>
      </w:r>
      <w:r w:rsidRPr="00706042">
        <w:t>diagonal</w:t>
      </w:r>
      <w:r w:rsidR="007C0A04" w:rsidRPr="00706042">
        <w:t xml:space="preserve"> principal</w:t>
      </w:r>
      <w:r w:rsidRPr="00706042">
        <w:t xml:space="preserve">, </w:t>
      </w:r>
      <w:r w:rsidR="00B2342D" w:rsidRPr="00706042">
        <w:rPr>
          <w:position w:val="-4"/>
        </w:rPr>
        <w:object w:dxaOrig="220" w:dyaOrig="240">
          <v:shape id="_x0000_i1042" type="#_x0000_t75" style="width:10.35pt;height:12.65pt" o:ole="">
            <v:imagedata r:id="rId47" o:title=""/>
          </v:shape>
          <o:OLEObject Type="Embed" ProgID="Equation.3" ShapeID="_x0000_i1042" DrawAspect="Content" ObjectID="_1340777103" r:id="rId48"/>
        </w:object>
      </w:r>
      <w:r w:rsidR="007C0A04" w:rsidRPr="00706042">
        <w:t xml:space="preserve"> </w:t>
      </w:r>
      <w:r w:rsidRPr="00706042">
        <w:t xml:space="preserve">é uma matriz </w:t>
      </w:r>
      <w:r w:rsidR="00336CB4" w:rsidRPr="00706042">
        <w:rPr>
          <w:position w:val="-6"/>
        </w:rPr>
        <w:object w:dxaOrig="540" w:dyaOrig="279">
          <v:shape id="_x0000_i1043" type="#_x0000_t75" style="width:27.05pt;height:15pt" o:ole="">
            <v:imagedata r:id="rId49" o:title=""/>
          </v:shape>
          <o:OLEObject Type="Embed" ProgID="Equation.3" ShapeID="_x0000_i1043" DrawAspect="Content" ObjectID="_1340777104" r:id="rId50"/>
        </w:object>
      </w:r>
      <w:r w:rsidR="00336CB4" w:rsidRPr="00706042">
        <w:t xml:space="preserve"> </w:t>
      </w:r>
      <w:r w:rsidRPr="00706042">
        <w:t>de parâmetro</w:t>
      </w:r>
      <w:r w:rsidR="00B2342D" w:rsidRPr="00706042">
        <w:t>s</w:t>
      </w:r>
      <w:r w:rsidRPr="00706042">
        <w:t xml:space="preserve">. Assume-se que </w:t>
      </w:r>
      <w:r w:rsidR="00B2342D" w:rsidRPr="00706042">
        <w:t xml:space="preserve">o termo </w:t>
      </w:r>
      <w:r w:rsidR="00AC7996" w:rsidRPr="00706042">
        <w:rPr>
          <w:position w:val="-12"/>
        </w:rPr>
        <w:object w:dxaOrig="240" w:dyaOrig="360">
          <v:shape id="_x0000_i1044" type="#_x0000_t75" style="width:12.65pt;height:17.85pt" o:ole="">
            <v:imagedata r:id="rId51" o:title=""/>
          </v:shape>
          <o:OLEObject Type="Embed" ProgID="Equation.3" ShapeID="_x0000_i1044" DrawAspect="Content" ObjectID="_1340777105" r:id="rId52"/>
        </w:object>
      </w:r>
      <w:r w:rsidR="00B2342D" w:rsidRPr="00706042">
        <w:t xml:space="preserve"> é</w:t>
      </w:r>
      <w:r w:rsidRPr="00706042">
        <w:t xml:space="preserve"> </w:t>
      </w:r>
      <w:r w:rsidR="00AC7996" w:rsidRPr="00706042">
        <w:t xml:space="preserve">independente e identicamente distribuído (iid) com relação a </w:t>
      </w:r>
      <w:r w:rsidR="00AE2755" w:rsidRPr="00706042">
        <w:rPr>
          <w:position w:val="-6"/>
        </w:rPr>
        <w:object w:dxaOrig="139" w:dyaOrig="260">
          <v:shape id="_x0000_i1045" type="#_x0000_t75" style="width:7.5pt;height:12.65pt" o:ole="">
            <v:imagedata r:id="rId53" o:title=""/>
          </v:shape>
          <o:OLEObject Type="Embed" ProgID="Equation.3" ShapeID="_x0000_i1045" DrawAspect="Content" ObjectID="_1340777106" r:id="rId54"/>
        </w:object>
      </w:r>
      <w:r w:rsidR="00AC7996" w:rsidRPr="00706042">
        <w:t xml:space="preserve"> </w:t>
      </w:r>
      <w:r w:rsidRPr="00706042">
        <w:t xml:space="preserve">com </w:t>
      </w:r>
      <w:r w:rsidR="00AC7996" w:rsidRPr="00706042">
        <w:t xml:space="preserve">média zero e </w:t>
      </w:r>
      <w:r w:rsidR="00AE2755" w:rsidRPr="00706042">
        <w:t xml:space="preserve">matriz de variância igual a </w:t>
      </w:r>
      <w:r w:rsidR="00AE2755" w:rsidRPr="00706042">
        <w:rPr>
          <w:position w:val="-4"/>
        </w:rPr>
        <w:object w:dxaOrig="220" w:dyaOrig="240">
          <v:shape id="_x0000_i1046" type="#_x0000_t75" style="width:10.35pt;height:12.65pt" o:ole="">
            <v:imagedata r:id="rId55" o:title=""/>
          </v:shape>
          <o:OLEObject Type="Embed" ProgID="Equation.3" ShapeID="_x0000_i1046" DrawAspect="Content" ObjectID="_1340777107" r:id="rId56"/>
        </w:object>
      </w:r>
      <w:r w:rsidRPr="00706042">
        <w:t>.</w:t>
      </w:r>
    </w:p>
    <w:p w:rsidR="008E0A34" w:rsidRDefault="00AE2755" w:rsidP="009A78CA">
      <w:r w:rsidRPr="00706042">
        <w:t xml:space="preserve">A equação </w:t>
      </w:r>
      <w:r w:rsidR="000B4292" w:rsidRPr="00706042">
        <w:t>(</w:t>
      </w:r>
      <w:r w:rsidR="00603AA2" w:rsidRPr="00706042">
        <w:t>4</w:t>
      </w:r>
      <w:r w:rsidRPr="00706042">
        <w:t>.</w:t>
      </w:r>
      <w:r w:rsidR="008D2D09">
        <w:t>2</w:t>
      </w:r>
      <w:r w:rsidRPr="00706042">
        <w:t>) é chamada</w:t>
      </w:r>
      <w:r w:rsidR="000B4292" w:rsidRPr="00706042">
        <w:t xml:space="preserve"> </w:t>
      </w:r>
      <w:r w:rsidRPr="00706042">
        <w:t>de</w:t>
      </w:r>
      <w:r w:rsidR="000B4292" w:rsidRPr="00706042">
        <w:t xml:space="preserve"> forma estrutural com </w:t>
      </w:r>
      <w:r w:rsidR="004328C3" w:rsidRPr="00706042">
        <w:t>diversas restrições</w:t>
      </w:r>
      <w:r w:rsidR="000B4292" w:rsidRPr="00706042">
        <w:t xml:space="preserve"> </w:t>
      </w:r>
      <w:r w:rsidR="004328C3" w:rsidRPr="00706042">
        <w:t xml:space="preserve">em relação a </w:t>
      </w:r>
      <w:r w:rsidR="00FA10AC" w:rsidRPr="00706042">
        <w:rPr>
          <w:position w:val="-4"/>
        </w:rPr>
        <w:object w:dxaOrig="240" w:dyaOrig="240">
          <v:shape id="_x0000_i1047" type="#_x0000_t75" style="width:12.65pt;height:12.65pt" o:ole="">
            <v:imagedata r:id="rId57" o:title=""/>
          </v:shape>
          <o:OLEObject Type="Embed" ProgID="Equation.3" ShapeID="_x0000_i1047" DrawAspect="Content" ObjectID="_1340777108" r:id="rId58"/>
        </w:object>
      </w:r>
      <w:r w:rsidR="004328C3" w:rsidRPr="00706042">
        <w:t xml:space="preserve"> e </w:t>
      </w:r>
      <w:r w:rsidR="004328C3" w:rsidRPr="00706042">
        <w:rPr>
          <w:position w:val="-4"/>
        </w:rPr>
        <w:object w:dxaOrig="220" w:dyaOrig="240">
          <v:shape id="_x0000_i1048" type="#_x0000_t75" style="width:10.35pt;height:12.65pt" o:ole="">
            <v:imagedata r:id="rId47" o:title=""/>
          </v:shape>
          <o:OLEObject Type="Embed" ProgID="Equation.3" ShapeID="_x0000_i1048" DrawAspect="Content" ObjectID="_1340777109" r:id="rId59"/>
        </w:object>
      </w:r>
      <w:r w:rsidR="004328C3" w:rsidRPr="00706042">
        <w:t xml:space="preserve"> </w:t>
      </w:r>
      <w:r w:rsidR="000B4292" w:rsidRPr="00706042">
        <w:t xml:space="preserve">correspondentes às </w:t>
      </w:r>
      <w:r w:rsidR="004328C3" w:rsidRPr="00706042">
        <w:t>várias</w:t>
      </w:r>
      <w:r w:rsidR="000B4292" w:rsidRPr="00706042">
        <w:t xml:space="preserve"> estruturas. </w:t>
      </w:r>
      <w:r w:rsidR="008E0A34" w:rsidRPr="00706042">
        <w:t xml:space="preserve">Colocando as </w:t>
      </w:r>
      <w:r w:rsidR="000B4292" w:rsidRPr="00706042">
        <w:t>variáveis endógenas</w:t>
      </w:r>
      <w:r w:rsidR="008E0A34" w:rsidRPr="00706042">
        <w:t xml:space="preserve"> </w:t>
      </w:r>
      <w:r w:rsidR="000B4292" w:rsidRPr="00706042">
        <w:t>como uma função d</w:t>
      </w:r>
      <w:r w:rsidR="008E0A34" w:rsidRPr="00706042">
        <w:t>as variáveis exógen</w:t>
      </w:r>
      <w:r w:rsidR="00DD0D48" w:rsidRPr="00706042">
        <w:t>a</w:t>
      </w:r>
      <w:r w:rsidR="008E0A34" w:rsidRPr="00706042">
        <w:t xml:space="preserve">s retorna-se à </w:t>
      </w:r>
      <w:r w:rsidR="000B4292" w:rsidRPr="00706042">
        <w:t>forma reduzida</w:t>
      </w:r>
      <w:r w:rsidR="008E0A34" w:rsidRPr="00706042">
        <w:t>:</w:t>
      </w:r>
    </w:p>
    <w:p w:rsidR="00C351E8" w:rsidRPr="00706042" w:rsidRDefault="00EA216D" w:rsidP="009A78CA">
      <w:pPr>
        <w:pStyle w:val="Frmula"/>
      </w:pPr>
      <w:r w:rsidRPr="00EA216D">
        <w:rPr>
          <w:position w:val="-12"/>
        </w:rPr>
        <w:object w:dxaOrig="3040" w:dyaOrig="380">
          <v:shape id="_x0000_i1049" type="#_x0000_t75" style="width:150.9pt;height:20.15pt" o:ole="">
            <v:imagedata r:id="rId60" o:title=""/>
          </v:shape>
          <o:OLEObject Type="Embed" ProgID="Equation.3" ShapeID="_x0000_i1049" DrawAspect="Content" ObjectID="_1340777110" r:id="rId61"/>
        </w:object>
      </w:r>
      <w:r w:rsidR="00C351E8" w:rsidRPr="00706042">
        <w:t>,</w:t>
      </w:r>
      <w:r w:rsidR="006E71CC" w:rsidRPr="00706042">
        <w:t xml:space="preserve"> </w:t>
      </w:r>
      <w:r w:rsidR="006E71CC" w:rsidRPr="00706042">
        <w:tab/>
      </w:r>
      <w:r w:rsidR="006E71CC" w:rsidRPr="00706042">
        <w:tab/>
      </w:r>
      <w:r w:rsidR="006E71CC" w:rsidRPr="00706042">
        <w:tab/>
      </w:r>
      <w:r>
        <w:tab/>
      </w:r>
      <w:r w:rsidR="007D4E92">
        <w:tab/>
      </w:r>
      <w:r w:rsidR="00B328BE">
        <w:tab/>
      </w:r>
      <w:r w:rsidR="006E71CC" w:rsidRPr="00706042">
        <w:tab/>
      </w:r>
      <w:r w:rsidR="006E71CC" w:rsidRPr="00706042">
        <w:tab/>
      </w:r>
      <w:r w:rsidR="00656DA6" w:rsidRPr="00706042">
        <w:t>(4.</w:t>
      </w:r>
      <w:r w:rsidR="00656DA6">
        <w:t>3</w:t>
      </w:r>
      <w:r w:rsidR="00656DA6" w:rsidRPr="00706042">
        <w:t>)</w:t>
      </w:r>
    </w:p>
    <w:p w:rsidR="000B4292" w:rsidRPr="00706042" w:rsidRDefault="000B4292" w:rsidP="009A78CA">
      <w:r w:rsidRPr="00706042">
        <w:t xml:space="preserve">onde </w:t>
      </w:r>
      <w:r w:rsidR="00FA10AC" w:rsidRPr="00706042">
        <w:rPr>
          <w:position w:val="-4"/>
        </w:rPr>
        <w:object w:dxaOrig="1120" w:dyaOrig="300">
          <v:shape id="_x0000_i1050" type="#_x0000_t75" style="width:55.85pt;height:15pt" o:ole="">
            <v:imagedata r:id="rId62" o:title=""/>
          </v:shape>
          <o:OLEObject Type="Embed" ProgID="Equation.3" ShapeID="_x0000_i1050" DrawAspect="Content" ObjectID="_1340777111" r:id="rId63"/>
        </w:object>
      </w:r>
      <w:r w:rsidRPr="00706042">
        <w:t xml:space="preserve"> é a matriz </w:t>
      </w:r>
      <w:r w:rsidR="009D4D48" w:rsidRPr="00706042">
        <w:rPr>
          <w:position w:val="-6"/>
        </w:rPr>
        <w:object w:dxaOrig="540" w:dyaOrig="279">
          <v:shape id="_x0000_i1051" type="#_x0000_t75" style="width:27.05pt;height:15pt" o:ole="">
            <v:imagedata r:id="rId64" o:title=""/>
          </v:shape>
          <o:OLEObject Type="Embed" ProgID="Equation.3" ShapeID="_x0000_i1051" DrawAspect="Content" ObjectID="_1340777112" r:id="rId65"/>
        </w:object>
      </w:r>
      <w:r w:rsidR="009D4D48" w:rsidRPr="00706042">
        <w:t xml:space="preserve"> </w:t>
      </w:r>
      <w:r w:rsidRPr="00706042">
        <w:t xml:space="preserve">de parâmetros de forma reduzida e </w:t>
      </w:r>
      <w:r w:rsidR="00FA10AC" w:rsidRPr="00706042">
        <w:rPr>
          <w:position w:val="-12"/>
        </w:rPr>
        <w:object w:dxaOrig="1637" w:dyaOrig="389">
          <v:shape id="_x0000_i1052" type="#_x0000_t75" style="width:82.95pt;height:20.15pt" o:ole="">
            <v:imagedata r:id="rId66" o:title=""/>
          </v:shape>
          <o:OLEObject Type="Embed" ProgID="Equation.3" ShapeID="_x0000_i1052" DrawAspect="Content" ObjectID="_1340777113" r:id="rId67"/>
        </w:object>
      </w:r>
      <w:r w:rsidR="009D4D48" w:rsidRPr="00706042">
        <w:t xml:space="preserve"> </w:t>
      </w:r>
      <w:r w:rsidRPr="00706042">
        <w:t xml:space="preserve">é o vetor de erro de forma reduzida com </w:t>
      </w:r>
      <w:r w:rsidR="009D4D48" w:rsidRPr="00706042">
        <w:t xml:space="preserve">variância </w:t>
      </w:r>
      <w:r w:rsidR="00FA10AC" w:rsidRPr="00706042">
        <w:rPr>
          <w:position w:val="-10"/>
        </w:rPr>
        <w:object w:dxaOrig="1460" w:dyaOrig="460">
          <v:shape id="_x0000_i1053" type="#_x0000_t75" style="width:74.3pt;height:23.05pt" o:ole="">
            <v:imagedata r:id="rId68" o:title=""/>
          </v:shape>
          <o:OLEObject Type="Embed" ProgID="Equation.3" ShapeID="_x0000_i1053" DrawAspect="Content" ObjectID="_1340777114" r:id="rId69"/>
        </w:object>
      </w:r>
      <w:r w:rsidRPr="00706042">
        <w:t>.</w:t>
      </w:r>
    </w:p>
    <w:p w:rsidR="00FA10AC" w:rsidRPr="00706042" w:rsidRDefault="000B4292" w:rsidP="009A78CA">
      <w:r w:rsidRPr="00706042">
        <w:t xml:space="preserve">A forma reduzida pode ser estimada consistentemente por OLS, produzindo estimativas de </w:t>
      </w:r>
      <w:r w:rsidR="0010796F" w:rsidRPr="00706042">
        <w:rPr>
          <w:position w:val="-4"/>
        </w:rPr>
        <w:object w:dxaOrig="260" w:dyaOrig="240">
          <v:shape id="_x0000_i1054" type="#_x0000_t75" style="width:12.65pt;height:12.65pt" o:ole="">
            <v:imagedata r:id="rId70" o:title=""/>
          </v:shape>
          <o:OLEObject Type="Embed" ProgID="Equation.3" ShapeID="_x0000_i1054" DrawAspect="Content" ObjectID="_1340777115" r:id="rId71"/>
        </w:object>
      </w:r>
      <w:r w:rsidR="0010796F" w:rsidRPr="00706042">
        <w:t xml:space="preserve"> </w:t>
      </w:r>
      <w:r w:rsidRPr="00706042">
        <w:t xml:space="preserve">e </w:t>
      </w:r>
      <w:r w:rsidR="0010796F" w:rsidRPr="00706042">
        <w:rPr>
          <w:position w:val="-4"/>
        </w:rPr>
        <w:object w:dxaOrig="260" w:dyaOrig="260">
          <v:shape id="_x0000_i1055" type="#_x0000_t75" style="width:12.65pt;height:12.65pt" o:ole="">
            <v:imagedata r:id="rId72" o:title=""/>
          </v:shape>
          <o:OLEObject Type="Embed" ProgID="Equation.3" ShapeID="_x0000_i1055" DrawAspect="Content" ObjectID="_1340777116" r:id="rId73"/>
        </w:object>
      </w:r>
      <w:r w:rsidR="0010796F" w:rsidRPr="00706042">
        <w:t xml:space="preserve">. </w:t>
      </w:r>
      <w:r w:rsidRPr="00706042">
        <w:t xml:space="preserve">O problema da identificação requer </w:t>
      </w:r>
      <w:r w:rsidR="00D5156C" w:rsidRPr="00706042">
        <w:t xml:space="preserve">que existam </w:t>
      </w:r>
      <w:r w:rsidRPr="00706042">
        <w:t xml:space="preserve">algumas restrições de parâmetro, pois sem restrições </w:t>
      </w:r>
      <w:r w:rsidR="00D5156C" w:rsidRPr="00706042">
        <w:rPr>
          <w:position w:val="-4"/>
        </w:rPr>
        <w:object w:dxaOrig="240" w:dyaOrig="240">
          <v:shape id="_x0000_i1056" type="#_x0000_t75" style="width:12.65pt;height:12.65pt" o:ole="">
            <v:imagedata r:id="rId74" o:title=""/>
          </v:shape>
          <o:OLEObject Type="Embed" ProgID="Equation.3" ShapeID="_x0000_i1056" DrawAspect="Content" ObjectID="_1340777117" r:id="rId75"/>
        </w:object>
      </w:r>
      <w:r w:rsidRPr="00706042">
        <w:t xml:space="preserve">, </w:t>
      </w:r>
      <w:r w:rsidR="00D5156C" w:rsidRPr="00706042">
        <w:rPr>
          <w:position w:val="-4"/>
        </w:rPr>
        <w:object w:dxaOrig="220" w:dyaOrig="240">
          <v:shape id="_x0000_i1057" type="#_x0000_t75" style="width:10.35pt;height:12.65pt" o:ole="">
            <v:imagedata r:id="rId76" o:title=""/>
          </v:shape>
          <o:OLEObject Type="Embed" ProgID="Equation.3" ShapeID="_x0000_i1057" DrawAspect="Content" ObjectID="_1340777118" r:id="rId77"/>
        </w:object>
      </w:r>
      <w:r w:rsidRPr="00706042">
        <w:t xml:space="preserve"> e </w:t>
      </w:r>
      <w:r w:rsidR="00FA10AC" w:rsidRPr="00706042">
        <w:rPr>
          <w:position w:val="-4"/>
        </w:rPr>
        <w:object w:dxaOrig="220" w:dyaOrig="240">
          <v:shape id="_x0000_i1058" type="#_x0000_t75" style="width:10.35pt;height:12.65pt" o:ole="">
            <v:imagedata r:id="rId78" o:title=""/>
          </v:shape>
          <o:OLEObject Type="Embed" ProgID="Equation.3" ShapeID="_x0000_i1058" DrawAspect="Content" ObjectID="_1340777119" r:id="rId79"/>
        </w:object>
      </w:r>
      <w:r w:rsidRPr="00706042">
        <w:t xml:space="preserve"> contêm </w:t>
      </w:r>
      <w:r w:rsidR="00FA10AC" w:rsidRPr="00706042">
        <w:rPr>
          <w:position w:val="-6"/>
        </w:rPr>
        <w:object w:dxaOrig="340" w:dyaOrig="320">
          <v:shape id="_x0000_i1059" type="#_x0000_t75" style="width:15pt;height:15pt" o:ole="">
            <v:imagedata r:id="rId80" o:title=""/>
          </v:shape>
          <o:OLEObject Type="Embed" ProgID="Equation.3" ShapeID="_x0000_i1059" DrawAspect="Content" ObjectID="_1340777120" r:id="rId81"/>
        </w:object>
      </w:r>
      <w:r w:rsidRPr="00706042">
        <w:t xml:space="preserve"> parâmetros </w:t>
      </w:r>
      <w:r w:rsidR="00D5156C" w:rsidRPr="00706042">
        <w:t xml:space="preserve">a </w:t>
      </w:r>
      <w:r w:rsidRPr="00706042">
        <w:t xml:space="preserve">mais que </w:t>
      </w:r>
      <w:r w:rsidR="00D5156C" w:rsidRPr="00706042">
        <w:rPr>
          <w:position w:val="-4"/>
        </w:rPr>
        <w:object w:dxaOrig="260" w:dyaOrig="240">
          <v:shape id="_x0000_i1060" type="#_x0000_t75" style="width:12.65pt;height:12.65pt" o:ole="">
            <v:imagedata r:id="rId70" o:title=""/>
          </v:shape>
          <o:OLEObject Type="Embed" ProgID="Equation.3" ShapeID="_x0000_i1060" DrawAspect="Content" ObjectID="_1340777121" r:id="rId82"/>
        </w:object>
      </w:r>
      <w:r w:rsidR="00D5156C" w:rsidRPr="00706042">
        <w:t xml:space="preserve"> e </w:t>
      </w:r>
      <w:r w:rsidR="00D5156C" w:rsidRPr="00706042">
        <w:rPr>
          <w:position w:val="-4"/>
        </w:rPr>
        <w:object w:dxaOrig="260" w:dyaOrig="260">
          <v:shape id="_x0000_i1061" type="#_x0000_t75" style="width:12.65pt;height:12.65pt" o:ole="">
            <v:imagedata r:id="rId72" o:title=""/>
          </v:shape>
          <o:OLEObject Type="Embed" ProgID="Equation.3" ShapeID="_x0000_i1061" DrawAspect="Content" ObjectID="_1340777122" r:id="rId83"/>
        </w:object>
      </w:r>
      <w:r w:rsidR="00FA10AC" w:rsidRPr="00706042">
        <w:t>.</w:t>
      </w:r>
    </w:p>
    <w:p w:rsidR="000B4292" w:rsidRPr="00706042" w:rsidRDefault="00FA10AC" w:rsidP="009A78CA">
      <w:r w:rsidRPr="00706042">
        <w:t>U</w:t>
      </w:r>
      <w:r w:rsidR="000B4292" w:rsidRPr="00706042">
        <w:t xml:space="preserve">ma condição necessária para identificação de parâmetros na </w:t>
      </w:r>
      <w:r w:rsidRPr="00706042">
        <w:t xml:space="preserve">g-ésima </w:t>
      </w:r>
      <w:r w:rsidR="000B4292" w:rsidRPr="00706042">
        <w:t xml:space="preserve">equação </w:t>
      </w:r>
      <w:r w:rsidR="009C4CB4" w:rsidRPr="00706042">
        <w:t xml:space="preserve">é a condição de ordem, ou seja, </w:t>
      </w:r>
      <w:r w:rsidR="000B4292" w:rsidRPr="00706042">
        <w:t>o número de variáveis exógen</w:t>
      </w:r>
      <w:r w:rsidR="009C4CB4" w:rsidRPr="00706042">
        <w:t>a</w:t>
      </w:r>
      <w:r w:rsidR="000B4292" w:rsidRPr="00706042">
        <w:t xml:space="preserve">s excluídas </w:t>
      </w:r>
      <w:r w:rsidR="009C4CB4" w:rsidRPr="00706042">
        <w:t>d</w:t>
      </w:r>
      <w:r w:rsidR="000B4292" w:rsidRPr="00706042">
        <w:t xml:space="preserve">a equação deve ser pelo menos igual ao número de </w:t>
      </w:r>
      <w:r w:rsidR="000B4292" w:rsidRPr="00706042">
        <w:lastRenderedPageBreak/>
        <w:t xml:space="preserve">variáveis endógenas incluídas. Por exemplo, se </w:t>
      </w:r>
      <w:r w:rsidR="00F21FEE" w:rsidRPr="00706042">
        <w:rPr>
          <w:position w:val="-14"/>
        </w:rPr>
        <w:object w:dxaOrig="300" w:dyaOrig="380">
          <v:shape id="_x0000_i1062" type="#_x0000_t75" style="width:15pt;height:20.15pt" o:ole="">
            <v:imagedata r:id="rId84" o:title=""/>
          </v:shape>
          <o:OLEObject Type="Embed" ProgID="Equation.3" ShapeID="_x0000_i1062" DrawAspect="Content" ObjectID="_1340777123" r:id="rId85"/>
        </w:object>
      </w:r>
      <w:r w:rsidR="00EB5034" w:rsidRPr="00706042">
        <w:t xml:space="preserve"> </w:t>
      </w:r>
      <w:r w:rsidR="000B4292" w:rsidRPr="00706042">
        <w:t>em (</w:t>
      </w:r>
      <w:r w:rsidR="00603AA2" w:rsidRPr="00706042">
        <w:t>4</w:t>
      </w:r>
      <w:r w:rsidR="00F21FEE" w:rsidRPr="00706042">
        <w:t>.</w:t>
      </w:r>
      <w:r w:rsidR="008D2D09">
        <w:t>1</w:t>
      </w:r>
      <w:r w:rsidR="000B4292" w:rsidRPr="00706042">
        <w:t xml:space="preserve">) </w:t>
      </w:r>
      <w:r w:rsidR="00F21FEE" w:rsidRPr="00706042">
        <w:t>tiver apenas um único componente</w:t>
      </w:r>
      <w:r w:rsidR="00EB5034" w:rsidRPr="00706042">
        <w:t xml:space="preserve">, haverá então </w:t>
      </w:r>
      <w:r w:rsidR="000B4292" w:rsidRPr="00706042">
        <w:t xml:space="preserve">uma variável endógena na equação, </w:t>
      </w:r>
      <w:r w:rsidR="00EB5034" w:rsidRPr="00706042">
        <w:t xml:space="preserve">e </w:t>
      </w:r>
      <w:r w:rsidR="000B4292" w:rsidRPr="00706042">
        <w:t xml:space="preserve">pelo menos um dos componentes do </w:t>
      </w:r>
      <w:r w:rsidR="00EB5034" w:rsidRPr="00706042">
        <w:rPr>
          <w:position w:val="-12"/>
        </w:rPr>
        <w:object w:dxaOrig="240" w:dyaOrig="360">
          <v:shape id="_x0000_i1063" type="#_x0000_t75" style="width:12.65pt;height:17.85pt" o:ole="">
            <v:imagedata r:id="rId86" o:title=""/>
          </v:shape>
          <o:OLEObject Type="Embed" ProgID="Equation.3" ShapeID="_x0000_i1063" DrawAspect="Content" ObjectID="_1340777124" r:id="rId87"/>
        </w:object>
      </w:r>
      <w:r w:rsidR="00EB5034" w:rsidRPr="00706042">
        <w:t xml:space="preserve"> não </w:t>
      </w:r>
      <w:r w:rsidR="000B4292" w:rsidRPr="00706042">
        <w:t xml:space="preserve">deve </w:t>
      </w:r>
      <w:r w:rsidR="00EB5034" w:rsidRPr="00706042">
        <w:t xml:space="preserve">estar </w:t>
      </w:r>
      <w:r w:rsidR="000B4292" w:rsidRPr="00706042">
        <w:t xml:space="preserve">incluído. Isto </w:t>
      </w:r>
      <w:r w:rsidR="00EB5034" w:rsidRPr="00706042">
        <w:t xml:space="preserve">assegurará a existência de um equilíbrio entre </w:t>
      </w:r>
      <w:r w:rsidR="000B4292" w:rsidRPr="00706042">
        <w:t xml:space="preserve">instrumentos </w:t>
      </w:r>
      <w:r w:rsidR="00EB5034" w:rsidRPr="00706042">
        <w:t>e regressores</w:t>
      </w:r>
      <w:r w:rsidR="000B4292" w:rsidRPr="00706042">
        <w:t>.</w:t>
      </w:r>
      <w:r w:rsidR="008C15EB" w:rsidRPr="00706042">
        <w:t xml:space="preserve"> </w:t>
      </w:r>
      <w:r w:rsidR="00686317" w:rsidRPr="00706042">
        <w:t xml:space="preserve">Para a identificação pode ser usada também </w:t>
      </w:r>
      <w:r w:rsidR="000B4292" w:rsidRPr="00706042">
        <w:t xml:space="preserve">a condição </w:t>
      </w:r>
      <w:r w:rsidR="009C1AC7" w:rsidRPr="00706042">
        <w:t>de posto</w:t>
      </w:r>
      <w:r w:rsidR="00686317" w:rsidRPr="00706042">
        <w:t>, que é condição suficiente</w:t>
      </w:r>
      <w:r w:rsidR="00F75039" w:rsidRPr="00706042">
        <w:rPr>
          <w:rStyle w:val="Refdenotaderodap"/>
        </w:rPr>
        <w:footnoteReference w:id="8"/>
      </w:r>
      <w:r w:rsidR="000B4292" w:rsidRPr="00706042">
        <w:t xml:space="preserve">. Outras restrições, tais como </w:t>
      </w:r>
      <w:r w:rsidR="00686317" w:rsidRPr="00706042">
        <w:t xml:space="preserve">as </w:t>
      </w:r>
      <w:r w:rsidR="000B4292" w:rsidRPr="00706042">
        <w:t>de covariância, também podem levar à identificação.</w:t>
      </w:r>
    </w:p>
    <w:p w:rsidR="000B4292" w:rsidRPr="00706042" w:rsidRDefault="004D43E2" w:rsidP="009A78CA">
      <w:r w:rsidRPr="00706042">
        <w:t xml:space="preserve">Feita </w:t>
      </w:r>
      <w:r w:rsidR="000B4292" w:rsidRPr="00706042">
        <w:t xml:space="preserve">a identificação, parâmetros </w:t>
      </w:r>
      <w:r w:rsidRPr="00706042">
        <w:t xml:space="preserve">consistentes </w:t>
      </w:r>
      <w:r w:rsidR="000B4292" w:rsidRPr="00706042">
        <w:t xml:space="preserve">do modelo estrutural podem ser </w:t>
      </w:r>
      <w:r w:rsidRPr="00706042">
        <w:t xml:space="preserve">encontrados estimando-se separadamente </w:t>
      </w:r>
      <w:r w:rsidR="000B4292" w:rsidRPr="00706042">
        <w:t xml:space="preserve">cada </w:t>
      </w:r>
      <w:r w:rsidRPr="00706042">
        <w:t xml:space="preserve">uma das </w:t>
      </w:r>
      <w:r w:rsidR="000B4292" w:rsidRPr="00706042">
        <w:t>equaç</w:t>
      </w:r>
      <w:r w:rsidRPr="00706042">
        <w:t>ões pelo método dos Mínimos Quadrados em Dois Estágios (</w:t>
      </w:r>
      <w:r w:rsidRPr="00706042">
        <w:rPr>
          <w:i/>
        </w:rPr>
        <w:t>Two-Stage Least Squares</w:t>
      </w:r>
      <w:r w:rsidR="005B79E6" w:rsidRPr="00706042">
        <w:t xml:space="preserve"> ou 2SLS</w:t>
      </w:r>
      <w:r w:rsidRPr="00706042">
        <w:t xml:space="preserve">). </w:t>
      </w:r>
      <w:r w:rsidR="000B4292" w:rsidRPr="00706042">
        <w:t xml:space="preserve">O mesmo conjunto de instrumentos </w:t>
      </w:r>
      <w:r w:rsidRPr="00706042">
        <w:rPr>
          <w:position w:val="-12"/>
        </w:rPr>
        <w:object w:dxaOrig="220" w:dyaOrig="360">
          <v:shape id="_x0000_i1064" type="#_x0000_t75" style="width:10.35pt;height:17.85pt" o:ole="">
            <v:imagedata r:id="rId88" o:title=""/>
          </v:shape>
          <o:OLEObject Type="Embed" ProgID="Equation.3" ShapeID="_x0000_i1064" DrawAspect="Content" ObjectID="_1340777125" r:id="rId89"/>
        </w:object>
      </w:r>
      <w:r w:rsidRPr="00706042">
        <w:t xml:space="preserve"> </w:t>
      </w:r>
      <w:r w:rsidR="000B4292" w:rsidRPr="00706042">
        <w:t xml:space="preserve">é usado para cada equação. Na </w:t>
      </w:r>
      <w:r w:rsidR="005B79E6" w:rsidRPr="00706042">
        <w:t xml:space="preserve">g-ésima </w:t>
      </w:r>
      <w:r w:rsidR="000B4292" w:rsidRPr="00706042">
        <w:t>equação o sub</w:t>
      </w:r>
      <w:r w:rsidR="005B79E6" w:rsidRPr="00706042">
        <w:t>-</w:t>
      </w:r>
      <w:r w:rsidR="000B4292" w:rsidRPr="00706042">
        <w:t xml:space="preserve">componente </w:t>
      </w:r>
      <w:r w:rsidR="005B79E6" w:rsidRPr="00706042">
        <w:rPr>
          <w:position w:val="-14"/>
        </w:rPr>
        <w:object w:dxaOrig="300" w:dyaOrig="380">
          <v:shape id="_x0000_i1065" type="#_x0000_t75" style="width:15pt;height:20.15pt" o:ole="">
            <v:imagedata r:id="rId90" o:title=""/>
          </v:shape>
          <o:OLEObject Type="Embed" ProgID="Equation.3" ShapeID="_x0000_i1065" DrawAspect="Content" ObjectID="_1340777126" r:id="rId91"/>
        </w:object>
      </w:r>
      <w:r w:rsidR="005B79E6" w:rsidRPr="00706042">
        <w:t xml:space="preserve"> </w:t>
      </w:r>
      <w:r w:rsidR="000B4292" w:rsidRPr="00706042">
        <w:t>é usad</w:t>
      </w:r>
      <w:r w:rsidR="00DD0D48" w:rsidRPr="00706042">
        <w:t>o</w:t>
      </w:r>
      <w:r w:rsidR="000B4292" w:rsidRPr="00706042">
        <w:t xml:space="preserve"> como instrumento para si</w:t>
      </w:r>
      <w:r w:rsidR="005B79E6" w:rsidRPr="00706042">
        <w:t xml:space="preserve"> mesmo e os elementos </w:t>
      </w:r>
      <w:r w:rsidR="000B4292" w:rsidRPr="00706042">
        <w:t>restante</w:t>
      </w:r>
      <w:r w:rsidR="005B79E6" w:rsidRPr="00706042">
        <w:t>s</w:t>
      </w:r>
      <w:r w:rsidR="000B4292" w:rsidRPr="00706042">
        <w:t xml:space="preserve"> d</w:t>
      </w:r>
      <w:r w:rsidR="005B79E6" w:rsidRPr="00706042">
        <w:t>e</w:t>
      </w:r>
      <w:r w:rsidR="000B4292" w:rsidRPr="00706042">
        <w:t xml:space="preserve"> </w:t>
      </w:r>
      <w:r w:rsidR="005B79E6" w:rsidRPr="00706042">
        <w:rPr>
          <w:position w:val="-12"/>
        </w:rPr>
        <w:object w:dxaOrig="220" w:dyaOrig="360">
          <v:shape id="_x0000_i1066" type="#_x0000_t75" style="width:10.35pt;height:17.85pt" o:ole="">
            <v:imagedata r:id="rId88" o:title=""/>
          </v:shape>
          <o:OLEObject Type="Embed" ProgID="Equation.3" ShapeID="_x0000_i1066" DrawAspect="Content" ObjectID="_1340777127" r:id="rId92"/>
        </w:object>
      </w:r>
      <w:r w:rsidR="005B79E6" w:rsidRPr="00706042">
        <w:t xml:space="preserve"> </w:t>
      </w:r>
      <w:r w:rsidR="00F62578" w:rsidRPr="00706042">
        <w:t xml:space="preserve">são </w:t>
      </w:r>
      <w:r w:rsidR="000B4292" w:rsidRPr="00706042">
        <w:t>usado</w:t>
      </w:r>
      <w:r w:rsidR="00F62578" w:rsidRPr="00706042">
        <w:t>s</w:t>
      </w:r>
      <w:r w:rsidR="000B4292" w:rsidRPr="00706042">
        <w:t xml:space="preserve"> como instrumento para </w:t>
      </w:r>
      <w:r w:rsidR="00A87351" w:rsidRPr="00706042">
        <w:rPr>
          <w:position w:val="-14"/>
        </w:rPr>
        <w:object w:dxaOrig="300" w:dyaOrig="380">
          <v:shape id="_x0000_i1067" type="#_x0000_t75" style="width:15pt;height:20.15pt" o:ole="">
            <v:imagedata r:id="rId93" o:title=""/>
          </v:shape>
          <o:OLEObject Type="Embed" ProgID="Equation.3" ShapeID="_x0000_i1067" DrawAspect="Content" ObjectID="_1340777128" r:id="rId94"/>
        </w:object>
      </w:r>
      <w:r w:rsidR="000B4292" w:rsidRPr="00706042">
        <w:t>.</w:t>
      </w:r>
    </w:p>
    <w:p w:rsidR="00891AC4" w:rsidRPr="00706042" w:rsidRDefault="00A87351" w:rsidP="009A78CA">
      <w:r w:rsidRPr="00706042">
        <w:t xml:space="preserve">No entanto, </w:t>
      </w:r>
      <w:r w:rsidR="000B4292" w:rsidRPr="00706042">
        <w:t xml:space="preserve">estimativas de sistemas </w:t>
      </w:r>
      <w:r w:rsidRPr="00706042">
        <w:t xml:space="preserve">mais eficientes </w:t>
      </w:r>
      <w:r w:rsidR="000B4292" w:rsidRPr="00706042">
        <w:t xml:space="preserve">são obtidas </w:t>
      </w:r>
      <w:r w:rsidRPr="00706042">
        <w:t>através do método d</w:t>
      </w:r>
      <w:r w:rsidR="001268CA" w:rsidRPr="00706042">
        <w:t>os</w:t>
      </w:r>
      <w:r w:rsidRPr="00706042">
        <w:t xml:space="preserve"> Mínimos Quadrados em T</w:t>
      </w:r>
      <w:r w:rsidR="000B4292" w:rsidRPr="00706042">
        <w:t xml:space="preserve">rês </w:t>
      </w:r>
      <w:r w:rsidRPr="00706042">
        <w:t xml:space="preserve">Estágios </w:t>
      </w:r>
      <w:r w:rsidR="000B4292" w:rsidRPr="00706042">
        <w:t>(</w:t>
      </w:r>
      <w:r w:rsidR="004B59AF" w:rsidRPr="00706042">
        <w:rPr>
          <w:i/>
        </w:rPr>
        <w:t>Thee-Stage Least Squares</w:t>
      </w:r>
      <w:r w:rsidR="004B59AF" w:rsidRPr="00706042">
        <w:t xml:space="preserve">, doravante simplesmente </w:t>
      </w:r>
      <w:r w:rsidR="000B4292" w:rsidRPr="00706042">
        <w:t xml:space="preserve">3SLS) de Zellner e Theil (1962), que assume </w:t>
      </w:r>
      <w:r w:rsidR="00891AC4" w:rsidRPr="00706042">
        <w:t xml:space="preserve">que </w:t>
      </w:r>
      <w:r w:rsidR="000B4292" w:rsidRPr="00706042">
        <w:t xml:space="preserve">os erros são </w:t>
      </w:r>
      <w:r w:rsidR="00891AC4" w:rsidRPr="00706042">
        <w:t>homocedásticos</w:t>
      </w:r>
      <w:r w:rsidR="000B4292" w:rsidRPr="00706042">
        <w:t xml:space="preserve">, </w:t>
      </w:r>
      <w:r w:rsidR="00891AC4" w:rsidRPr="00706042">
        <w:t xml:space="preserve">embora </w:t>
      </w:r>
      <w:r w:rsidR="000B4292" w:rsidRPr="00706042">
        <w:t>correlacionados e</w:t>
      </w:r>
      <w:r w:rsidR="00891AC4" w:rsidRPr="00706042">
        <w:t>ntre equações.</w:t>
      </w:r>
    </w:p>
    <w:p w:rsidR="00232C44" w:rsidRDefault="000B4292" w:rsidP="009A78CA">
      <w:r w:rsidRPr="00706042">
        <w:t>Em primeiro lugar, estima</w:t>
      </w:r>
      <w:r w:rsidR="00DD0D48" w:rsidRPr="00706042">
        <w:t>m</w:t>
      </w:r>
      <w:r w:rsidR="001268CA" w:rsidRPr="00706042">
        <w:t xml:space="preserve">-se </w:t>
      </w:r>
      <w:r w:rsidRPr="00706042">
        <w:t>o</w:t>
      </w:r>
      <w:r w:rsidR="007C77CC" w:rsidRPr="00706042">
        <w:t>s</w:t>
      </w:r>
      <w:r w:rsidRPr="00706042">
        <w:t xml:space="preserve"> </w:t>
      </w:r>
      <w:r w:rsidR="001268CA" w:rsidRPr="00706042">
        <w:t>coeficientes</w:t>
      </w:r>
      <w:r w:rsidR="007C77CC" w:rsidRPr="00706042">
        <w:t xml:space="preserve"> de </w:t>
      </w:r>
      <w:r w:rsidR="001268CA" w:rsidRPr="00706042">
        <w:rPr>
          <w:position w:val="-4"/>
        </w:rPr>
        <w:object w:dxaOrig="260" w:dyaOrig="240">
          <v:shape id="_x0000_i1068" type="#_x0000_t75" style="width:12.65pt;height:12.65pt" o:ole="">
            <v:imagedata r:id="rId95" o:title=""/>
          </v:shape>
          <o:OLEObject Type="Embed" ProgID="Equation.3" ShapeID="_x0000_i1068" DrawAspect="Content" ObjectID="_1340777129" r:id="rId96"/>
        </w:object>
      </w:r>
      <w:r w:rsidR="00891AC4" w:rsidRPr="00706042">
        <w:t xml:space="preserve"> </w:t>
      </w:r>
      <w:r w:rsidR="007C77CC" w:rsidRPr="00706042">
        <w:t xml:space="preserve">em </w:t>
      </w:r>
      <w:r w:rsidRPr="00706042">
        <w:t>(</w:t>
      </w:r>
      <w:r w:rsidR="00603AA2" w:rsidRPr="00706042">
        <w:t>4</w:t>
      </w:r>
      <w:r w:rsidR="007C77CC" w:rsidRPr="00706042">
        <w:t>.</w:t>
      </w:r>
      <w:r w:rsidR="008D2D09">
        <w:t>2</w:t>
      </w:r>
      <w:r w:rsidRPr="00706042">
        <w:t xml:space="preserve">) </w:t>
      </w:r>
      <w:r w:rsidR="007C77CC" w:rsidRPr="00706042">
        <w:t xml:space="preserve">regredindo </w:t>
      </w:r>
      <w:r w:rsidR="007C77CC" w:rsidRPr="00706042">
        <w:rPr>
          <w:position w:val="-10"/>
        </w:rPr>
        <w:object w:dxaOrig="220" w:dyaOrig="260">
          <v:shape id="_x0000_i1069" type="#_x0000_t75" style="width:10.35pt;height:12.65pt" o:ole="">
            <v:imagedata r:id="rId97" o:title=""/>
          </v:shape>
          <o:OLEObject Type="Embed" ProgID="Equation.3" ShapeID="_x0000_i1069" DrawAspect="Content" ObjectID="_1340777130" r:id="rId98"/>
        </w:object>
      </w:r>
      <w:r w:rsidR="007C77CC" w:rsidRPr="00706042">
        <w:t xml:space="preserve"> sobre </w:t>
      </w:r>
      <w:r w:rsidR="007C77CC" w:rsidRPr="00706042">
        <w:rPr>
          <w:position w:val="-4"/>
        </w:rPr>
        <w:object w:dxaOrig="200" w:dyaOrig="200">
          <v:shape id="_x0000_i1070" type="#_x0000_t75" style="width:10.35pt;height:10.35pt" o:ole="">
            <v:imagedata r:id="rId99" o:title=""/>
          </v:shape>
          <o:OLEObject Type="Embed" ProgID="Equation.3" ShapeID="_x0000_i1070" DrawAspect="Content" ObjectID="_1340777131" r:id="rId100"/>
        </w:object>
      </w:r>
      <w:r w:rsidR="007C77CC" w:rsidRPr="00706042">
        <w:t xml:space="preserve"> </w:t>
      </w:r>
      <w:r w:rsidRPr="00706042">
        <w:t xml:space="preserve">por OLS. Em </w:t>
      </w:r>
      <w:r w:rsidR="007C77CC" w:rsidRPr="00706042">
        <w:t>seguida</w:t>
      </w:r>
      <w:r w:rsidRPr="00706042">
        <w:t xml:space="preserve">, </w:t>
      </w:r>
      <w:r w:rsidR="007C77CC" w:rsidRPr="00706042">
        <w:t>faz</w:t>
      </w:r>
      <w:r w:rsidR="00DD0D48" w:rsidRPr="00706042">
        <w:t>em</w:t>
      </w:r>
      <w:r w:rsidR="007C77CC" w:rsidRPr="00706042">
        <w:t xml:space="preserve">-se </w:t>
      </w:r>
      <w:r w:rsidRPr="00706042">
        <w:t>as estimativas de 2SLS por regressão de OLS d</w:t>
      </w:r>
      <w:r w:rsidR="007C77CC" w:rsidRPr="00706042">
        <w:t xml:space="preserve">a equação </w:t>
      </w:r>
      <w:r w:rsidRPr="00706042">
        <w:t>(</w:t>
      </w:r>
      <w:r w:rsidR="00603AA2" w:rsidRPr="00706042">
        <w:t>4</w:t>
      </w:r>
      <w:r w:rsidR="007C77CC" w:rsidRPr="00706042">
        <w:t>.</w:t>
      </w:r>
      <w:r w:rsidR="008D2D09">
        <w:t>1</w:t>
      </w:r>
      <w:r w:rsidRPr="00706042">
        <w:t xml:space="preserve">), </w:t>
      </w:r>
      <w:r w:rsidR="007C77CC" w:rsidRPr="00706042">
        <w:t xml:space="preserve">na qual o </w:t>
      </w:r>
      <w:r w:rsidR="007C77CC" w:rsidRPr="00706042">
        <w:rPr>
          <w:position w:val="-14"/>
        </w:rPr>
        <w:object w:dxaOrig="279" w:dyaOrig="380">
          <v:shape id="_x0000_i1071" type="#_x0000_t75" style="width:15pt;height:20.15pt" o:ole="">
            <v:imagedata r:id="rId101" o:title=""/>
          </v:shape>
          <o:OLEObject Type="Embed" ProgID="Equation.3" ShapeID="_x0000_i1071" DrawAspect="Content" ObjectID="_1340777132" r:id="rId102"/>
        </w:object>
      </w:r>
      <w:r w:rsidR="007C77CC" w:rsidRPr="00706042">
        <w:t xml:space="preserve"> é substituído pela</w:t>
      </w:r>
      <w:r w:rsidRPr="00706042">
        <w:t xml:space="preserve"> forma reduzida </w:t>
      </w:r>
      <w:r w:rsidR="00807008" w:rsidRPr="00706042">
        <w:rPr>
          <w:position w:val="-14"/>
        </w:rPr>
        <w:object w:dxaOrig="1020" w:dyaOrig="420">
          <v:shape id="_x0000_i1072" type="#_x0000_t75" style="width:50.7pt;height:20.15pt" o:ole="">
            <v:imagedata r:id="rId103" o:title=""/>
          </v:shape>
          <o:OLEObject Type="Embed" ProgID="Equation.3" ShapeID="_x0000_i1072" DrawAspect="Content" ObjectID="_1340777133" r:id="rId104"/>
        </w:object>
      </w:r>
      <w:r w:rsidRPr="00706042">
        <w:t>.</w:t>
      </w:r>
      <w:r w:rsidR="00807008" w:rsidRPr="00706042">
        <w:t xml:space="preserve"> </w:t>
      </w:r>
      <w:r w:rsidRPr="00706042">
        <w:t xml:space="preserve">Esta é a regressão </w:t>
      </w:r>
      <w:r w:rsidR="00807008" w:rsidRPr="00706042">
        <w:t xml:space="preserve">em </w:t>
      </w:r>
      <w:r w:rsidRPr="00706042">
        <w:t xml:space="preserve">OLS </w:t>
      </w:r>
      <w:r w:rsidR="00807008" w:rsidRPr="00706042">
        <w:t xml:space="preserve">de </w:t>
      </w:r>
      <w:r w:rsidR="00807008" w:rsidRPr="00706042">
        <w:rPr>
          <w:position w:val="-14"/>
        </w:rPr>
        <w:object w:dxaOrig="300" w:dyaOrig="380">
          <v:shape id="_x0000_i1073" type="#_x0000_t75" style="width:15pt;height:20.15pt" o:ole="">
            <v:imagedata r:id="rId105" o:title=""/>
          </v:shape>
          <o:OLEObject Type="Embed" ProgID="Equation.3" ShapeID="_x0000_i1073" DrawAspect="Content" ObjectID="_1340777134" r:id="rId106"/>
        </w:object>
      </w:r>
      <w:r w:rsidR="00807008" w:rsidRPr="00706042">
        <w:t xml:space="preserve">sobre </w:t>
      </w:r>
      <w:r w:rsidR="00807008" w:rsidRPr="00706042">
        <w:rPr>
          <w:position w:val="-14"/>
        </w:rPr>
        <w:object w:dxaOrig="279" w:dyaOrig="420">
          <v:shape id="_x0000_i1074" type="#_x0000_t75" style="width:15pt;height:20.15pt" o:ole="">
            <v:imagedata r:id="rId107" o:title=""/>
          </v:shape>
          <o:OLEObject Type="Embed" ProgID="Equation.3" ShapeID="_x0000_i1074" DrawAspect="Content" ObjectID="_1340777135" r:id="rId108"/>
        </w:object>
      </w:r>
      <w:r w:rsidR="00807008" w:rsidRPr="00706042">
        <w:t xml:space="preserve"> e </w:t>
      </w:r>
      <w:r w:rsidR="00807008" w:rsidRPr="00706042">
        <w:rPr>
          <w:position w:val="-14"/>
        </w:rPr>
        <w:object w:dxaOrig="279" w:dyaOrig="380">
          <v:shape id="_x0000_i1075" type="#_x0000_t75" style="width:15pt;height:20.15pt" o:ole="">
            <v:imagedata r:id="rId109" o:title=""/>
          </v:shape>
          <o:OLEObject Type="Embed" ProgID="Equation.3" ShapeID="_x0000_i1075" DrawAspect="Content" ObjectID="_1340777136" r:id="rId110"/>
        </w:object>
      </w:r>
      <w:r w:rsidR="00807008" w:rsidRPr="00706042">
        <w:t xml:space="preserve"> sobre </w:t>
      </w:r>
      <w:r w:rsidR="009F7E46" w:rsidRPr="00706042">
        <w:rPr>
          <w:position w:val="-14"/>
        </w:rPr>
        <w:object w:dxaOrig="279" w:dyaOrig="380">
          <v:shape id="_x0000_i1076" type="#_x0000_t75" style="width:15pt;height:20.15pt" o:ole="">
            <v:imagedata r:id="rId111" o:title=""/>
          </v:shape>
          <o:OLEObject Type="Embed" ProgID="Equation.3" ShapeID="_x0000_i1076" DrawAspect="Content" ObjectID="_1340777137" r:id="rId112"/>
        </w:object>
      </w:r>
      <w:r w:rsidRPr="00706042">
        <w:t xml:space="preserve">, onde </w:t>
      </w:r>
      <w:r w:rsidR="00807008" w:rsidRPr="00706042">
        <w:rPr>
          <w:position w:val="-14"/>
        </w:rPr>
        <w:object w:dxaOrig="279" w:dyaOrig="380">
          <v:shape id="_x0000_i1077" type="#_x0000_t75" style="width:15pt;height:20.15pt" o:ole="">
            <v:imagedata r:id="rId113" o:title=""/>
          </v:shape>
          <o:OLEObject Type="Embed" ProgID="Equation.3" ShapeID="_x0000_i1077" DrawAspect="Content" ObjectID="_1340777138" r:id="rId114"/>
        </w:object>
      </w:r>
      <w:r w:rsidR="00807008" w:rsidRPr="00706042">
        <w:t xml:space="preserve"> </w:t>
      </w:r>
      <w:r w:rsidRPr="00706042">
        <w:t xml:space="preserve">são </w:t>
      </w:r>
      <w:r w:rsidR="00BD3D28" w:rsidRPr="00706042">
        <w:t xml:space="preserve">as predições </w:t>
      </w:r>
      <w:r w:rsidRPr="00706042">
        <w:t xml:space="preserve">de </w:t>
      </w:r>
      <w:r w:rsidR="00BD3D28" w:rsidRPr="00706042">
        <w:rPr>
          <w:position w:val="-14"/>
        </w:rPr>
        <w:object w:dxaOrig="279" w:dyaOrig="380">
          <v:shape id="_x0000_i1078" type="#_x0000_t75" style="width:15pt;height:20.15pt" o:ole="">
            <v:imagedata r:id="rId115" o:title=""/>
          </v:shape>
          <o:OLEObject Type="Embed" ProgID="Equation.3" ShapeID="_x0000_i1078" DrawAspect="Content" ObjectID="_1340777139" r:id="rId116"/>
        </w:object>
      </w:r>
      <w:r w:rsidRPr="00706042">
        <w:t xml:space="preserve">e </w:t>
      </w:r>
      <w:r w:rsidR="00BD3D28" w:rsidRPr="00706042">
        <w:rPr>
          <w:position w:val="-14"/>
        </w:rPr>
        <w:object w:dxaOrig="300" w:dyaOrig="380">
          <v:shape id="_x0000_i1079" type="#_x0000_t75" style="width:15pt;height:20.15pt" o:ole="">
            <v:imagedata r:id="rId117" o:title=""/>
          </v:shape>
          <o:OLEObject Type="Embed" ProgID="Equation.3" ShapeID="_x0000_i1079" DrawAspect="Content" ObjectID="_1340777140" r:id="rId118"/>
        </w:object>
      </w:r>
      <w:r w:rsidRPr="00706042">
        <w:t xml:space="preserve"> </w:t>
      </w:r>
      <w:r w:rsidR="00BD3D28" w:rsidRPr="00706042">
        <w:t xml:space="preserve">sobre </w:t>
      </w:r>
      <w:r w:rsidR="00232C44" w:rsidRPr="00706042">
        <w:rPr>
          <w:position w:val="-4"/>
        </w:rPr>
        <w:object w:dxaOrig="200" w:dyaOrig="200">
          <v:shape id="_x0000_i1080" type="#_x0000_t75" style="width:10.35pt;height:10.35pt" o:ole="">
            <v:imagedata r:id="rId119" o:title=""/>
          </v:shape>
          <o:OLEObject Type="Embed" ProgID="Equation.3" ShapeID="_x0000_i1080" DrawAspect="Content" ObjectID="_1340777141" r:id="rId120"/>
        </w:object>
      </w:r>
      <w:r w:rsidRPr="00706042">
        <w:t xml:space="preserve">. </w:t>
      </w:r>
      <w:r w:rsidR="003410D4" w:rsidRPr="00706042">
        <w:t xml:space="preserve">O terceiro passo é </w:t>
      </w:r>
      <w:r w:rsidRPr="00706042">
        <w:t xml:space="preserve">obter as estimativas de 3SLS por </w:t>
      </w:r>
      <w:r w:rsidR="00232C44" w:rsidRPr="00706042">
        <w:t>regressão OLS em sistema</w:t>
      </w:r>
      <w:r w:rsidRPr="00706042">
        <w:t xml:space="preserve"> de </w:t>
      </w:r>
      <w:r w:rsidR="00396DF7" w:rsidRPr="00706042">
        <w:rPr>
          <w:position w:val="-14"/>
        </w:rPr>
        <w:object w:dxaOrig="300" w:dyaOrig="380">
          <v:shape id="_x0000_i1081" type="#_x0000_t75" style="width:15pt;height:20.15pt" o:ole="">
            <v:imagedata r:id="rId121" o:title=""/>
          </v:shape>
          <o:OLEObject Type="Embed" ProgID="Equation.3" ShapeID="_x0000_i1081" DrawAspect="Content" ObjectID="_1340777142" r:id="rId122"/>
        </w:object>
      </w:r>
      <w:r w:rsidR="00232C44" w:rsidRPr="00706042">
        <w:t xml:space="preserve"> sobre </w:t>
      </w:r>
      <w:r w:rsidR="00396DF7" w:rsidRPr="00706042">
        <w:rPr>
          <w:position w:val="-14"/>
        </w:rPr>
        <w:object w:dxaOrig="279" w:dyaOrig="380">
          <v:shape id="_x0000_i1082" type="#_x0000_t75" style="width:15pt;height:20.15pt" o:ole="">
            <v:imagedata r:id="rId123" o:title=""/>
          </v:shape>
          <o:OLEObject Type="Embed" ProgID="Equation.3" ShapeID="_x0000_i1082" DrawAspect="Content" ObjectID="_1340777143" r:id="rId124"/>
        </w:object>
      </w:r>
      <w:r w:rsidR="00232C44" w:rsidRPr="00706042">
        <w:t>.</w:t>
      </w:r>
      <w:r w:rsidR="00396DF7" w:rsidRPr="00706042">
        <w:t xml:space="preserve"> Resultando em:</w:t>
      </w:r>
    </w:p>
    <w:p w:rsidR="007018C6" w:rsidRPr="00706042" w:rsidRDefault="00EA216D" w:rsidP="009A78CA">
      <w:pPr>
        <w:pStyle w:val="Frmula"/>
      </w:pPr>
      <w:r w:rsidRPr="00EA216D">
        <w:rPr>
          <w:position w:val="-12"/>
        </w:rPr>
        <w:object w:dxaOrig="3820" w:dyaOrig="440">
          <v:shape id="_x0000_i1083" type="#_x0000_t75" style="width:192.4pt;height:22.45pt" o:ole="">
            <v:imagedata r:id="rId125" o:title=""/>
          </v:shape>
          <o:OLEObject Type="Embed" ProgID="Equation.3" ShapeID="_x0000_i1083" DrawAspect="Content" ObjectID="_1340777144" r:id="rId126"/>
        </w:object>
      </w:r>
      <w:r>
        <w:t xml:space="preserve">, </w:t>
      </w:r>
      <w:r>
        <w:tab/>
      </w:r>
      <w:r w:rsidR="007018C6" w:rsidRPr="00706042">
        <w:tab/>
      </w:r>
      <w:r w:rsidR="00827BEB">
        <w:tab/>
      </w:r>
      <w:r w:rsidR="007D4E92">
        <w:tab/>
      </w:r>
      <w:r w:rsidR="00B328BE">
        <w:tab/>
      </w:r>
      <w:r w:rsidR="007018C6" w:rsidRPr="00706042">
        <w:tab/>
      </w:r>
      <w:r w:rsidR="007018C6" w:rsidRPr="00706042">
        <w:tab/>
        <w:t>(</w:t>
      </w:r>
      <w:r w:rsidR="00603AA2" w:rsidRPr="00706042">
        <w:t>4</w:t>
      </w:r>
      <w:r w:rsidR="007018C6" w:rsidRPr="00706042">
        <w:t>.</w:t>
      </w:r>
      <w:r w:rsidR="008D2D09">
        <w:t>4</w:t>
      </w:r>
      <w:r w:rsidR="007018C6" w:rsidRPr="00706042">
        <w:t>)</w:t>
      </w:r>
    </w:p>
    <w:p w:rsidR="000B4292" w:rsidRPr="00706042" w:rsidRDefault="008A4802" w:rsidP="009A78CA">
      <w:r w:rsidRPr="00706042">
        <w:t xml:space="preserve">onde </w:t>
      </w:r>
      <w:r w:rsidRPr="00706042">
        <w:rPr>
          <w:position w:val="-4"/>
        </w:rPr>
        <w:object w:dxaOrig="260" w:dyaOrig="320">
          <v:shape id="_x0000_i1084" type="#_x0000_t75" style="width:12.65pt;height:15pt" o:ole="">
            <v:imagedata r:id="rId127" o:title=""/>
          </v:shape>
          <o:OLEObject Type="Embed" ProgID="Equation.3" ShapeID="_x0000_i1084" DrawAspect="Content" ObjectID="_1340777145" r:id="rId128"/>
        </w:object>
      </w:r>
      <w:r w:rsidRPr="00706042">
        <w:t xml:space="preserve"> </w:t>
      </w:r>
      <w:r w:rsidR="000B4292" w:rsidRPr="00706042">
        <w:t xml:space="preserve">é obtido </w:t>
      </w:r>
      <w:r w:rsidR="007F094F" w:rsidRPr="00706042">
        <w:t xml:space="preserve">a partir da </w:t>
      </w:r>
      <w:r w:rsidR="000B4292" w:rsidRPr="00706042">
        <w:t xml:space="preserve">matriz </w:t>
      </w:r>
      <w:r w:rsidR="007F094F" w:rsidRPr="00706042">
        <w:rPr>
          <w:position w:val="-12"/>
        </w:rPr>
        <w:object w:dxaOrig="320" w:dyaOrig="400">
          <v:shape id="_x0000_i1085" type="#_x0000_t75" style="width:15pt;height:20.15pt" o:ole="">
            <v:imagedata r:id="rId129" o:title=""/>
          </v:shape>
          <o:OLEObject Type="Embed" ProgID="Equation.3" ShapeID="_x0000_i1085" DrawAspect="Content" ObjectID="_1340777146" r:id="rId130"/>
        </w:object>
      </w:r>
      <w:r w:rsidR="007F094F" w:rsidRPr="00706042">
        <w:t xml:space="preserve"> </w:t>
      </w:r>
      <w:r w:rsidR="000B4292" w:rsidRPr="00706042">
        <w:t xml:space="preserve">e </w:t>
      </w:r>
      <w:r w:rsidR="00964D8D" w:rsidRPr="00706042">
        <w:rPr>
          <w:position w:val="-16"/>
        </w:rPr>
        <w:object w:dxaOrig="1560" w:dyaOrig="440">
          <v:shape id="_x0000_i1086" type="#_x0000_t75" style="width:78.35pt;height:20.15pt" o:ole="">
            <v:imagedata r:id="rId131" o:title=""/>
          </v:shape>
          <o:OLEObject Type="Embed" ProgID="Equation.3" ShapeID="_x0000_i1086" DrawAspect="Content" ObjectID="_1340777147" r:id="rId132"/>
        </w:object>
      </w:r>
      <w:r w:rsidR="007F094F" w:rsidRPr="00706042">
        <w:t xml:space="preserve"> com </w:t>
      </w:r>
      <w:r w:rsidR="00964D8D" w:rsidRPr="00706042">
        <w:rPr>
          <w:position w:val="-12"/>
        </w:rPr>
        <w:object w:dxaOrig="240" w:dyaOrig="360">
          <v:shape id="_x0000_i1087" type="#_x0000_t75" style="width:12.65pt;height:17.85pt" o:ole="">
            <v:imagedata r:id="rId133" o:title=""/>
          </v:shape>
          <o:OLEObject Type="Embed" ProgID="Equation.3" ShapeID="_x0000_i1087" DrawAspect="Content" ObjectID="_1340777148" r:id="rId134"/>
        </w:object>
      </w:r>
      <w:r w:rsidR="007F094F" w:rsidRPr="00706042">
        <w:t xml:space="preserve"> sendo o resíduos gerado pe</w:t>
      </w:r>
      <w:r w:rsidR="00964D8D" w:rsidRPr="00706042">
        <w:t>la estimação de 2SLS</w:t>
      </w:r>
      <w:r w:rsidR="000B4292" w:rsidRPr="00706042">
        <w:t>.</w:t>
      </w:r>
    </w:p>
    <w:p w:rsidR="000B4292" w:rsidRPr="00706042" w:rsidRDefault="004409E5" w:rsidP="009A78CA">
      <w:r w:rsidRPr="00706042">
        <w:t>Os resultados deste estimador coincidem</w:t>
      </w:r>
      <w:r w:rsidR="000B4292" w:rsidRPr="00706042">
        <w:t xml:space="preserve"> com o</w:t>
      </w:r>
      <w:r w:rsidRPr="00706042">
        <w:t>s</w:t>
      </w:r>
      <w:r w:rsidR="000B4292" w:rsidRPr="00706042">
        <w:t xml:space="preserve"> </w:t>
      </w:r>
      <w:r w:rsidRPr="00706042">
        <w:t>do Método dos Momentos G</w:t>
      </w:r>
      <w:r w:rsidR="00411E94" w:rsidRPr="00706042">
        <w:t>e</w:t>
      </w:r>
      <w:r w:rsidRPr="00706042">
        <w:t>neralizados</w:t>
      </w:r>
      <w:r w:rsidR="005B1DA5" w:rsidRPr="00706042">
        <w:t xml:space="preserve"> para sistemas</w:t>
      </w:r>
      <w:r w:rsidRPr="00706042">
        <w:t xml:space="preserve">, usando </w:t>
      </w:r>
      <w:r w:rsidRPr="00706042">
        <w:rPr>
          <w:position w:val="-12"/>
        </w:rPr>
        <w:object w:dxaOrig="1260" w:dyaOrig="400">
          <v:shape id="_x0000_i1088" type="#_x0000_t75" style="width:63.95pt;height:20.15pt" o:ole="">
            <v:imagedata r:id="rId135" o:title=""/>
          </v:shape>
          <o:OLEObject Type="Embed" ProgID="Equation.3" ShapeID="_x0000_i1088" DrawAspect="Content" ObjectID="_1340777149" r:id="rId136"/>
        </w:object>
      </w:r>
      <w:r w:rsidRPr="00706042">
        <w:t xml:space="preserve"> </w:t>
      </w:r>
      <w:r w:rsidR="000B4292" w:rsidRPr="00706042">
        <w:t xml:space="preserve">no caso </w:t>
      </w:r>
      <w:r w:rsidRPr="00706042">
        <w:t xml:space="preserve">em que estejam sendo utilizados os mesmos </w:t>
      </w:r>
      <w:r w:rsidR="000B4292" w:rsidRPr="00706042">
        <w:t xml:space="preserve">instrumentos em </w:t>
      </w:r>
      <w:r w:rsidRPr="00706042">
        <w:t>todas as equações do sistema</w:t>
      </w:r>
      <w:r w:rsidR="000B4292" w:rsidRPr="00706042">
        <w:t>.</w:t>
      </w:r>
      <w:r w:rsidR="005B1DA5" w:rsidRPr="00706042">
        <w:t xml:space="preserve"> Embora </w:t>
      </w:r>
      <w:r w:rsidR="000B4292" w:rsidRPr="00706042">
        <w:t xml:space="preserve">3SLS e </w:t>
      </w:r>
      <w:r w:rsidR="00411E94" w:rsidRPr="00706042">
        <w:t>G</w:t>
      </w:r>
      <w:r w:rsidR="000B4292" w:rsidRPr="00706042">
        <w:t xml:space="preserve">MM </w:t>
      </w:r>
      <w:r w:rsidR="005B1DA5" w:rsidRPr="00706042">
        <w:t xml:space="preserve">para sistemas se diferenciem em vários pontos, </w:t>
      </w:r>
      <w:r w:rsidR="000B4292" w:rsidRPr="00706042">
        <w:t xml:space="preserve">ambos </w:t>
      </w:r>
      <w:r w:rsidR="005B1DA5" w:rsidRPr="00706042">
        <w:t xml:space="preserve">geram estimadores consistentes desde que </w:t>
      </w:r>
      <w:r w:rsidR="0001068E" w:rsidRPr="00706042">
        <w:rPr>
          <w:position w:val="-12"/>
        </w:rPr>
        <w:object w:dxaOrig="1219" w:dyaOrig="360">
          <v:shape id="_x0000_i1089" type="#_x0000_t75" style="width:61.65pt;height:17.85pt" o:ole="">
            <v:imagedata r:id="rId137" o:title=""/>
          </v:shape>
          <o:OLEObject Type="Embed" ProgID="Equation.3" ShapeID="_x0000_i1089" DrawAspect="Content" ObjectID="_1340777150" r:id="rId138"/>
        </w:object>
      </w:r>
      <w:r w:rsidR="000B4292" w:rsidRPr="00706042">
        <w:t>.</w:t>
      </w:r>
    </w:p>
    <w:p w:rsidR="00E30FB1" w:rsidRPr="00706042" w:rsidRDefault="00E30FB1" w:rsidP="009A78CA">
      <w:r w:rsidRPr="00706042">
        <w:t>Neste trabalho opt</w:t>
      </w:r>
      <w:r w:rsidR="008D2D09">
        <w:t>ou</w:t>
      </w:r>
      <w:r w:rsidRPr="00706042">
        <w:t xml:space="preserve">-se por utilizar o método de 3SLS, devido </w:t>
      </w:r>
      <w:r w:rsidR="00DD0D48" w:rsidRPr="00706042">
        <w:t xml:space="preserve">a </w:t>
      </w:r>
      <w:r w:rsidRPr="00706042">
        <w:t xml:space="preserve">suas vantagens em relação a outros. </w:t>
      </w:r>
      <w:r w:rsidR="00DD0D48" w:rsidRPr="00706042">
        <w:t>T</w:t>
      </w:r>
      <w:r w:rsidRPr="00706042">
        <w:t xml:space="preserve">al estimação </w:t>
      </w:r>
      <w:r w:rsidR="008D2D09">
        <w:t>foi</w:t>
      </w:r>
      <w:r w:rsidRPr="00706042">
        <w:t xml:space="preserve"> realizada através do software STATA</w:t>
      </w:r>
      <w:r w:rsidR="00DD0D48" w:rsidRPr="00706042">
        <w:t xml:space="preserve"> </w:t>
      </w:r>
      <w:r w:rsidR="00D2073C" w:rsidRPr="00706042">
        <w:t>9</w:t>
      </w:r>
      <w:r w:rsidR="00DD0D48" w:rsidRPr="00706042">
        <w:t>.0</w:t>
      </w:r>
      <w:r w:rsidR="00EA4082" w:rsidRPr="00706042">
        <w:t>.</w:t>
      </w:r>
    </w:p>
    <w:p w:rsidR="00926BF0" w:rsidRPr="00706042" w:rsidRDefault="00926BF0" w:rsidP="009A78CA"/>
    <w:p w:rsidR="00F154D7" w:rsidRPr="00706042" w:rsidRDefault="00D759BF" w:rsidP="00DC0CB0">
      <w:pPr>
        <w:pStyle w:val="Ttulo2"/>
      </w:pPr>
      <w:bookmarkStart w:id="18" w:name="_Toc239579728"/>
      <w:bookmarkStart w:id="19" w:name="_Toc256616815"/>
      <w:bookmarkStart w:id="20" w:name="_Toc256617116"/>
      <w:r>
        <w:t>3</w:t>
      </w:r>
      <w:r w:rsidR="00F154D7" w:rsidRPr="00706042">
        <w:t>.</w:t>
      </w:r>
      <w:r w:rsidR="008D2D09">
        <w:t>2</w:t>
      </w:r>
      <w:r w:rsidR="006D0284" w:rsidRPr="00706042">
        <w:t xml:space="preserve"> </w:t>
      </w:r>
      <w:r w:rsidR="00EE73AE" w:rsidRPr="00706042">
        <w:t xml:space="preserve">Base de </w:t>
      </w:r>
      <w:r w:rsidR="00926BF0" w:rsidRPr="00706042">
        <w:t>D</w:t>
      </w:r>
      <w:r w:rsidR="006D0284" w:rsidRPr="00706042">
        <w:t>ados</w:t>
      </w:r>
      <w:bookmarkEnd w:id="18"/>
      <w:bookmarkEnd w:id="19"/>
      <w:bookmarkEnd w:id="20"/>
    </w:p>
    <w:p w:rsidR="00926BF0" w:rsidRPr="00794B0E" w:rsidRDefault="00926BF0" w:rsidP="00926BF0">
      <w:pPr>
        <w:rPr>
          <w:b/>
        </w:rPr>
      </w:pPr>
    </w:p>
    <w:p w:rsidR="00EE73AE" w:rsidRPr="00706042" w:rsidRDefault="00303203" w:rsidP="009A78CA">
      <w:r w:rsidRPr="00706042">
        <w:t xml:space="preserve">Para a condução deste estudo, são utilizados </w:t>
      </w:r>
      <w:r w:rsidR="00EE73AE" w:rsidRPr="00706042">
        <w:t xml:space="preserve">dados </w:t>
      </w:r>
      <w:r w:rsidRPr="00706042">
        <w:t xml:space="preserve">de 476 </w:t>
      </w:r>
      <w:r w:rsidR="00EE73AE" w:rsidRPr="00706042">
        <w:t>empresas brasileiras que possuem suas ações listadas na Bolsa de Valores de São Paulo (BOVESPA) e na Sociedade Operadora do Mercado de Ativos (SOMA)</w:t>
      </w:r>
      <w:r w:rsidR="006A36EE">
        <w:t>, levantados</w:t>
      </w:r>
      <w:r w:rsidR="00EE73AE" w:rsidRPr="00706042">
        <w:t xml:space="preserve"> a partir do banco de dados d</w:t>
      </w:r>
      <w:r w:rsidR="006A36EE">
        <w:t>a</w:t>
      </w:r>
      <w:r w:rsidR="00EE73AE" w:rsidRPr="00706042">
        <w:t xml:space="preserve"> Econom</w:t>
      </w:r>
      <w:r w:rsidR="006A36EE">
        <w:t>á</w:t>
      </w:r>
      <w:r w:rsidR="00EE73AE" w:rsidRPr="00706042">
        <w:t>tica</w:t>
      </w:r>
      <w:r w:rsidR="00A609D6" w:rsidRPr="001D6716">
        <w:rPr>
          <w:rFonts w:cs="Arial"/>
          <w:vertAlign w:val="superscript"/>
        </w:rPr>
        <w:t>®</w:t>
      </w:r>
      <w:r w:rsidR="00E01516" w:rsidRPr="00706042">
        <w:t>.</w:t>
      </w:r>
      <w:r w:rsidR="00EE73AE" w:rsidRPr="00706042">
        <w:t xml:space="preserve"> A unidade de análise é cada empresa e as observações est</w:t>
      </w:r>
      <w:r w:rsidR="00E01516" w:rsidRPr="00706042">
        <w:t>ã</w:t>
      </w:r>
      <w:r w:rsidR="00EE73AE" w:rsidRPr="00706042">
        <w:t xml:space="preserve">o distribuídas </w:t>
      </w:r>
      <w:r w:rsidR="00E01516" w:rsidRPr="00706042">
        <w:t>trimestralmente n</w:t>
      </w:r>
      <w:r w:rsidR="00EE73AE" w:rsidRPr="00706042">
        <w:t xml:space="preserve">o período </w:t>
      </w:r>
      <w:r w:rsidR="00DF08CA" w:rsidRPr="00706042">
        <w:t xml:space="preserve">entre </w:t>
      </w:r>
      <w:r w:rsidR="00FE6620" w:rsidRPr="00706042">
        <w:t xml:space="preserve">o primeiro trimestre de </w:t>
      </w:r>
      <w:r w:rsidR="001125A9" w:rsidRPr="00706042">
        <w:t>199</w:t>
      </w:r>
      <w:r w:rsidR="00FE6620" w:rsidRPr="00706042">
        <w:t>8</w:t>
      </w:r>
      <w:r w:rsidR="001125A9" w:rsidRPr="00706042">
        <w:t xml:space="preserve"> </w:t>
      </w:r>
      <w:r w:rsidR="00DF08CA" w:rsidRPr="00706042">
        <w:t>e</w:t>
      </w:r>
      <w:r w:rsidR="001125A9" w:rsidRPr="00706042">
        <w:t xml:space="preserve"> </w:t>
      </w:r>
      <w:r w:rsidR="00FE6620" w:rsidRPr="00706042">
        <w:t xml:space="preserve">o primeiro trimestre de </w:t>
      </w:r>
      <w:r w:rsidR="001125A9" w:rsidRPr="00706042">
        <w:t>2009</w:t>
      </w:r>
      <w:r w:rsidR="00EE73AE" w:rsidRPr="00706042">
        <w:t>.</w:t>
      </w:r>
      <w:r w:rsidR="00E01516" w:rsidRPr="00706042">
        <w:t xml:space="preserve"> O estudo </w:t>
      </w:r>
      <w:r w:rsidRPr="00706042">
        <w:t xml:space="preserve">faz </w:t>
      </w:r>
      <w:r w:rsidR="00E01516" w:rsidRPr="00706042">
        <w:t>uso de um painel não balanceado</w:t>
      </w:r>
      <w:r w:rsidR="00DF15CC" w:rsidRPr="00706042">
        <w:t>, pois não se tem dados de todas as empresas para todos os períodos estudados e</w:t>
      </w:r>
      <w:r w:rsidR="006A36EE">
        <w:t>,</w:t>
      </w:r>
      <w:r w:rsidR="00DF15CC" w:rsidRPr="00706042">
        <w:t xml:space="preserve"> </w:t>
      </w:r>
      <w:r w:rsidR="00622C56" w:rsidRPr="00706042">
        <w:t xml:space="preserve">ao se </w:t>
      </w:r>
      <w:r w:rsidR="00DF15CC" w:rsidRPr="00706042">
        <w:t>retirar</w:t>
      </w:r>
      <w:r w:rsidR="00622C56" w:rsidRPr="00706042">
        <w:t xml:space="preserve"> da base de dados </w:t>
      </w:r>
      <w:r w:rsidR="00DF15CC" w:rsidRPr="00706042">
        <w:t xml:space="preserve">todas </w:t>
      </w:r>
      <w:r w:rsidR="00622C56" w:rsidRPr="00706042">
        <w:t xml:space="preserve">as </w:t>
      </w:r>
      <w:r w:rsidR="00DF15CC" w:rsidRPr="00706042">
        <w:t xml:space="preserve">empresas </w:t>
      </w:r>
      <w:r w:rsidR="00622C56" w:rsidRPr="00706042">
        <w:t>para as quais faltam</w:t>
      </w:r>
      <w:r w:rsidR="00CD4AFC" w:rsidRPr="00706042">
        <w:t xml:space="preserve"> </w:t>
      </w:r>
      <w:r w:rsidR="00622C56" w:rsidRPr="00706042">
        <w:t xml:space="preserve">dados, </w:t>
      </w:r>
      <w:r w:rsidR="00215FFF" w:rsidRPr="00706042">
        <w:t>pode</w:t>
      </w:r>
      <w:r w:rsidR="006A36EE">
        <w:t>ria</w:t>
      </w:r>
      <w:r w:rsidR="00215FFF" w:rsidRPr="00706042">
        <w:t>m</w:t>
      </w:r>
      <w:r w:rsidR="00DF15CC" w:rsidRPr="00706042">
        <w:t xml:space="preserve"> </w:t>
      </w:r>
      <w:r w:rsidR="00215FFF" w:rsidRPr="00706042">
        <w:t xml:space="preserve">surgir </w:t>
      </w:r>
      <w:r w:rsidR="00622C56" w:rsidRPr="00706042">
        <w:t>problemas como o</w:t>
      </w:r>
      <w:r w:rsidR="00DF15CC" w:rsidRPr="00706042">
        <w:t xml:space="preserve"> viés de seleção</w:t>
      </w:r>
      <w:r w:rsidR="00DF15CC" w:rsidRPr="00706042">
        <w:rPr>
          <w:rStyle w:val="Refdenotaderodap"/>
        </w:rPr>
        <w:footnoteReference w:id="9"/>
      </w:r>
      <w:r w:rsidR="00E01516" w:rsidRPr="00706042">
        <w:t>.</w:t>
      </w:r>
    </w:p>
    <w:p w:rsidR="00EE73AE" w:rsidRPr="00706042" w:rsidRDefault="00A609D6" w:rsidP="009A78CA">
      <w:r w:rsidRPr="00706042">
        <w:t>Escolhe</w:t>
      </w:r>
      <w:r w:rsidR="006A36EE">
        <w:t>u</w:t>
      </w:r>
      <w:r w:rsidR="00EE73AE" w:rsidRPr="00706042">
        <w:t xml:space="preserve">-se a utilização dos dados de balanço para as empresas individuais com a periodicidade </w:t>
      </w:r>
      <w:r w:rsidR="00E01516" w:rsidRPr="00706042">
        <w:t xml:space="preserve">trimestral </w:t>
      </w:r>
      <w:r w:rsidR="00EE73AE" w:rsidRPr="00706042">
        <w:t xml:space="preserve">porque </w:t>
      </w:r>
      <w:r w:rsidR="00E01516" w:rsidRPr="00706042">
        <w:t xml:space="preserve">essa é a menor periodicidade exigida pela </w:t>
      </w:r>
      <w:r w:rsidR="00255BD2" w:rsidRPr="00706042">
        <w:t>Comissão de Valores Mobiliários (CVM)</w:t>
      </w:r>
      <w:r w:rsidR="00E01516" w:rsidRPr="00706042">
        <w:t xml:space="preserve"> às</w:t>
      </w:r>
      <w:r w:rsidR="00DE2AC0" w:rsidRPr="00706042">
        <w:t xml:space="preserve"> empresas </w:t>
      </w:r>
      <w:r w:rsidR="00E01516" w:rsidRPr="00706042">
        <w:t>para publicação d</w:t>
      </w:r>
      <w:r w:rsidR="00DE2AC0" w:rsidRPr="00706042">
        <w:t xml:space="preserve">os </w:t>
      </w:r>
      <w:r w:rsidR="00E01516" w:rsidRPr="00706042">
        <w:t>demonstrativos contábeis</w:t>
      </w:r>
      <w:r w:rsidR="006A36EE">
        <w:t>, peças que serviram à montagem do banco de dados</w:t>
      </w:r>
      <w:r w:rsidR="00E01516" w:rsidRPr="00706042">
        <w:t>.</w:t>
      </w:r>
    </w:p>
    <w:p w:rsidR="00322658" w:rsidRDefault="00322658" w:rsidP="009A78CA"/>
    <w:p w:rsidR="006D4BE0" w:rsidRPr="00706042" w:rsidRDefault="006D4BE0" w:rsidP="009A78CA"/>
    <w:p w:rsidR="001E025D" w:rsidRPr="00706042" w:rsidRDefault="00D759BF" w:rsidP="00DC0CB0">
      <w:pPr>
        <w:pStyle w:val="Ttulo2"/>
      </w:pPr>
      <w:bookmarkStart w:id="21" w:name="_Toc239579729"/>
      <w:bookmarkStart w:id="22" w:name="_Toc256616816"/>
      <w:bookmarkStart w:id="23" w:name="_Toc256617117"/>
      <w:r>
        <w:lastRenderedPageBreak/>
        <w:t>3</w:t>
      </w:r>
      <w:r w:rsidR="001E025D" w:rsidRPr="00706042">
        <w:t>.</w:t>
      </w:r>
      <w:r w:rsidR="008D2D09">
        <w:t>3</w:t>
      </w:r>
      <w:r w:rsidR="001E025D" w:rsidRPr="00706042">
        <w:t xml:space="preserve"> Modelo </w:t>
      </w:r>
      <w:r w:rsidR="00926BF0" w:rsidRPr="00706042">
        <w:t>E</w:t>
      </w:r>
      <w:r w:rsidR="001E025D" w:rsidRPr="00706042">
        <w:t xml:space="preserve">mpírico e </w:t>
      </w:r>
      <w:r w:rsidR="00926BF0" w:rsidRPr="00706042">
        <w:t>D</w:t>
      </w:r>
      <w:r w:rsidR="001E025D" w:rsidRPr="00706042">
        <w:t xml:space="preserve">escrição das </w:t>
      </w:r>
      <w:r w:rsidR="00926BF0" w:rsidRPr="00706042">
        <w:t>V</w:t>
      </w:r>
      <w:r w:rsidR="001E025D" w:rsidRPr="00706042">
        <w:t>ariáveis</w:t>
      </w:r>
      <w:bookmarkEnd w:id="21"/>
      <w:bookmarkEnd w:id="22"/>
      <w:bookmarkEnd w:id="23"/>
    </w:p>
    <w:p w:rsidR="00926BF0" w:rsidRPr="00706042" w:rsidRDefault="00926BF0" w:rsidP="00926BF0"/>
    <w:p w:rsidR="006A36EE" w:rsidRDefault="001E025D" w:rsidP="009A78CA">
      <w:r w:rsidRPr="00706042">
        <w:t xml:space="preserve">Esta seção trata </w:t>
      </w:r>
      <w:r w:rsidR="00D2073C" w:rsidRPr="00706042">
        <w:t>das</w:t>
      </w:r>
      <w:r w:rsidRPr="00706042">
        <w:t xml:space="preserve"> relações entre características da dívida e das empresas, além da descrição das </w:t>
      </w:r>
      <w:r w:rsidRPr="00706042">
        <w:rPr>
          <w:i/>
        </w:rPr>
        <w:t>proxies</w:t>
      </w:r>
      <w:r w:rsidRPr="00706042">
        <w:t xml:space="preserve"> e formas funcionais geralmente utilizadas para obtenção dos resultados.</w:t>
      </w:r>
      <w:r w:rsidR="006A36EE">
        <w:t xml:space="preserve"> Ressalta-se que os possíveis f</w:t>
      </w:r>
      <w:r w:rsidRPr="00706042">
        <w:t xml:space="preserve">atores determinantes da estrutura da dívida das empresas </w:t>
      </w:r>
      <w:r w:rsidR="006A36EE">
        <w:t xml:space="preserve">foram </w:t>
      </w:r>
      <w:r w:rsidRPr="00706042">
        <w:t>escolhidos</w:t>
      </w:r>
      <w:r w:rsidR="006A36EE">
        <w:t>, neste trabalho,</w:t>
      </w:r>
      <w:r w:rsidRPr="00706042">
        <w:t xml:space="preserve"> </w:t>
      </w:r>
      <w:r w:rsidR="006A36EE">
        <w:t>conforme o Referencial Teórico e Revisão de Literatura apresentados nas seções anteriores</w:t>
      </w:r>
      <w:r w:rsidRPr="00706042">
        <w:t xml:space="preserve">. </w:t>
      </w:r>
    </w:p>
    <w:p w:rsidR="001E025D" w:rsidRPr="00706042" w:rsidRDefault="001E025D" w:rsidP="009A78CA">
      <w:r w:rsidRPr="00706042">
        <w:t>O conjunto de variáveis explicativas específicas da firma consist</w:t>
      </w:r>
      <w:r w:rsidR="00515961">
        <w:t>e</w:t>
      </w:r>
      <w:r w:rsidR="006A36EE">
        <w:t xml:space="preserve"> d</w:t>
      </w:r>
      <w:r w:rsidRPr="00706042">
        <w:t xml:space="preserve">o seguinte: nível de alavancagem, tamanho da empresa, oportunidades de crescimento, rentabilidade, risco operacional, fluxo de caixa livre, liquidez, tangibilidade, efeitos fiscais, restrição financeira e índice de liquidez em bolsa. Além dessas, </w:t>
      </w:r>
      <w:r w:rsidR="006A36EE">
        <w:t xml:space="preserve">foram </w:t>
      </w:r>
      <w:r w:rsidRPr="00706042">
        <w:t>utiliza</w:t>
      </w:r>
      <w:r w:rsidR="006A36EE">
        <w:t>das</w:t>
      </w:r>
      <w:r w:rsidRPr="00706042">
        <w:t xml:space="preserve"> </w:t>
      </w:r>
      <w:r w:rsidRPr="00706042">
        <w:rPr>
          <w:i/>
        </w:rPr>
        <w:t>dummies</w:t>
      </w:r>
      <w:r w:rsidRPr="00706042">
        <w:t xml:space="preserve"> para os períodos conhecidos como “janelas de oportunidade”, </w:t>
      </w:r>
      <w:r w:rsidR="006A36EE">
        <w:t xml:space="preserve">definidos neste estudo como aqueles para os quais se observou </w:t>
      </w:r>
      <w:r w:rsidRPr="00706042">
        <w:t>significativo aumento na emissão de dívidas públicas (</w:t>
      </w:r>
      <w:r w:rsidRPr="00706042">
        <w:rPr>
          <w:i/>
        </w:rPr>
        <w:t>debêntures</w:t>
      </w:r>
      <w:r w:rsidRPr="00706042">
        <w:t xml:space="preserve"> e </w:t>
      </w:r>
      <w:r w:rsidRPr="00706042">
        <w:rPr>
          <w:i/>
          <w:iCs/>
        </w:rPr>
        <w:t>commercial papers</w:t>
      </w:r>
      <w:r w:rsidRPr="00706042">
        <w:t xml:space="preserve">) </w:t>
      </w:r>
      <w:r w:rsidR="006A36EE">
        <w:t>e de</w:t>
      </w:r>
      <w:r w:rsidRPr="00706042">
        <w:t xml:space="preserve"> emissão de ações</w:t>
      </w:r>
      <w:r w:rsidR="006A36EE">
        <w:t>;</w:t>
      </w:r>
      <w:r w:rsidRPr="00706042">
        <w:t xml:space="preserve"> uma </w:t>
      </w:r>
      <w:r w:rsidRPr="00706042">
        <w:rPr>
          <w:i/>
        </w:rPr>
        <w:t>dummy</w:t>
      </w:r>
      <w:r w:rsidRPr="00706042">
        <w:t xml:space="preserve"> para as empresas pertencentes ao </w:t>
      </w:r>
      <w:r w:rsidR="00750D88" w:rsidRPr="00706042">
        <w:t>Ibovespa</w:t>
      </w:r>
      <w:r w:rsidR="00750D88" w:rsidRPr="00706042">
        <w:rPr>
          <w:rStyle w:val="Refdenotaderodap"/>
        </w:rPr>
        <w:footnoteReference w:id="10"/>
      </w:r>
      <w:r w:rsidRPr="00706042">
        <w:t xml:space="preserve"> e outra para determinar o setor ao qual </w:t>
      </w:r>
      <w:r w:rsidR="006A36EE">
        <w:t xml:space="preserve">cada empresa </w:t>
      </w:r>
      <w:r w:rsidRPr="00706042">
        <w:t>pertenc</w:t>
      </w:r>
      <w:r w:rsidR="006A36EE">
        <w:t>ia</w:t>
      </w:r>
      <w:r w:rsidRPr="00706042">
        <w:t>.</w:t>
      </w:r>
    </w:p>
    <w:p w:rsidR="001E025D" w:rsidRPr="00706042" w:rsidRDefault="001E025D" w:rsidP="009A78CA">
      <w:r w:rsidRPr="00706042">
        <w:t>V</w:t>
      </w:r>
      <w:r w:rsidR="004B0444" w:rsidRPr="00706042">
        <w:t>ários autores testa</w:t>
      </w:r>
      <w:r w:rsidR="006A36EE">
        <w:t>ra</w:t>
      </w:r>
      <w:r w:rsidRPr="00706042">
        <w:t>m empiricamente a relação entre tamanho (</w:t>
      </w:r>
      <w:r w:rsidR="002E19B6" w:rsidRPr="00706042">
        <w:rPr>
          <w:position w:val="-12"/>
        </w:rPr>
        <w:object w:dxaOrig="660" w:dyaOrig="360">
          <v:shape id="_x0000_i1090" type="#_x0000_t75" style="width:31.7pt;height:17.85pt" o:ole="">
            <v:imagedata r:id="rId139" o:title=""/>
          </v:shape>
          <o:OLEObject Type="Embed" ProgID="Equation.3" ShapeID="_x0000_i1090" DrawAspect="Content" ObjectID="_1340777151" r:id="rId140"/>
        </w:object>
      </w:r>
      <w:r w:rsidRPr="00706042">
        <w:t>) e o endividamento corporativo, tendo chegado a conclusões bastante diversas. Alguns autores encontra</w:t>
      </w:r>
      <w:r w:rsidR="00565794">
        <w:t>ra</w:t>
      </w:r>
      <w:r w:rsidRPr="00706042">
        <w:t>m uma relação negativa, mas a grande maioria afirm</w:t>
      </w:r>
      <w:r w:rsidR="00404692" w:rsidRPr="00706042">
        <w:t>a</w:t>
      </w:r>
      <w:r w:rsidRPr="00706042">
        <w:t xml:space="preserve"> que a relação existente </w:t>
      </w:r>
      <w:r w:rsidR="00404692" w:rsidRPr="00706042">
        <w:t xml:space="preserve">é </w:t>
      </w:r>
      <w:r w:rsidRPr="00706042">
        <w:t>positiva, isto é, quanto maior a empresa, maior</w:t>
      </w:r>
      <w:r w:rsidR="002E19B6">
        <w:t xml:space="preserve"> sua propensão ao endividamento, pois, s</w:t>
      </w:r>
      <w:r w:rsidRPr="00706042">
        <w:t xml:space="preserve">egundo </w:t>
      </w:r>
      <w:r w:rsidR="00565794">
        <w:t>Rajan e Zingales (1995)</w:t>
      </w:r>
      <w:r w:rsidRPr="00706042">
        <w:t xml:space="preserve">, grandes organizações </w:t>
      </w:r>
      <w:r w:rsidR="002E19B6">
        <w:t xml:space="preserve">teriam </w:t>
      </w:r>
      <w:r w:rsidRPr="00706042">
        <w:t xml:space="preserve">maior </w:t>
      </w:r>
      <w:r w:rsidR="002E19B6">
        <w:t xml:space="preserve">acesso </w:t>
      </w:r>
      <w:r w:rsidRPr="00706042">
        <w:t>a</w:t>
      </w:r>
      <w:r w:rsidR="002E19B6">
        <w:t>os recursos financeiros</w:t>
      </w:r>
      <w:r w:rsidRPr="00706042">
        <w:t>.</w:t>
      </w:r>
    </w:p>
    <w:p w:rsidR="001E025D" w:rsidRPr="00706042" w:rsidRDefault="00CC512A" w:rsidP="00C134ED">
      <w:r>
        <w:t xml:space="preserve">As </w:t>
      </w:r>
      <w:r w:rsidR="00565794">
        <w:t>oportunidades de crescimento</w:t>
      </w:r>
      <w:r w:rsidR="002E19B6">
        <w:t xml:space="preserve"> </w:t>
      </w:r>
      <w:r w:rsidR="002E19B6" w:rsidRPr="00706042">
        <w:t>(</w:t>
      </w:r>
      <w:r w:rsidR="002E19B6" w:rsidRPr="00706042">
        <w:rPr>
          <w:position w:val="-12"/>
        </w:rPr>
        <w:object w:dxaOrig="900" w:dyaOrig="360">
          <v:shape id="_x0000_i1091" type="#_x0000_t75" style="width:43.8pt;height:17.85pt" o:ole="">
            <v:imagedata r:id="rId141" o:title=""/>
          </v:shape>
          <o:OLEObject Type="Embed" ProgID="Equation.3" ShapeID="_x0000_i1091" DrawAspect="Content" ObjectID="_1340777152" r:id="rId142"/>
        </w:object>
      </w:r>
      <w:r w:rsidR="002E19B6" w:rsidRPr="00706042">
        <w:t>)</w:t>
      </w:r>
      <w:r>
        <w:t xml:space="preserve"> de uma empresa têm grande influência sobre a flexibilidade de suas escolhas de investimentos</w:t>
      </w:r>
      <w:r w:rsidR="00565794">
        <w:t>,</w:t>
      </w:r>
      <w:r w:rsidR="00724D55">
        <w:t xml:space="preserve"> </w:t>
      </w:r>
      <w:r>
        <w:t xml:space="preserve">o que poderia aumentar os incentivos </w:t>
      </w:r>
      <w:r w:rsidR="00565794">
        <w:t xml:space="preserve">que </w:t>
      </w:r>
      <w:r w:rsidR="001E025D" w:rsidRPr="00706042">
        <w:t xml:space="preserve">os sócios </w:t>
      </w:r>
      <w:r w:rsidR="00C134ED">
        <w:t xml:space="preserve">têm </w:t>
      </w:r>
      <w:r w:rsidR="001E025D" w:rsidRPr="00706042">
        <w:t>de investir em projetos que oferecessem taxas de retorno mais elevadas, ainda que a probabilidade de sucesso fosse baixa</w:t>
      </w:r>
      <w:r w:rsidR="006510C1">
        <w:t xml:space="preserve">, segundo a </w:t>
      </w:r>
      <w:r w:rsidR="006510C1" w:rsidRPr="00BB4238">
        <w:t>"hipótese da expropriação da riqueza dos credores pelos acionistas"</w:t>
      </w:r>
      <w:r w:rsidR="002E19B6">
        <w:t xml:space="preserve">, </w:t>
      </w:r>
      <w:r w:rsidR="006510C1">
        <w:t>discutida</w:t>
      </w:r>
      <w:r w:rsidR="00F41228">
        <w:t xml:space="preserve"> por B</w:t>
      </w:r>
      <w:r w:rsidR="004B0444" w:rsidRPr="00706042">
        <w:t>lack e Scholes (1973)</w:t>
      </w:r>
      <w:r w:rsidR="001E025D" w:rsidRPr="00706042">
        <w:t xml:space="preserve">. Portanto, a relação esperada entre </w:t>
      </w:r>
      <w:r w:rsidR="00C134ED">
        <w:t xml:space="preserve">o potencial </w:t>
      </w:r>
      <w:r w:rsidR="001E025D" w:rsidRPr="00706042">
        <w:t xml:space="preserve">de crescimento </w:t>
      </w:r>
      <w:r w:rsidR="00565794">
        <w:t xml:space="preserve">e </w:t>
      </w:r>
      <w:r w:rsidR="001E025D" w:rsidRPr="00706042">
        <w:t xml:space="preserve">o </w:t>
      </w:r>
      <w:r w:rsidR="00565794">
        <w:t xml:space="preserve">grau de </w:t>
      </w:r>
      <w:r w:rsidR="001E025D" w:rsidRPr="00706042">
        <w:t>endividamento é negativa</w:t>
      </w:r>
      <w:r w:rsidR="00565794">
        <w:t>,</w:t>
      </w:r>
      <w:r w:rsidR="001E025D" w:rsidRPr="00706042">
        <w:t xml:space="preserve"> </w:t>
      </w:r>
      <w:r w:rsidR="00C134ED">
        <w:t xml:space="preserve">concordando </w:t>
      </w:r>
      <w:r w:rsidR="00F41228">
        <w:t xml:space="preserve">com </w:t>
      </w:r>
      <w:r w:rsidR="001E025D" w:rsidRPr="00706042">
        <w:t xml:space="preserve">a teoria do </w:t>
      </w:r>
      <w:r w:rsidR="001E025D" w:rsidRPr="00706042">
        <w:rPr>
          <w:i/>
          <w:iCs/>
        </w:rPr>
        <w:t>trade-off</w:t>
      </w:r>
      <w:r w:rsidR="001E025D" w:rsidRPr="00706042">
        <w:t xml:space="preserve">. </w:t>
      </w:r>
      <w:r w:rsidR="00C134ED">
        <w:t xml:space="preserve">Entretanto, a </w:t>
      </w:r>
      <w:r w:rsidR="001E025D" w:rsidRPr="00706042">
        <w:rPr>
          <w:i/>
          <w:iCs/>
        </w:rPr>
        <w:t>Pecking Order</w:t>
      </w:r>
      <w:r w:rsidR="00C134ED">
        <w:t xml:space="preserve"> aponta </w:t>
      </w:r>
      <w:r w:rsidR="001E025D" w:rsidRPr="00706042">
        <w:t xml:space="preserve">duas possibilidades: por um lado, firmas com grandes oportunidades de crescimento tenderiam a manter baixo seu nível de endividamento, </w:t>
      </w:r>
      <w:r w:rsidR="00C134ED">
        <w:t xml:space="preserve">para </w:t>
      </w:r>
      <w:r w:rsidR="001E025D" w:rsidRPr="00706042">
        <w:t xml:space="preserve">não prejudicar </w:t>
      </w:r>
      <w:r w:rsidR="00F41228">
        <w:t xml:space="preserve">sua </w:t>
      </w:r>
      <w:r w:rsidR="001E025D" w:rsidRPr="00706042">
        <w:t>capacidade de crédito</w:t>
      </w:r>
      <w:r w:rsidR="0076327B">
        <w:t xml:space="preserve">; </w:t>
      </w:r>
      <w:r w:rsidR="00C134ED">
        <w:t>p</w:t>
      </w:r>
      <w:r w:rsidR="001E025D" w:rsidRPr="00706042">
        <w:t>or outro lado, para que o crescimento ocorra</w:t>
      </w:r>
      <w:r w:rsidR="00F41228">
        <w:t>,</w:t>
      </w:r>
      <w:r w:rsidR="001E025D" w:rsidRPr="00706042">
        <w:t xml:space="preserve"> </w:t>
      </w:r>
      <w:r w:rsidR="001F425B">
        <w:t xml:space="preserve">é </w:t>
      </w:r>
      <w:r w:rsidR="00591326">
        <w:t xml:space="preserve">necessário </w:t>
      </w:r>
      <w:r w:rsidR="001F425B">
        <w:t xml:space="preserve">um aumento nos </w:t>
      </w:r>
      <w:r w:rsidR="001E025D" w:rsidRPr="00706042">
        <w:t>investimentos. Fama e Fr</w:t>
      </w:r>
      <w:r w:rsidR="00750D88" w:rsidRPr="00706042">
        <w:t>ench (2002) cham</w:t>
      </w:r>
      <w:r w:rsidR="001E025D" w:rsidRPr="00706042">
        <w:t xml:space="preserve">am estas duas possibilidades de versão complexa e simples da </w:t>
      </w:r>
      <w:r w:rsidR="001E025D" w:rsidRPr="00706042">
        <w:rPr>
          <w:i/>
          <w:iCs/>
        </w:rPr>
        <w:t>Pecking Order</w:t>
      </w:r>
      <w:r w:rsidR="001E025D" w:rsidRPr="00706042">
        <w:t>, respectivamente. Kayo e Famá (1997), em seu estudo pa</w:t>
      </w:r>
      <w:r w:rsidR="00750D88" w:rsidRPr="00706042">
        <w:t>ra o mercado brasileiro, mostr</w:t>
      </w:r>
      <w:r w:rsidR="001E025D" w:rsidRPr="00706042">
        <w:t xml:space="preserve">am que organizações que apresentam boas oportunidades de crescimento </w:t>
      </w:r>
      <w:r w:rsidR="001F425B">
        <w:t xml:space="preserve">possuem </w:t>
      </w:r>
      <w:r w:rsidR="001E025D" w:rsidRPr="00706042">
        <w:t>endividamento significativamente menor. Importante dizer que, segundo Barclay e Smith (1995), empresas com maiores oportunidade de crescimento são susceptíveis a ter, em média, financiamentos com maturidade média mais curta, além de preferirem a emissão de dívida privada em relação</w:t>
      </w:r>
      <w:r w:rsidR="00EB106A">
        <w:t xml:space="preserve"> à pública.</w:t>
      </w:r>
    </w:p>
    <w:p w:rsidR="001E025D" w:rsidRPr="00706042" w:rsidRDefault="00F41228" w:rsidP="000F7A6C">
      <w:r>
        <w:t>Sobre a variável fluxo de caixa livre</w:t>
      </w:r>
      <w:r w:rsidR="004A5261">
        <w:t xml:space="preserve"> </w:t>
      </w:r>
      <w:r w:rsidR="004A5261" w:rsidRPr="00706042">
        <w:t>(</w:t>
      </w:r>
      <w:r w:rsidR="004A5261" w:rsidRPr="004A5261">
        <w:rPr>
          <w:position w:val="-12"/>
        </w:rPr>
        <w:object w:dxaOrig="600" w:dyaOrig="360">
          <v:shape id="_x0000_i1092" type="#_x0000_t75" style="width:29.4pt;height:17.85pt" o:ole="">
            <v:imagedata r:id="rId143" o:title=""/>
          </v:shape>
          <o:OLEObject Type="Embed" ProgID="Equation.3" ShapeID="_x0000_i1092" DrawAspect="Content" ObjectID="_1340777153" r:id="rId144"/>
        </w:object>
      </w:r>
      <w:r w:rsidR="004A5261" w:rsidRPr="00706042">
        <w:t>)</w:t>
      </w:r>
      <w:r>
        <w:t xml:space="preserve">, </w:t>
      </w:r>
      <w:r w:rsidR="001E025D" w:rsidRPr="00706042">
        <w:t xml:space="preserve">a teoria do custo de agência afirma que </w:t>
      </w:r>
      <w:r>
        <w:t xml:space="preserve">o fato de possuir tal </w:t>
      </w:r>
      <w:r w:rsidR="001E025D" w:rsidRPr="00706042">
        <w:t xml:space="preserve">fluxo </w:t>
      </w:r>
      <w:r>
        <w:t>levaria à maior propensão ao endividamento, pelo efeito disciplinador da dívida sobre comportamentos oportunistas dos gestores</w:t>
      </w:r>
      <w:r w:rsidR="001E025D" w:rsidRPr="00706042">
        <w:t xml:space="preserve"> (JENSEN, 1986), </w:t>
      </w:r>
      <w:r w:rsidR="00603AA2" w:rsidRPr="00706042">
        <w:t>contrariando</w:t>
      </w:r>
      <w:r w:rsidR="001E025D" w:rsidRPr="00706042">
        <w:t xml:space="preserve"> as afirmações da </w:t>
      </w:r>
      <w:r w:rsidR="001E025D" w:rsidRPr="00706042">
        <w:rPr>
          <w:i/>
          <w:iCs/>
        </w:rPr>
        <w:t xml:space="preserve">Pecking Order </w:t>
      </w:r>
      <w:r w:rsidR="001E025D" w:rsidRPr="00706042">
        <w:t xml:space="preserve">sobre o comportamento da variável e </w:t>
      </w:r>
      <w:r w:rsidR="00603AA2" w:rsidRPr="00706042">
        <w:t>apoiando</w:t>
      </w:r>
      <w:r w:rsidR="001E025D" w:rsidRPr="00706042">
        <w:t xml:space="preserve"> a teoria do </w:t>
      </w:r>
      <w:r w:rsidR="001E025D" w:rsidRPr="00706042">
        <w:rPr>
          <w:i/>
          <w:iCs/>
        </w:rPr>
        <w:t>trade-off</w:t>
      </w:r>
      <w:r w:rsidR="001E025D" w:rsidRPr="00706042">
        <w:t>.</w:t>
      </w:r>
      <w:r w:rsidR="000F7A6C">
        <w:t xml:space="preserve"> Relação semelhante</w:t>
      </w:r>
      <w:r w:rsidR="000F7A6C">
        <w:rPr>
          <w:rStyle w:val="Refdenotaderodap"/>
        </w:rPr>
        <w:footnoteReference w:id="11"/>
      </w:r>
      <w:r w:rsidR="000F7A6C">
        <w:t xml:space="preserve"> pode ser vista quando se trata da </w:t>
      </w:r>
      <w:r w:rsidR="001E025D" w:rsidRPr="00706042">
        <w:t xml:space="preserve">lucratividade </w:t>
      </w:r>
      <w:r w:rsidR="000F7A6C">
        <w:t xml:space="preserve">ou rentabilidade </w:t>
      </w:r>
      <w:r w:rsidR="000F7A6C" w:rsidRPr="00706042">
        <w:t>(</w:t>
      </w:r>
      <w:r w:rsidR="000F7A6C" w:rsidRPr="00706042">
        <w:rPr>
          <w:position w:val="-12"/>
        </w:rPr>
        <w:object w:dxaOrig="600" w:dyaOrig="360">
          <v:shape id="_x0000_i1093" type="#_x0000_t75" style="width:29.4pt;height:17.85pt" o:ole="">
            <v:imagedata r:id="rId145" o:title=""/>
          </v:shape>
          <o:OLEObject Type="Embed" ProgID="Equation.3" ShapeID="_x0000_i1093" DrawAspect="Content" ObjectID="_1340777154" r:id="rId146"/>
        </w:object>
      </w:r>
      <w:r w:rsidR="000F7A6C" w:rsidRPr="00706042">
        <w:t>)</w:t>
      </w:r>
      <w:r w:rsidR="000F7A6C">
        <w:t xml:space="preserve"> da firma.</w:t>
      </w:r>
    </w:p>
    <w:p w:rsidR="000F7A6C" w:rsidRDefault="001E025D" w:rsidP="00926BF0">
      <w:r w:rsidRPr="00706042">
        <w:t>Quanto à tangibilidade dos ativos da firma</w:t>
      </w:r>
      <w:r w:rsidR="000F7A6C">
        <w:t xml:space="preserve"> </w:t>
      </w:r>
      <w:r w:rsidR="000F7A6C" w:rsidRPr="00706042">
        <w:t>(</w:t>
      </w:r>
      <w:r w:rsidR="000F7A6C" w:rsidRPr="00706042">
        <w:rPr>
          <w:position w:val="-12"/>
        </w:rPr>
        <w:object w:dxaOrig="760" w:dyaOrig="360">
          <v:shape id="_x0000_i1094" type="#_x0000_t75" style="width:37.45pt;height:17.85pt" o:ole="">
            <v:imagedata r:id="rId147" o:title=""/>
          </v:shape>
          <o:OLEObject Type="Embed" ProgID="Equation.3" ShapeID="_x0000_i1094" DrawAspect="Content" ObjectID="_1340777155" r:id="rId148"/>
        </w:object>
      </w:r>
      <w:r w:rsidR="000F7A6C" w:rsidRPr="00706042">
        <w:t>)</w:t>
      </w:r>
      <w:r w:rsidRPr="00706042">
        <w:t xml:space="preserve">, a teoria do </w:t>
      </w:r>
      <w:r w:rsidRPr="00706042">
        <w:rPr>
          <w:i/>
          <w:iCs/>
        </w:rPr>
        <w:t>trade-off</w:t>
      </w:r>
      <w:r w:rsidRPr="00706042">
        <w:t xml:space="preserve"> sugere </w:t>
      </w:r>
      <w:r w:rsidR="000F7A6C">
        <w:t xml:space="preserve">um </w:t>
      </w:r>
      <w:r w:rsidRPr="00706042">
        <w:t>sinal positivo, dado que os ativos tangíveis servem como garantia para a obtenção de novos financiamentos.</w:t>
      </w:r>
      <w:r w:rsidR="00EC5156" w:rsidRPr="00EC5156">
        <w:t xml:space="preserve"> </w:t>
      </w:r>
      <w:r w:rsidR="00926FA6">
        <w:t>E</w:t>
      </w:r>
      <w:r w:rsidR="00EC5156" w:rsidRPr="00706042">
        <w:t>mpresas com poucos ativos fixos tenderiam a se endividar</w:t>
      </w:r>
      <w:r w:rsidR="00EC5156">
        <w:t xml:space="preserve"> </w:t>
      </w:r>
      <w:r w:rsidR="00EC5156" w:rsidRPr="00706042">
        <w:t xml:space="preserve">menos, já que teriam </w:t>
      </w:r>
      <w:r w:rsidR="00926FA6" w:rsidRPr="00706042">
        <w:t xml:space="preserve">maiores </w:t>
      </w:r>
      <w:r w:rsidR="00EC5156" w:rsidRPr="00706042">
        <w:t xml:space="preserve">problemas </w:t>
      </w:r>
      <w:r w:rsidR="00926FA6">
        <w:t>de</w:t>
      </w:r>
      <w:r w:rsidR="00EC5156" w:rsidRPr="00706042">
        <w:t xml:space="preserve"> informações assimétricas</w:t>
      </w:r>
      <w:r w:rsidR="00926FA6">
        <w:t xml:space="preserve"> (</w:t>
      </w:r>
      <w:r w:rsidR="00926FA6" w:rsidRPr="00706042">
        <w:t>HARRI</w:t>
      </w:r>
      <w:r w:rsidR="00926FA6">
        <w:t xml:space="preserve">S e RAVIV, </w:t>
      </w:r>
      <w:r w:rsidR="00926FA6" w:rsidRPr="00706042">
        <w:t>1991)</w:t>
      </w:r>
      <w:r w:rsidR="00EC5156" w:rsidRPr="00706042">
        <w:t>.</w:t>
      </w:r>
    </w:p>
    <w:p w:rsidR="00F11C4B" w:rsidRPr="00706042" w:rsidRDefault="00F11C4B" w:rsidP="00F11C4B">
      <w:r w:rsidRPr="00706042">
        <w:t xml:space="preserve">Segundo autores como Modigliani e Miller (1963), Kayo (2002) e Daher (2004), o endividamento da empresa tem forte associação com o ambiente fiscal, podendo sofrer influência dos benefícios resultantes </w:t>
      </w:r>
      <w:r>
        <w:lastRenderedPageBreak/>
        <w:t>pela</w:t>
      </w:r>
      <w:r w:rsidRPr="00706042">
        <w:t xml:space="preserve"> dedução nos impostos </w:t>
      </w:r>
      <w:r>
        <w:t>trazida pe</w:t>
      </w:r>
      <w:r w:rsidRPr="00706042">
        <w:t>lo pagamento de juros. Terra (2005) afirma que, para empresas latino-americanas, os efeitos fiscais</w:t>
      </w:r>
      <w:r>
        <w:t xml:space="preserve"> </w:t>
      </w:r>
      <w:r w:rsidRPr="00706042">
        <w:t>(</w:t>
      </w:r>
      <w:r w:rsidRPr="00706042">
        <w:rPr>
          <w:position w:val="-12"/>
        </w:rPr>
        <w:object w:dxaOrig="680" w:dyaOrig="360">
          <v:shape id="_x0000_i1095" type="#_x0000_t75" style="width:33.4pt;height:17.85pt" o:ole="">
            <v:imagedata r:id="rId149" o:title=""/>
          </v:shape>
          <o:OLEObject Type="Embed" ProgID="Equation.3" ShapeID="_x0000_i1095" DrawAspect="Content" ObjectID="_1340777156" r:id="rId150"/>
        </w:object>
      </w:r>
      <w:r w:rsidRPr="00706042">
        <w:t>) têm um efeito positivo sobre o volume de dívidas de curto prazo e negativo sobre o longo prazo.</w:t>
      </w:r>
    </w:p>
    <w:p w:rsidR="00F11C4B" w:rsidRPr="00706042" w:rsidRDefault="00F11C4B" w:rsidP="00F11C4B">
      <w:r w:rsidRPr="00706042">
        <w:t>Ainda segundo Terra (2005), a liquidez dos ativos da empresa (</w:t>
      </w:r>
      <w:r w:rsidRPr="00706042">
        <w:rPr>
          <w:position w:val="-12"/>
        </w:rPr>
        <w:object w:dxaOrig="560" w:dyaOrig="360">
          <v:shape id="_x0000_i1096" type="#_x0000_t75" style="width:27.65pt;height:17.85pt" o:ole="">
            <v:imagedata r:id="rId151" o:title=""/>
          </v:shape>
          <o:OLEObject Type="Embed" ProgID="Equation.3" ShapeID="_x0000_i1096" DrawAspect="Content" ObjectID="_1340777157" r:id="rId152"/>
        </w:object>
      </w:r>
      <w:r w:rsidRPr="00706042">
        <w:t>)</w:t>
      </w:r>
      <w:r>
        <w:t xml:space="preserve"> </w:t>
      </w:r>
      <w:r w:rsidRPr="00706042">
        <w:t xml:space="preserve">é de grande importância </w:t>
      </w:r>
      <w:r>
        <w:t xml:space="preserve">e  </w:t>
      </w:r>
      <w:r w:rsidRPr="00706042">
        <w:t xml:space="preserve">apresenta relação positiva com a </w:t>
      </w:r>
      <w:r>
        <w:t>maturação das dívidas</w:t>
      </w:r>
      <w:r w:rsidRPr="00706042">
        <w:t xml:space="preserve">, </w:t>
      </w:r>
      <w:r>
        <w:t xml:space="preserve">indicando </w:t>
      </w:r>
      <w:r w:rsidRPr="00706042">
        <w:t>que quanto maior a liquidez, maior será a maturidade média das dívidas da empresa.</w:t>
      </w:r>
    </w:p>
    <w:p w:rsidR="00F11C4B" w:rsidRPr="00706042" w:rsidRDefault="00F11C4B" w:rsidP="00F11C4B">
      <w:r w:rsidRPr="00706042">
        <w:t>Quando se trata de risco operacional</w:t>
      </w:r>
      <w:r>
        <w:t xml:space="preserve"> </w:t>
      </w:r>
      <w:r w:rsidRPr="00706042">
        <w:t>(</w:t>
      </w:r>
      <w:r w:rsidRPr="00BA5775">
        <w:rPr>
          <w:position w:val="-12"/>
        </w:rPr>
        <w:object w:dxaOrig="680" w:dyaOrig="360">
          <v:shape id="_x0000_i1097" type="#_x0000_t75" style="width:33.4pt;height:17.85pt" o:ole="">
            <v:imagedata r:id="rId153" o:title=""/>
          </v:shape>
          <o:OLEObject Type="Embed" ProgID="Equation.3" ShapeID="_x0000_i1097" DrawAspect="Content" ObjectID="_1340777158" r:id="rId154"/>
        </w:object>
      </w:r>
      <w:r w:rsidRPr="00706042">
        <w:t xml:space="preserve">), empresas cujos projetos apresentam baixos riscos têm incentivo maior ao endividamento, </w:t>
      </w:r>
      <w:r>
        <w:t xml:space="preserve">devido aos menores </w:t>
      </w:r>
      <w:r w:rsidRPr="00706042">
        <w:t xml:space="preserve">custos de falência e agência. Barclay e Smith (1995) afirmam que quanto maior o risco operacional de uma organização, menor será </w:t>
      </w:r>
      <w:r>
        <w:t>seu</w:t>
      </w:r>
      <w:r w:rsidRPr="00706042">
        <w:t xml:space="preserve"> volume de financiamentos de longo prazo, </w:t>
      </w:r>
      <w:r>
        <w:t xml:space="preserve">pois seus </w:t>
      </w:r>
      <w:r w:rsidRPr="00706042">
        <w:t xml:space="preserve">custos </w:t>
      </w:r>
      <w:r>
        <w:t xml:space="preserve">seriam </w:t>
      </w:r>
      <w:r w:rsidRPr="00706042">
        <w:t>excessivamente altos.</w:t>
      </w:r>
    </w:p>
    <w:p w:rsidR="00F11C4B" w:rsidRDefault="00F11C4B" w:rsidP="00F11C4B">
      <w:r w:rsidRPr="00706042">
        <w:t>A seguir serão descritas as variáveis utilizadas neste trabalho, tanto para o modelo d</w:t>
      </w:r>
      <w:r>
        <w:t>e determinantes da</w:t>
      </w:r>
      <w:r w:rsidRPr="00706042">
        <w:t xml:space="preserve"> fonte da dívida, quanto para o modelo d</w:t>
      </w:r>
      <w:r>
        <w:t>e determinantes d</w:t>
      </w:r>
      <w:r w:rsidRPr="00706042">
        <w:t>a maturidade d</w:t>
      </w:r>
      <w:r>
        <w:t>essa</w:t>
      </w:r>
      <w:r w:rsidRPr="00706042">
        <w:t xml:space="preserve">. Tais informações estão dispostas na </w:t>
      </w:r>
      <w:r>
        <w:t>t</w:t>
      </w:r>
      <w:r w:rsidRPr="00706042">
        <w:t>abela 1.</w:t>
      </w:r>
    </w:p>
    <w:p w:rsidR="00F11C4B" w:rsidRDefault="00F11C4B" w:rsidP="00F11C4B">
      <w:r w:rsidRPr="00706042">
        <w:t xml:space="preserve">No caso da análise do tempo de maturação, utiliza-se uma variável </w:t>
      </w:r>
      <w:r w:rsidRPr="00706042">
        <w:rPr>
          <w:i/>
        </w:rPr>
        <w:t xml:space="preserve">proxy </w:t>
      </w:r>
      <w:r w:rsidRPr="00706042">
        <w:t xml:space="preserve">da maturidade da dívida para cada empresa, medida de duas formas diferentes </w:t>
      </w:r>
      <w:r>
        <w:t>de forma a s</w:t>
      </w:r>
      <w:r w:rsidRPr="00706042">
        <w:t>er usada nas duas equações do sistema. A primeira é chamada de “MAT1”</w:t>
      </w:r>
      <w:r>
        <w:t xml:space="preserve"> e</w:t>
      </w:r>
      <w:r w:rsidRPr="00706042">
        <w:t xml:space="preserve"> refere</w:t>
      </w:r>
      <w:r>
        <w:t>-se</w:t>
      </w:r>
      <w:r w:rsidRPr="00706042">
        <w:t xml:space="preserve"> ao volume de endividamento de longo prazo da empresa</w:t>
      </w:r>
      <w:r>
        <w:t xml:space="preserve">, sendo </w:t>
      </w:r>
      <w:r w:rsidRPr="00706042">
        <w:t>calculada a partir da razão entre suas dívidas de longo prazo e seu ativo total. A segunda, “MAT2”, tem em seu numerador “Dívidas de Curto Prazo” incluídos os financiamentos de fornecedores (da conta Financiamentos Operacionais, exceto salários a pagar, impostos a pagar e outras obrigações que não são tid</w:t>
      </w:r>
      <w:r>
        <w:t>a</w:t>
      </w:r>
      <w:r w:rsidRPr="00706042">
        <w:t>s propriamente como dívidas e que poderiam alterar os resultados deste trabalho). Desta forma, define-se</w:t>
      </w:r>
      <w:r>
        <w:t>,</w:t>
      </w:r>
      <w:r w:rsidRPr="00706042">
        <w:t xml:space="preserve"> de acordo com Titman e Wessels (1988):</w:t>
      </w:r>
    </w:p>
    <w:p w:rsidR="00827BEB" w:rsidRDefault="00827BEB" w:rsidP="00F11C4B"/>
    <w:p w:rsidR="00827BEB" w:rsidRDefault="00827BEB" w:rsidP="00827BEB">
      <w:pPr>
        <w:pStyle w:val="Frmula"/>
      </w:pPr>
      <m:oMath>
        <m:r>
          <w:rPr>
            <w:rFonts w:ascii="Cambria Math" w:hAnsi="Cambria Math"/>
          </w:rPr>
          <m:t>MAT1=</m:t>
        </m:r>
        <m:f>
          <m:fPr>
            <m:ctrlPr>
              <w:rPr>
                <w:rFonts w:ascii="Cambria Math" w:hAnsi="Cambria Math"/>
                <w:i/>
              </w:rPr>
            </m:ctrlPr>
          </m:fPr>
          <m:num>
            <m:r>
              <m:rPr>
                <m:nor/>
              </m:rPr>
              <m:t>Dívidas de LP</m:t>
            </m:r>
          </m:num>
          <m:den>
            <m:r>
              <m:rPr>
                <m:nor/>
              </m:rPr>
              <m:t>Ativo Total</m:t>
            </m:r>
          </m:den>
        </m:f>
      </m:oMath>
      <w:r>
        <w:tab/>
      </w:r>
      <w:r>
        <w:tab/>
      </w:r>
      <w:r>
        <w:tab/>
      </w:r>
      <w:r>
        <w:tab/>
      </w:r>
      <w:r>
        <w:tab/>
      </w:r>
      <w:r>
        <w:tab/>
      </w:r>
      <w:r>
        <w:tab/>
      </w:r>
      <w:r>
        <w:tab/>
      </w:r>
      <w:r>
        <w:tab/>
        <w:t>(4.5)</w:t>
      </w:r>
    </w:p>
    <w:p w:rsidR="00F11C4B" w:rsidRDefault="00F11C4B" w:rsidP="00F11C4B">
      <w:r w:rsidRPr="00706042">
        <w:t>e</w:t>
      </w:r>
    </w:p>
    <w:p w:rsidR="00F11C4B" w:rsidRDefault="00827BEB" w:rsidP="00827BEB">
      <w:pPr>
        <w:pStyle w:val="Frmula"/>
      </w:pPr>
      <m:oMath>
        <m:r>
          <w:rPr>
            <w:rFonts w:ascii="Cambria Math" w:hAnsi="Cambria Math"/>
          </w:rPr>
          <m:t>MAT2=</m:t>
        </m:r>
        <m:f>
          <m:fPr>
            <m:ctrlPr>
              <w:rPr>
                <w:rFonts w:ascii="Cambria Math" w:hAnsi="Cambria Math"/>
                <w:i/>
              </w:rPr>
            </m:ctrlPr>
          </m:fPr>
          <m:num>
            <m:r>
              <m:rPr>
                <m:nor/>
              </m:rPr>
              <m:t>Dívidas de CP (incluindo Financiamento de Fornecedores)</m:t>
            </m:r>
          </m:num>
          <m:den>
            <m:r>
              <m:rPr>
                <m:nor/>
              </m:rPr>
              <m:t>Ativo Total</m:t>
            </m:r>
          </m:den>
        </m:f>
      </m:oMath>
      <w:r w:rsidR="00F11C4B" w:rsidRPr="00706042">
        <w:tab/>
      </w:r>
      <w:r>
        <w:tab/>
      </w:r>
      <w:r>
        <w:tab/>
      </w:r>
      <w:r>
        <w:tab/>
      </w:r>
      <w:r>
        <w:tab/>
      </w:r>
      <w:r w:rsidR="00F11C4B" w:rsidRPr="00706042">
        <w:t>(4.</w:t>
      </w:r>
      <w:r w:rsidR="00F11C4B">
        <w:t>6</w:t>
      </w:r>
      <w:r w:rsidR="00F11C4B" w:rsidRPr="00706042">
        <w:t>)</w:t>
      </w:r>
    </w:p>
    <w:p w:rsidR="00827BEB" w:rsidRDefault="00827BEB" w:rsidP="00827BEB"/>
    <w:p w:rsidR="00F11C4B" w:rsidRDefault="003F421F" w:rsidP="00F11C4B">
      <w:r>
        <w:t xml:space="preserve">De modo semelhante, </w:t>
      </w:r>
      <w:r w:rsidR="00F11C4B" w:rsidRPr="00706042">
        <w:rPr>
          <w:i/>
          <w:iCs/>
        </w:rPr>
        <w:t>proxy</w:t>
      </w:r>
      <w:r w:rsidR="00F11C4B" w:rsidRPr="00706042">
        <w:t xml:space="preserve"> </w:t>
      </w:r>
      <w:r>
        <w:t xml:space="preserve">para as </w:t>
      </w:r>
      <w:r w:rsidRPr="00706042">
        <w:t>fontes dos recursos</w:t>
      </w:r>
      <w:r>
        <w:rPr>
          <w:rStyle w:val="Refdenotaderodap"/>
        </w:rPr>
        <w:footnoteReference w:id="12"/>
      </w:r>
      <w:r w:rsidRPr="00706042">
        <w:t xml:space="preserve"> </w:t>
      </w:r>
      <w:r>
        <w:t>é formulada de duas maneiras:</w:t>
      </w:r>
    </w:p>
    <w:p w:rsidR="00827BEB" w:rsidRDefault="00827BEB" w:rsidP="00F11C4B"/>
    <w:p w:rsidR="00F11C4B" w:rsidRPr="00706042" w:rsidRDefault="00827BEB" w:rsidP="00F11C4B">
      <w:pPr>
        <w:pStyle w:val="Frmula"/>
      </w:pPr>
      <m:oMath>
        <m:r>
          <w:rPr>
            <w:rFonts w:ascii="Cambria Math" w:hAnsi="Cambria Math"/>
          </w:rPr>
          <m:t>FIN1=</m:t>
        </m:r>
        <m:f>
          <m:fPr>
            <m:ctrlPr>
              <w:rPr>
                <w:rFonts w:ascii="Cambria Math" w:hAnsi="Cambria Math"/>
                <w:i/>
              </w:rPr>
            </m:ctrlPr>
          </m:fPr>
          <m:num>
            <m:r>
              <m:rPr>
                <m:nor/>
              </m:rPr>
              <m:t>Dívida</m:t>
            </m:r>
            <m:r>
              <m:rPr>
                <m:nor/>
              </m:rPr>
              <w:rPr>
                <w:rFonts w:ascii="Cambria Math"/>
              </w:rPr>
              <m:t xml:space="preserve"> P</m:t>
            </m:r>
            <m:r>
              <m:rPr>
                <m:nor/>
              </m:rPr>
              <w:rPr>
                <w:rFonts w:ascii="Cambria Math"/>
              </w:rPr>
              <m:t>ú</m:t>
            </m:r>
            <m:r>
              <m:rPr>
                <m:nor/>
              </m:rPr>
              <w:rPr>
                <w:rFonts w:ascii="Cambria Math"/>
              </w:rPr>
              <m:t>blica</m:t>
            </m:r>
          </m:num>
          <m:den>
            <m:r>
              <m:rPr>
                <m:nor/>
              </m:rPr>
              <m:t>Ativo Total</m:t>
            </m:r>
          </m:den>
        </m:f>
      </m:oMath>
      <w:r w:rsidR="00F11C4B">
        <w:tab/>
      </w:r>
      <w:r w:rsidR="00F11C4B" w:rsidRPr="00706042">
        <w:tab/>
      </w:r>
      <w:r>
        <w:tab/>
      </w:r>
      <w:r>
        <w:tab/>
      </w:r>
      <w:r>
        <w:tab/>
      </w:r>
      <w:r>
        <w:tab/>
      </w:r>
      <w:r w:rsidR="00F11C4B">
        <w:tab/>
      </w:r>
      <w:r w:rsidR="00F11C4B" w:rsidRPr="00706042">
        <w:tab/>
      </w:r>
      <w:r w:rsidR="00F11C4B" w:rsidRPr="00706042">
        <w:tab/>
        <w:t>(4.</w:t>
      </w:r>
      <w:r w:rsidR="00F11C4B">
        <w:t>7</w:t>
      </w:r>
      <w:r w:rsidR="00F11C4B" w:rsidRPr="00706042">
        <w:t>)</w:t>
      </w:r>
    </w:p>
    <w:p w:rsidR="00F11C4B" w:rsidRDefault="00F11C4B" w:rsidP="00F11C4B">
      <w:r w:rsidRPr="00706042">
        <w:t>e</w:t>
      </w:r>
    </w:p>
    <w:p w:rsidR="00F11C4B" w:rsidRDefault="00827BEB" w:rsidP="00F11C4B">
      <w:pPr>
        <w:pStyle w:val="Frmula"/>
      </w:pPr>
      <m:oMath>
        <m:r>
          <w:rPr>
            <w:rFonts w:ascii="Cambria Math" w:hAnsi="Cambria Math"/>
          </w:rPr>
          <m:t>FIN1=</m:t>
        </m:r>
        <m:f>
          <m:fPr>
            <m:ctrlPr>
              <w:rPr>
                <w:rFonts w:ascii="Cambria Math" w:hAnsi="Cambria Math"/>
                <w:i/>
              </w:rPr>
            </m:ctrlPr>
          </m:fPr>
          <m:num>
            <m:r>
              <m:rPr>
                <m:nor/>
              </m:rPr>
              <m:t>Dívida</m:t>
            </m:r>
            <m:r>
              <m:rPr>
                <m:nor/>
              </m:rPr>
              <w:rPr>
                <w:rFonts w:ascii="Cambria Math"/>
              </w:rPr>
              <m:t xml:space="preserve"> Privada</m:t>
            </m:r>
          </m:num>
          <m:den>
            <m:r>
              <m:rPr>
                <m:nor/>
              </m:rPr>
              <m:t>Ativo Total</m:t>
            </m:r>
          </m:den>
        </m:f>
      </m:oMath>
      <w:r w:rsidR="00F11C4B">
        <w:tab/>
      </w:r>
      <w:r w:rsidR="00F11C4B">
        <w:tab/>
      </w:r>
      <w:r>
        <w:tab/>
      </w:r>
      <w:r>
        <w:tab/>
      </w:r>
      <w:r w:rsidR="00F11C4B">
        <w:tab/>
      </w:r>
      <w:r w:rsidR="00F11C4B">
        <w:tab/>
      </w:r>
      <w:r w:rsidR="00F11C4B">
        <w:tab/>
      </w:r>
      <w:r w:rsidR="00F11C4B" w:rsidRPr="00706042">
        <w:tab/>
      </w:r>
      <w:r w:rsidR="00F11C4B" w:rsidRPr="00706042">
        <w:tab/>
        <w:t>(4.</w:t>
      </w:r>
      <w:r w:rsidR="00F11C4B">
        <w:t>8</w:t>
      </w:r>
      <w:r w:rsidR="00F11C4B" w:rsidRPr="00706042">
        <w:t>)</w:t>
      </w:r>
    </w:p>
    <w:p w:rsidR="00827BEB" w:rsidRPr="00706042" w:rsidRDefault="00827BEB" w:rsidP="00827BEB"/>
    <w:p w:rsidR="00F11C4B" w:rsidRDefault="00F11C4B" w:rsidP="00F11C4B">
      <w:r w:rsidRPr="00706042">
        <w:t xml:space="preserve">O nível de alavancagem total </w:t>
      </w:r>
      <w:r>
        <w:t xml:space="preserve">que a empresa possui no momento da estimação </w:t>
      </w:r>
      <w:r w:rsidRPr="00706042">
        <w:t>é uma importante característica que deve ser considerada ao se investigar a decisão relacionada com a estrutura de capital da firma.</w:t>
      </w:r>
    </w:p>
    <w:p w:rsidR="00827BEB" w:rsidRDefault="00827BEB" w:rsidP="00827BEB">
      <w:r w:rsidRPr="00706042">
        <w:t>Neste trabalho, ele é calculado como a razão entre o endividamento total e o investimento total (ativo total) da empresa. Define-se</w:t>
      </w:r>
      <w:r w:rsidRPr="00706042">
        <w:rPr>
          <w:rStyle w:val="Refdenotaderodap"/>
        </w:rPr>
        <w:footnoteReference w:id="13"/>
      </w:r>
      <w:r w:rsidRPr="00706042">
        <w:t>:</w:t>
      </w:r>
    </w:p>
    <w:p w:rsidR="00827BEB" w:rsidRDefault="00827BEB" w:rsidP="00827BEB"/>
    <w:p w:rsidR="00827BEB" w:rsidRDefault="00827BEB" w:rsidP="00827BEB">
      <w:pPr>
        <w:pStyle w:val="Frmula"/>
      </w:pPr>
      <m:oMath>
        <m:r>
          <w:rPr>
            <w:rFonts w:ascii="Cambria Math" w:hAnsi="Cambria Math"/>
          </w:rPr>
          <m:t>ALAV=</m:t>
        </m:r>
        <m:f>
          <m:fPr>
            <m:ctrlPr>
              <w:rPr>
                <w:rFonts w:ascii="Cambria Math" w:hAnsi="Cambria Math"/>
                <w:i/>
              </w:rPr>
            </m:ctrlPr>
          </m:fPr>
          <m:num>
            <m:r>
              <m:rPr>
                <m:nor/>
              </m:rPr>
              <m:t>Dívidas CP + Dívidas LP</m:t>
            </m:r>
          </m:num>
          <m:den>
            <m:r>
              <m:rPr>
                <m:nor/>
              </m:rPr>
              <m:t>Ativo Total</m:t>
            </m:r>
          </m:den>
        </m:f>
      </m:oMath>
      <w:r>
        <w:tab/>
      </w:r>
      <w:r>
        <w:tab/>
      </w:r>
      <w:r w:rsidRPr="00706042">
        <w:tab/>
      </w:r>
      <w:r>
        <w:tab/>
      </w:r>
      <w:r>
        <w:tab/>
      </w:r>
      <w:r>
        <w:tab/>
      </w:r>
      <w:r w:rsidRPr="00706042">
        <w:tab/>
      </w:r>
      <w:r w:rsidRPr="00706042">
        <w:tab/>
        <w:t>(4.</w:t>
      </w:r>
      <w:r>
        <w:t>9</w:t>
      </w:r>
      <w:r w:rsidRPr="00706042">
        <w:t>)</w:t>
      </w:r>
    </w:p>
    <w:p w:rsidR="00827BEB" w:rsidRDefault="00827BEB" w:rsidP="00827BEB"/>
    <w:p w:rsidR="00F11C4B" w:rsidRDefault="00827BEB" w:rsidP="00926BF0">
      <w:r>
        <w:t>Ess</w:t>
      </w:r>
      <w:r w:rsidRPr="00706042">
        <w:t>a variável pode ser explicada, pelo menos em parte, pelas demais características da organização, tais como o tamanho da firma, liquidez, tangibilidade, etc. Em outras palavras, está correlacionada com as outras variáveis explicativas e, ao ignorar tal aspecto, corre-se o risco de encontrar resultados viesados.</w:t>
      </w:r>
    </w:p>
    <w:p w:rsidR="00F11C4B" w:rsidRDefault="00F11C4B" w:rsidP="00D45D2A"/>
    <w:p w:rsidR="00D45D2A" w:rsidRPr="00706042" w:rsidRDefault="00D45D2A" w:rsidP="009A78CA">
      <w:pPr>
        <w:sectPr w:rsidR="00D45D2A" w:rsidRPr="00706042" w:rsidSect="00150185">
          <w:headerReference w:type="default" r:id="rId155"/>
          <w:pgSz w:w="11907" w:h="16840" w:code="9"/>
          <w:pgMar w:top="1134" w:right="851" w:bottom="1134" w:left="851" w:header="680" w:footer="680" w:gutter="0"/>
          <w:pgNumType w:start="1"/>
          <w:cols w:space="708"/>
          <w:docGrid w:linePitch="360"/>
        </w:sectPr>
      </w:pPr>
    </w:p>
    <w:p w:rsidR="001E025D" w:rsidRPr="00706042" w:rsidRDefault="001E025D" w:rsidP="00867704">
      <w:pPr>
        <w:pStyle w:val="Tabela"/>
      </w:pPr>
      <w:bookmarkStart w:id="24" w:name="_Toc256617291"/>
      <w:r w:rsidRPr="00706042">
        <w:lastRenderedPageBreak/>
        <w:t>Tabela 1: Definição das variáveis independentes utilizadas</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1019"/>
        <w:gridCol w:w="6495"/>
        <w:gridCol w:w="1453"/>
        <w:gridCol w:w="1049"/>
        <w:gridCol w:w="1692"/>
        <w:gridCol w:w="545"/>
      </w:tblGrid>
      <w:tr w:rsidR="000C7E46" w:rsidRPr="008B6D74" w:rsidTr="00762136">
        <w:tc>
          <w:tcPr>
            <w:tcW w:w="0" w:type="auto"/>
            <w:vMerge w:val="restart"/>
            <w:tcBorders>
              <w:top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Variável</w:t>
            </w:r>
          </w:p>
        </w:tc>
        <w:tc>
          <w:tcPr>
            <w:tcW w:w="0" w:type="auto"/>
            <w:vMerge w:val="restart"/>
            <w:tcBorders>
              <w:top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Regressor</w:t>
            </w:r>
          </w:p>
        </w:tc>
        <w:tc>
          <w:tcPr>
            <w:tcW w:w="0" w:type="auto"/>
            <w:vMerge w:val="restart"/>
            <w:tcBorders>
              <w:top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Definição</w:t>
            </w:r>
          </w:p>
        </w:tc>
        <w:tc>
          <w:tcPr>
            <w:tcW w:w="0" w:type="auto"/>
            <w:gridSpan w:val="2"/>
            <w:tcBorders>
              <w:top w:val="single" w:sz="12" w:space="0" w:color="auto"/>
              <w:bottom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Maturidade</w:t>
            </w:r>
          </w:p>
        </w:tc>
        <w:tc>
          <w:tcPr>
            <w:tcW w:w="0" w:type="auto"/>
            <w:gridSpan w:val="2"/>
            <w:tcBorders>
              <w:top w:val="single" w:sz="12" w:space="0" w:color="auto"/>
              <w:bottom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Fonte</w:t>
            </w:r>
          </w:p>
        </w:tc>
      </w:tr>
      <w:tr w:rsidR="000C7E46" w:rsidRPr="008B6D74" w:rsidTr="00762136">
        <w:tc>
          <w:tcPr>
            <w:tcW w:w="0" w:type="auto"/>
            <w:vMerge/>
            <w:tcBorders>
              <w:bottom w:val="single" w:sz="12" w:space="0" w:color="auto"/>
            </w:tcBorders>
            <w:vAlign w:val="center"/>
          </w:tcPr>
          <w:p w:rsidR="00D24692" w:rsidRPr="008B6D74" w:rsidRDefault="00D24692" w:rsidP="00762136">
            <w:pPr>
              <w:pStyle w:val="SemEspaamento"/>
              <w:jc w:val="left"/>
              <w:rPr>
                <w:rFonts w:cs="Times New Roman"/>
                <w:sz w:val="16"/>
                <w:szCs w:val="16"/>
              </w:rPr>
            </w:pPr>
          </w:p>
        </w:tc>
        <w:tc>
          <w:tcPr>
            <w:tcW w:w="0" w:type="auto"/>
            <w:vMerge/>
            <w:tcBorders>
              <w:bottom w:val="single" w:sz="12" w:space="0" w:color="auto"/>
            </w:tcBorders>
            <w:vAlign w:val="center"/>
          </w:tcPr>
          <w:p w:rsidR="00D24692" w:rsidRPr="008B6D74" w:rsidRDefault="00D24692" w:rsidP="00762136">
            <w:pPr>
              <w:pStyle w:val="SemEspaamento"/>
              <w:jc w:val="center"/>
              <w:rPr>
                <w:rFonts w:cs="Times New Roman"/>
                <w:sz w:val="16"/>
                <w:szCs w:val="16"/>
              </w:rPr>
            </w:pPr>
          </w:p>
        </w:tc>
        <w:tc>
          <w:tcPr>
            <w:tcW w:w="0" w:type="auto"/>
            <w:vMerge/>
            <w:tcBorders>
              <w:bottom w:val="single" w:sz="12" w:space="0" w:color="auto"/>
            </w:tcBorders>
            <w:vAlign w:val="center"/>
          </w:tcPr>
          <w:p w:rsidR="00D24692" w:rsidRPr="008B6D74" w:rsidRDefault="00D24692" w:rsidP="00762136">
            <w:pPr>
              <w:pStyle w:val="SemEspaamento"/>
              <w:jc w:val="center"/>
              <w:rPr>
                <w:rFonts w:cs="Times New Roman"/>
                <w:sz w:val="16"/>
                <w:szCs w:val="16"/>
              </w:rPr>
            </w:pPr>
          </w:p>
        </w:tc>
        <w:tc>
          <w:tcPr>
            <w:tcW w:w="0" w:type="auto"/>
            <w:tcBorders>
              <w:top w:val="single" w:sz="12" w:space="0" w:color="auto"/>
              <w:bottom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Referencial</w:t>
            </w:r>
          </w:p>
        </w:tc>
        <w:tc>
          <w:tcPr>
            <w:tcW w:w="0" w:type="auto"/>
            <w:tcBorders>
              <w:top w:val="single" w:sz="12" w:space="0" w:color="auto"/>
              <w:bottom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Sinal</w:t>
            </w:r>
            <w:r w:rsidRPr="008B6D74">
              <w:rPr>
                <w:rStyle w:val="Refdenotaderodap"/>
                <w:rFonts w:cs="Times New Roman"/>
                <w:sz w:val="16"/>
                <w:szCs w:val="16"/>
              </w:rPr>
              <w:footnoteReference w:id="14"/>
            </w:r>
          </w:p>
        </w:tc>
        <w:tc>
          <w:tcPr>
            <w:tcW w:w="0" w:type="auto"/>
            <w:tcBorders>
              <w:top w:val="single" w:sz="12" w:space="0" w:color="auto"/>
              <w:bottom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Referencial</w:t>
            </w:r>
          </w:p>
        </w:tc>
        <w:tc>
          <w:tcPr>
            <w:tcW w:w="0" w:type="auto"/>
            <w:tcBorders>
              <w:top w:val="single" w:sz="12" w:space="0" w:color="auto"/>
              <w:bottom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Sinal</w:t>
            </w:r>
          </w:p>
        </w:tc>
      </w:tr>
      <w:tr w:rsidR="000C7E46" w:rsidRPr="008B6D74" w:rsidTr="00762136">
        <w:tc>
          <w:tcPr>
            <w:tcW w:w="0" w:type="auto"/>
            <w:tcBorders>
              <w:top w:val="single" w:sz="12" w:space="0" w:color="auto"/>
            </w:tcBorders>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Nível de Alavancagem</w:t>
            </w:r>
          </w:p>
        </w:tc>
        <w:tc>
          <w:tcPr>
            <w:tcW w:w="0" w:type="auto"/>
            <w:tcBorders>
              <w:top w:val="single" w:sz="12" w:space="0" w:color="auto"/>
            </w:tcBorders>
            <w:vAlign w:val="center"/>
          </w:tcPr>
          <w:p w:rsidR="00D24692" w:rsidRPr="008B6D74" w:rsidRDefault="00221A32" w:rsidP="00762136">
            <w:pPr>
              <w:pStyle w:val="SemEspaamento"/>
              <w:jc w:val="center"/>
              <w:rPr>
                <w:rFonts w:cs="Times New Roman"/>
                <w:sz w:val="16"/>
                <w:szCs w:val="16"/>
              </w:rPr>
            </w:pPr>
            <w:r w:rsidRPr="008B6D74">
              <w:rPr>
                <w:rFonts w:cs="Times New Roman"/>
                <w:sz w:val="16"/>
                <w:szCs w:val="16"/>
              </w:rPr>
              <w:t>ALAV</w:t>
            </w:r>
            <w:r w:rsidRPr="008B6D74">
              <w:rPr>
                <w:rFonts w:cs="Times New Roman"/>
                <w:sz w:val="16"/>
                <w:szCs w:val="16"/>
                <w:vertAlign w:val="subscript"/>
              </w:rPr>
              <w:t>it</w:t>
            </w:r>
          </w:p>
        </w:tc>
        <w:tc>
          <w:tcPr>
            <w:tcW w:w="0" w:type="auto"/>
            <w:tcBorders>
              <w:top w:val="single" w:sz="12" w:space="0" w:color="auto"/>
            </w:tcBorders>
            <w:vAlign w:val="center"/>
          </w:tcPr>
          <w:p w:rsidR="00D24692" w:rsidRPr="008B6D74" w:rsidRDefault="00D24692" w:rsidP="00762136">
            <w:pPr>
              <w:pStyle w:val="SemEspaamento"/>
              <w:rPr>
                <w:rFonts w:cs="Times New Roman"/>
                <w:sz w:val="16"/>
                <w:szCs w:val="16"/>
              </w:rPr>
            </w:pPr>
            <w:r w:rsidRPr="008B6D74">
              <w:rPr>
                <w:rFonts w:cs="Times New Roman"/>
                <w:sz w:val="16"/>
                <w:szCs w:val="16"/>
              </w:rPr>
              <w:t>Dado pelo resíduo da regressão do nível de endividamento contra todas as outras variáveis independentes.</w:t>
            </w:r>
          </w:p>
        </w:tc>
        <w:tc>
          <w:tcPr>
            <w:tcW w:w="0" w:type="auto"/>
            <w:tcBorders>
              <w:top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Titman e Wessels (1988)</w:t>
            </w:r>
          </w:p>
        </w:tc>
        <w:tc>
          <w:tcPr>
            <w:tcW w:w="0" w:type="auto"/>
            <w:tcBorders>
              <w:top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tcBorders>
              <w:top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Titman e Wessels (1988)</w:t>
            </w:r>
          </w:p>
        </w:tc>
        <w:tc>
          <w:tcPr>
            <w:tcW w:w="0" w:type="auto"/>
            <w:tcBorders>
              <w:top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r>
      <w:tr w:rsidR="000C7E46" w:rsidRPr="008B6D74" w:rsidTr="00762136">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Tamanho da empresa</w:t>
            </w:r>
          </w:p>
        </w:tc>
        <w:tc>
          <w:tcPr>
            <w:tcW w:w="0" w:type="auto"/>
            <w:vAlign w:val="center"/>
          </w:tcPr>
          <w:p w:rsidR="00D24692" w:rsidRPr="008B6D74" w:rsidRDefault="00221A32" w:rsidP="00762136">
            <w:pPr>
              <w:pStyle w:val="SemEspaamento"/>
              <w:jc w:val="center"/>
              <w:rPr>
                <w:rFonts w:cs="Times New Roman"/>
                <w:sz w:val="16"/>
                <w:szCs w:val="16"/>
              </w:rPr>
            </w:pPr>
            <w:r w:rsidRPr="008B6D74">
              <w:rPr>
                <w:rFonts w:cs="Times New Roman"/>
                <w:sz w:val="16"/>
                <w:szCs w:val="16"/>
              </w:rPr>
              <w:t>TAM</w:t>
            </w:r>
            <w:r w:rsidRPr="008B6D74">
              <w:rPr>
                <w:rFonts w:cs="Times New Roman"/>
                <w:sz w:val="16"/>
                <w:szCs w:val="16"/>
                <w:vertAlign w:val="subscript"/>
              </w:rPr>
              <w:t>it</w:t>
            </w:r>
          </w:p>
        </w:tc>
        <w:tc>
          <w:tcPr>
            <w:tcW w:w="0" w:type="auto"/>
            <w:vAlign w:val="center"/>
          </w:tcPr>
          <w:p w:rsidR="00D24692" w:rsidRPr="008B6D74" w:rsidRDefault="00D24692" w:rsidP="00762136">
            <w:pPr>
              <w:pStyle w:val="SemEspaamento"/>
              <w:rPr>
                <w:rFonts w:cs="Times New Roman"/>
                <w:sz w:val="16"/>
                <w:szCs w:val="16"/>
              </w:rPr>
            </w:pPr>
            <w:r w:rsidRPr="008B6D74">
              <w:rPr>
                <w:rFonts w:cs="Times New Roman"/>
                <w:sz w:val="16"/>
                <w:szCs w:val="16"/>
              </w:rPr>
              <w:t>Medido de três formas: logaritmo neperiano do patrimônio líquido, logaritmo das receitas com vendas e logaritmo do ativo total.</w:t>
            </w:r>
          </w:p>
        </w:tc>
        <w:tc>
          <w:tcPr>
            <w:tcW w:w="0" w:type="auto"/>
            <w:vAlign w:val="center"/>
          </w:tcPr>
          <w:p w:rsidR="00D24692" w:rsidRPr="008B6D74" w:rsidRDefault="00D24692" w:rsidP="00762136">
            <w:pPr>
              <w:pStyle w:val="SemEspaamento"/>
              <w:jc w:val="center"/>
              <w:rPr>
                <w:rFonts w:cs="Times New Roman"/>
                <w:sz w:val="16"/>
                <w:szCs w:val="16"/>
                <w:lang w:val="en-US"/>
              </w:rPr>
            </w:pPr>
            <w:r w:rsidRPr="008B6D74">
              <w:rPr>
                <w:rFonts w:cs="Times New Roman"/>
                <w:sz w:val="16"/>
                <w:szCs w:val="16"/>
                <w:lang w:val="en-US"/>
              </w:rPr>
              <w:t>Titman e Wessels (1988)</w:t>
            </w:r>
          </w:p>
          <w:p w:rsidR="00D24692" w:rsidRPr="008B6D74" w:rsidRDefault="00D24692" w:rsidP="00762136">
            <w:pPr>
              <w:pStyle w:val="SemEspaamento"/>
              <w:jc w:val="center"/>
              <w:rPr>
                <w:rFonts w:cs="Times New Roman"/>
                <w:sz w:val="16"/>
                <w:szCs w:val="16"/>
                <w:lang w:val="en-US"/>
              </w:rPr>
            </w:pPr>
            <w:r w:rsidRPr="008B6D74">
              <w:rPr>
                <w:rFonts w:cs="Times New Roman"/>
                <w:sz w:val="16"/>
                <w:szCs w:val="16"/>
                <w:lang w:val="en-US"/>
              </w:rPr>
              <w:t>Barclays e Smith (1995)</w:t>
            </w:r>
          </w:p>
          <w:p w:rsidR="00D24692" w:rsidRPr="008B6D74" w:rsidRDefault="00D24692" w:rsidP="00762136">
            <w:pPr>
              <w:pStyle w:val="SemEspaamento"/>
              <w:jc w:val="center"/>
              <w:rPr>
                <w:rFonts w:cs="Times New Roman"/>
                <w:sz w:val="16"/>
                <w:szCs w:val="16"/>
              </w:rPr>
            </w:pPr>
            <w:r w:rsidRPr="008B6D74">
              <w:rPr>
                <w:rFonts w:cs="Times New Roman"/>
                <w:sz w:val="16"/>
                <w:szCs w:val="16"/>
              </w:rPr>
              <w:t>Perobelli e Fama (2003)</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r w:rsidR="00BA6238"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Krishnaswami et al. (1999)</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r>
      <w:tr w:rsidR="000C7E46" w:rsidRPr="008B6D74" w:rsidTr="00762136">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Oportunidade de Crescimento</w:t>
            </w:r>
          </w:p>
        </w:tc>
        <w:tc>
          <w:tcPr>
            <w:tcW w:w="0" w:type="auto"/>
            <w:vAlign w:val="center"/>
          </w:tcPr>
          <w:p w:rsidR="00D24692" w:rsidRPr="008B6D74" w:rsidRDefault="00221A32" w:rsidP="00762136">
            <w:pPr>
              <w:pStyle w:val="SemEspaamento"/>
              <w:jc w:val="center"/>
              <w:rPr>
                <w:rFonts w:cs="Times New Roman"/>
                <w:sz w:val="16"/>
                <w:szCs w:val="16"/>
              </w:rPr>
            </w:pPr>
            <w:r w:rsidRPr="008B6D74">
              <w:rPr>
                <w:rFonts w:cs="Times New Roman"/>
                <w:sz w:val="16"/>
                <w:szCs w:val="16"/>
              </w:rPr>
              <w:t>CRESC</w:t>
            </w:r>
            <w:r w:rsidRPr="008B6D74">
              <w:rPr>
                <w:rFonts w:cs="Times New Roman"/>
                <w:sz w:val="16"/>
                <w:szCs w:val="16"/>
                <w:vertAlign w:val="subscript"/>
              </w:rPr>
              <w:t>it</w:t>
            </w:r>
          </w:p>
        </w:tc>
        <w:tc>
          <w:tcPr>
            <w:tcW w:w="0" w:type="auto"/>
            <w:vAlign w:val="center"/>
          </w:tcPr>
          <w:p w:rsidR="00D24692" w:rsidRPr="008B6D74" w:rsidRDefault="00D24692" w:rsidP="00762136">
            <w:pPr>
              <w:pStyle w:val="SemEspaamento"/>
              <w:rPr>
                <w:rFonts w:cs="Times New Roman"/>
                <w:sz w:val="16"/>
                <w:szCs w:val="16"/>
              </w:rPr>
            </w:pPr>
            <w:r w:rsidRPr="008B6D74">
              <w:rPr>
                <w:rFonts w:cs="Times New Roman"/>
                <w:sz w:val="16"/>
                <w:szCs w:val="16"/>
              </w:rPr>
              <w:t xml:space="preserve">Calculado de duas maneiras: como a variação das receitas e como a razão entre o valor de mercado </w:t>
            </w:r>
            <w:r w:rsidR="0033596E" w:rsidRPr="008B6D74">
              <w:rPr>
                <w:rFonts w:cs="Times New Roman"/>
                <w:sz w:val="16"/>
                <w:szCs w:val="16"/>
              </w:rPr>
              <w:t xml:space="preserve">da ação </w:t>
            </w:r>
            <w:r w:rsidRPr="008B6D74">
              <w:rPr>
                <w:rFonts w:cs="Times New Roman"/>
                <w:sz w:val="16"/>
                <w:szCs w:val="16"/>
              </w:rPr>
              <w:t>e o valor contábil.</w:t>
            </w:r>
          </w:p>
        </w:tc>
        <w:tc>
          <w:tcPr>
            <w:tcW w:w="0" w:type="auto"/>
            <w:vAlign w:val="center"/>
          </w:tcPr>
          <w:p w:rsidR="00D24692" w:rsidRPr="008B6D74" w:rsidRDefault="00D24692" w:rsidP="00762136">
            <w:pPr>
              <w:pStyle w:val="SemEspaamento"/>
              <w:jc w:val="center"/>
              <w:rPr>
                <w:rFonts w:cs="Times New Roman"/>
                <w:sz w:val="16"/>
                <w:szCs w:val="16"/>
                <w:lang w:val="en-US"/>
              </w:rPr>
            </w:pPr>
            <w:r w:rsidRPr="008B6D74">
              <w:rPr>
                <w:rFonts w:cs="Times New Roman"/>
                <w:sz w:val="16"/>
                <w:szCs w:val="16"/>
                <w:lang w:val="en-US"/>
              </w:rPr>
              <w:t>Barclays e Smith (1995)</w:t>
            </w:r>
          </w:p>
          <w:p w:rsidR="00D24692" w:rsidRPr="008B6D74" w:rsidRDefault="00D24692" w:rsidP="00762136">
            <w:pPr>
              <w:pStyle w:val="SemEspaamento"/>
              <w:jc w:val="center"/>
              <w:rPr>
                <w:rFonts w:cs="Times New Roman"/>
                <w:sz w:val="16"/>
                <w:szCs w:val="16"/>
                <w:lang w:val="en-US"/>
              </w:rPr>
            </w:pPr>
            <w:r w:rsidRPr="008B6D74">
              <w:rPr>
                <w:rFonts w:cs="Times New Roman"/>
                <w:sz w:val="16"/>
                <w:szCs w:val="16"/>
                <w:lang w:val="en-US"/>
              </w:rPr>
              <w:t>Titman e Wessels (1988)</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Barclay e Smith (1995)</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r>
      <w:tr w:rsidR="000C7E46" w:rsidRPr="008B6D74" w:rsidTr="00762136">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Rentabilidade</w:t>
            </w:r>
          </w:p>
        </w:tc>
        <w:tc>
          <w:tcPr>
            <w:tcW w:w="0" w:type="auto"/>
            <w:vAlign w:val="center"/>
          </w:tcPr>
          <w:p w:rsidR="00D24692" w:rsidRPr="008B6D74" w:rsidRDefault="00221A32" w:rsidP="00762136">
            <w:pPr>
              <w:pStyle w:val="SemEspaamento"/>
              <w:jc w:val="center"/>
              <w:rPr>
                <w:rFonts w:cs="Times New Roman"/>
                <w:sz w:val="16"/>
                <w:szCs w:val="16"/>
              </w:rPr>
            </w:pPr>
            <w:r w:rsidRPr="008B6D74">
              <w:rPr>
                <w:rFonts w:cs="Times New Roman"/>
                <w:sz w:val="16"/>
                <w:szCs w:val="16"/>
              </w:rPr>
              <w:t>ROI</w:t>
            </w:r>
            <w:r w:rsidRPr="008B6D74">
              <w:rPr>
                <w:rFonts w:cs="Times New Roman"/>
                <w:sz w:val="16"/>
                <w:szCs w:val="16"/>
                <w:vertAlign w:val="subscript"/>
              </w:rPr>
              <w:t>it</w:t>
            </w:r>
          </w:p>
        </w:tc>
        <w:tc>
          <w:tcPr>
            <w:tcW w:w="0" w:type="auto"/>
            <w:vAlign w:val="center"/>
          </w:tcPr>
          <w:p w:rsidR="00D24692" w:rsidRPr="008B6D74" w:rsidRDefault="00D24692" w:rsidP="00762136">
            <w:pPr>
              <w:pStyle w:val="SemEspaamento"/>
              <w:rPr>
                <w:rFonts w:cs="Times New Roman"/>
                <w:sz w:val="16"/>
                <w:szCs w:val="16"/>
              </w:rPr>
            </w:pPr>
            <w:r w:rsidRPr="008B6D74">
              <w:rPr>
                <w:rFonts w:cs="Times New Roman"/>
                <w:sz w:val="16"/>
                <w:szCs w:val="16"/>
              </w:rPr>
              <w:t xml:space="preserve">Medida pela razão entre o LAJIR </w:t>
            </w:r>
            <w:r w:rsidR="0033596E" w:rsidRPr="008B6D74">
              <w:rPr>
                <w:rFonts w:cs="Times New Roman"/>
                <w:sz w:val="16"/>
                <w:szCs w:val="16"/>
              </w:rPr>
              <w:t xml:space="preserve">(lucro antes dos juros e imposto de renda) </w:t>
            </w:r>
            <w:r w:rsidRPr="008B6D74">
              <w:rPr>
                <w:rFonts w:cs="Times New Roman"/>
                <w:sz w:val="16"/>
                <w:szCs w:val="16"/>
              </w:rPr>
              <w:t xml:space="preserve">e </w:t>
            </w:r>
            <w:r w:rsidR="0033596E" w:rsidRPr="008B6D74">
              <w:rPr>
                <w:rFonts w:cs="Times New Roman"/>
                <w:sz w:val="16"/>
                <w:szCs w:val="16"/>
              </w:rPr>
              <w:t xml:space="preserve">o </w:t>
            </w:r>
            <w:r w:rsidRPr="008B6D74">
              <w:rPr>
                <w:rFonts w:cs="Times New Roman"/>
                <w:sz w:val="16"/>
                <w:szCs w:val="16"/>
              </w:rPr>
              <w:t xml:space="preserve">ativo total (ROI ou </w:t>
            </w:r>
            <w:r w:rsidRPr="008B6D74">
              <w:rPr>
                <w:rFonts w:cs="Times New Roman"/>
                <w:i/>
                <w:sz w:val="16"/>
                <w:szCs w:val="16"/>
              </w:rPr>
              <w:t>Return on Investment</w:t>
            </w: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Diamond (1991)</w:t>
            </w:r>
          </w:p>
          <w:p w:rsidR="00D24692" w:rsidRPr="008B6D74" w:rsidRDefault="00D24692" w:rsidP="00762136">
            <w:pPr>
              <w:pStyle w:val="SemEspaamento"/>
              <w:jc w:val="center"/>
              <w:rPr>
                <w:rFonts w:cs="Times New Roman"/>
                <w:sz w:val="16"/>
                <w:szCs w:val="16"/>
              </w:rPr>
            </w:pPr>
            <w:r w:rsidRPr="008B6D74">
              <w:rPr>
                <w:rFonts w:cs="Times New Roman"/>
                <w:sz w:val="16"/>
                <w:szCs w:val="16"/>
              </w:rPr>
              <w:t>Perobelli e Fama (2003)</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Não-mono</w:t>
            </w:r>
            <w:r w:rsidR="00A978DA" w:rsidRPr="008B6D74">
              <w:rPr>
                <w:rFonts w:cs="Times New Roman"/>
                <w:sz w:val="16"/>
                <w:szCs w:val="16"/>
              </w:rPr>
              <w:t>-</w:t>
            </w:r>
            <w:r w:rsidRPr="008B6D74">
              <w:rPr>
                <w:rFonts w:cs="Times New Roman"/>
                <w:sz w:val="16"/>
                <w:szCs w:val="16"/>
              </w:rPr>
              <w:t>tônica</w:t>
            </w:r>
          </w:p>
          <w:p w:rsidR="00D24692" w:rsidRPr="008B6D74" w:rsidRDefault="00D24692" w:rsidP="00762136">
            <w:pPr>
              <w:pStyle w:val="SemEspaamento"/>
              <w:jc w:val="center"/>
              <w:rPr>
                <w:rFonts w:cs="Times New Roman"/>
                <w:sz w:val="16"/>
                <w:szCs w:val="16"/>
              </w:rPr>
            </w:pPr>
            <w:r w:rsidRPr="008B6D74">
              <w:rPr>
                <w:rFonts w:cs="Times New Roman"/>
                <w:sz w:val="16"/>
                <w:szCs w:val="16"/>
              </w:rPr>
              <w:t>+/−</w:t>
            </w:r>
          </w:p>
          <w:p w:rsidR="00D24692" w:rsidRPr="008B6D74" w:rsidRDefault="00D24692" w:rsidP="00762136">
            <w:pPr>
              <w:pStyle w:val="SemEspaamento"/>
              <w:jc w:val="center"/>
              <w:rPr>
                <w:rFonts w:cs="Times New Roman"/>
                <w:sz w:val="16"/>
                <w:szCs w:val="16"/>
              </w:rPr>
            </w:pP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r w:rsidR="00035367" w:rsidRPr="008B6D74">
              <w:rPr>
                <w:rStyle w:val="Refdenotaderodap"/>
                <w:rFonts w:cs="Times New Roman"/>
                <w:sz w:val="16"/>
                <w:szCs w:val="16"/>
              </w:rPr>
              <w:footnoteReference w:id="15"/>
            </w:r>
          </w:p>
        </w:tc>
        <w:tc>
          <w:tcPr>
            <w:tcW w:w="0" w:type="auto"/>
            <w:vAlign w:val="center"/>
          </w:tcPr>
          <w:p w:rsidR="00D24692" w:rsidRPr="008B6D74" w:rsidRDefault="00D24692" w:rsidP="00762136">
            <w:pPr>
              <w:pStyle w:val="SemEspaamento"/>
              <w:jc w:val="center"/>
              <w:rPr>
                <w:rFonts w:cs="Times New Roman"/>
                <w:sz w:val="16"/>
                <w:szCs w:val="16"/>
              </w:rPr>
            </w:pPr>
          </w:p>
        </w:tc>
      </w:tr>
      <w:tr w:rsidR="000C7E46" w:rsidRPr="008B6D74" w:rsidTr="00762136">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Risco Operacional</w:t>
            </w:r>
          </w:p>
        </w:tc>
        <w:tc>
          <w:tcPr>
            <w:tcW w:w="0" w:type="auto"/>
            <w:vAlign w:val="center"/>
          </w:tcPr>
          <w:p w:rsidR="00D24692" w:rsidRPr="008B6D74" w:rsidRDefault="00221A32" w:rsidP="00762136">
            <w:pPr>
              <w:pStyle w:val="SemEspaamento"/>
              <w:jc w:val="center"/>
              <w:rPr>
                <w:rFonts w:cs="Times New Roman"/>
                <w:sz w:val="16"/>
                <w:szCs w:val="16"/>
              </w:rPr>
            </w:pPr>
            <w:r w:rsidRPr="008B6D74">
              <w:rPr>
                <w:rFonts w:cs="Times New Roman"/>
                <w:sz w:val="16"/>
                <w:szCs w:val="16"/>
              </w:rPr>
              <w:t>RISC</w:t>
            </w:r>
            <w:r w:rsidRPr="008B6D74">
              <w:rPr>
                <w:rFonts w:cs="Times New Roman"/>
                <w:sz w:val="16"/>
                <w:szCs w:val="16"/>
                <w:vertAlign w:val="subscript"/>
              </w:rPr>
              <w:t>it</w:t>
            </w:r>
          </w:p>
        </w:tc>
        <w:tc>
          <w:tcPr>
            <w:tcW w:w="0" w:type="auto"/>
            <w:vAlign w:val="center"/>
          </w:tcPr>
          <w:p w:rsidR="00D24692" w:rsidRPr="008B6D74" w:rsidRDefault="00D24692" w:rsidP="00762136">
            <w:pPr>
              <w:pStyle w:val="SemEspaamento"/>
              <w:rPr>
                <w:rFonts w:cs="Times New Roman"/>
                <w:sz w:val="16"/>
                <w:szCs w:val="16"/>
              </w:rPr>
            </w:pPr>
            <w:r w:rsidRPr="008B6D74">
              <w:rPr>
                <w:rFonts w:cs="Times New Roman"/>
                <w:sz w:val="16"/>
                <w:szCs w:val="16"/>
              </w:rPr>
              <w:t>Medido pelo desvio padrão da receita nos exercícios anteriores e pela razão entre o LAJIR (lucro antes dos juros e imposto de renda) e as Receitas.</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Barclay e Smith (1995)</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Denis e Mihov (2003)</w:t>
            </w:r>
          </w:p>
          <w:p w:rsidR="00D24692" w:rsidRPr="008B6D74" w:rsidRDefault="00D24692" w:rsidP="00762136">
            <w:pPr>
              <w:pStyle w:val="SemEspaamento"/>
              <w:jc w:val="center"/>
              <w:rPr>
                <w:rFonts w:cs="Times New Roman"/>
                <w:sz w:val="16"/>
                <w:szCs w:val="16"/>
              </w:rPr>
            </w:pPr>
            <w:r w:rsidRPr="008B6D74">
              <w:rPr>
                <w:rFonts w:cs="Times New Roman"/>
                <w:sz w:val="16"/>
                <w:szCs w:val="16"/>
              </w:rPr>
              <w:t>Faulkender e Petersen (2006)</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r>
      <w:tr w:rsidR="000C7E46" w:rsidRPr="008B6D74" w:rsidTr="007A06B0">
        <w:trPr>
          <w:trHeight w:val="284"/>
        </w:trPr>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Fluxo de Caixa Livre</w:t>
            </w:r>
          </w:p>
        </w:tc>
        <w:tc>
          <w:tcPr>
            <w:tcW w:w="0" w:type="auto"/>
            <w:vAlign w:val="center"/>
          </w:tcPr>
          <w:p w:rsidR="00D24692" w:rsidRPr="008B6D74" w:rsidRDefault="00221A32" w:rsidP="00762136">
            <w:pPr>
              <w:pStyle w:val="SemEspaamento"/>
              <w:jc w:val="center"/>
              <w:rPr>
                <w:rFonts w:cs="Times New Roman"/>
                <w:sz w:val="16"/>
                <w:szCs w:val="16"/>
              </w:rPr>
            </w:pPr>
            <w:r w:rsidRPr="008B6D74">
              <w:rPr>
                <w:rFonts w:cs="Times New Roman"/>
                <w:sz w:val="16"/>
                <w:szCs w:val="16"/>
              </w:rPr>
              <w:t>FCL</w:t>
            </w:r>
            <w:r w:rsidRPr="008B6D74">
              <w:rPr>
                <w:rFonts w:cs="Times New Roman"/>
                <w:sz w:val="16"/>
                <w:szCs w:val="16"/>
                <w:vertAlign w:val="subscript"/>
              </w:rPr>
              <w:t>it</w:t>
            </w:r>
          </w:p>
        </w:tc>
        <w:tc>
          <w:tcPr>
            <w:tcW w:w="0" w:type="auto"/>
            <w:vAlign w:val="center"/>
          </w:tcPr>
          <w:p w:rsidR="00762136" w:rsidRPr="008B6D74" w:rsidRDefault="00D24692" w:rsidP="00762136">
            <w:pPr>
              <w:pStyle w:val="SemEspaamento"/>
              <w:rPr>
                <w:rFonts w:cs="Times New Roman"/>
                <w:sz w:val="16"/>
                <w:szCs w:val="16"/>
              </w:rPr>
            </w:pPr>
            <w:r w:rsidRPr="008B6D74">
              <w:rPr>
                <w:rFonts w:cs="Times New Roman"/>
                <w:sz w:val="16"/>
                <w:szCs w:val="16"/>
              </w:rPr>
              <w:t>Dado pela razão entre lucro por ação e dividendo por ação.</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Jensen (1986)</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Jensen (1986)</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r>
      <w:tr w:rsidR="000C7E46" w:rsidRPr="008B6D74" w:rsidTr="007A06B0">
        <w:trPr>
          <w:trHeight w:val="284"/>
        </w:trPr>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Liquidez</w:t>
            </w:r>
          </w:p>
        </w:tc>
        <w:tc>
          <w:tcPr>
            <w:tcW w:w="0" w:type="auto"/>
            <w:vAlign w:val="center"/>
          </w:tcPr>
          <w:p w:rsidR="00D24692" w:rsidRPr="008B6D74" w:rsidRDefault="008B6D74" w:rsidP="00762136">
            <w:pPr>
              <w:pStyle w:val="SemEspaamento"/>
              <w:jc w:val="center"/>
              <w:rPr>
                <w:rFonts w:cs="Times New Roman"/>
                <w:sz w:val="16"/>
                <w:szCs w:val="16"/>
              </w:rPr>
            </w:pPr>
            <w:r w:rsidRPr="008B6D74">
              <w:rPr>
                <w:rFonts w:cs="Times New Roman"/>
                <w:sz w:val="16"/>
                <w:szCs w:val="16"/>
              </w:rPr>
              <w:t>LIQ</w:t>
            </w:r>
            <w:r w:rsidRPr="008B6D74">
              <w:rPr>
                <w:rFonts w:cs="Times New Roman"/>
                <w:sz w:val="16"/>
                <w:szCs w:val="16"/>
                <w:vertAlign w:val="subscript"/>
              </w:rPr>
              <w:t>it</w:t>
            </w:r>
          </w:p>
        </w:tc>
        <w:tc>
          <w:tcPr>
            <w:tcW w:w="0" w:type="auto"/>
            <w:vAlign w:val="center"/>
          </w:tcPr>
          <w:p w:rsidR="00762136" w:rsidRPr="008B6D74" w:rsidRDefault="00D24692" w:rsidP="00762136">
            <w:pPr>
              <w:pStyle w:val="SemEspaamento"/>
              <w:rPr>
                <w:rFonts w:cs="Times New Roman"/>
                <w:sz w:val="16"/>
                <w:szCs w:val="16"/>
              </w:rPr>
            </w:pPr>
            <w:r w:rsidRPr="008B6D74">
              <w:rPr>
                <w:rFonts w:cs="Times New Roman"/>
                <w:sz w:val="16"/>
                <w:szCs w:val="16"/>
              </w:rPr>
              <w:t>Razão entre ativo circulante e passivo circulante.</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Terra (2005)</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p>
        </w:tc>
      </w:tr>
      <w:tr w:rsidR="000C7E46" w:rsidRPr="008B6D74" w:rsidTr="00762136">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Tangibilidade dos Ativos</w:t>
            </w:r>
          </w:p>
        </w:tc>
        <w:tc>
          <w:tcPr>
            <w:tcW w:w="0" w:type="auto"/>
            <w:vAlign w:val="center"/>
          </w:tcPr>
          <w:p w:rsidR="00D24692" w:rsidRPr="008B6D74" w:rsidRDefault="008B6D74" w:rsidP="00762136">
            <w:pPr>
              <w:pStyle w:val="SemEspaamento"/>
              <w:jc w:val="center"/>
              <w:rPr>
                <w:rFonts w:cs="Times New Roman"/>
                <w:sz w:val="16"/>
                <w:szCs w:val="16"/>
              </w:rPr>
            </w:pPr>
            <w:r w:rsidRPr="008B6D74">
              <w:rPr>
                <w:rFonts w:cs="Times New Roman"/>
                <w:sz w:val="16"/>
                <w:szCs w:val="16"/>
              </w:rPr>
              <w:t>TANG</w:t>
            </w:r>
            <w:r w:rsidRPr="008B6D74">
              <w:rPr>
                <w:rFonts w:cs="Times New Roman"/>
                <w:sz w:val="16"/>
                <w:szCs w:val="16"/>
                <w:vertAlign w:val="subscript"/>
              </w:rPr>
              <w:t>it</w:t>
            </w:r>
          </w:p>
        </w:tc>
        <w:tc>
          <w:tcPr>
            <w:tcW w:w="0" w:type="auto"/>
            <w:vAlign w:val="center"/>
          </w:tcPr>
          <w:p w:rsidR="00D24692" w:rsidRPr="008B6D74" w:rsidRDefault="0033596E" w:rsidP="00762136">
            <w:pPr>
              <w:pStyle w:val="SemEspaamento"/>
              <w:rPr>
                <w:rFonts w:cs="Times New Roman"/>
                <w:sz w:val="16"/>
                <w:szCs w:val="16"/>
              </w:rPr>
            </w:pPr>
            <w:r w:rsidRPr="008B6D74">
              <w:rPr>
                <w:rFonts w:cs="Times New Roman"/>
                <w:sz w:val="16"/>
                <w:szCs w:val="16"/>
              </w:rPr>
              <w:t>D</w:t>
            </w:r>
            <w:r w:rsidR="00D24692" w:rsidRPr="008B6D74">
              <w:rPr>
                <w:rFonts w:cs="Times New Roman"/>
                <w:sz w:val="16"/>
                <w:szCs w:val="16"/>
              </w:rPr>
              <w:t>ado pelo volume de ativo imobilizado sobre o ativo total.</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Myers e Majluf</w:t>
            </w:r>
            <w:r w:rsidR="00F6209A" w:rsidRPr="008B6D74">
              <w:rPr>
                <w:rFonts w:cs="Times New Roman"/>
                <w:sz w:val="16"/>
                <w:szCs w:val="16"/>
              </w:rPr>
              <w:t xml:space="preserve"> </w:t>
            </w:r>
            <w:r w:rsidRPr="008B6D74">
              <w:rPr>
                <w:rFonts w:cs="Times New Roman"/>
                <w:sz w:val="16"/>
                <w:szCs w:val="16"/>
              </w:rPr>
              <w:t>(1984)</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Myers e Majluf  (1984)</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r>
      <w:tr w:rsidR="000C7E46" w:rsidRPr="008B6D74" w:rsidTr="00762136">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Efeitos Fiscais</w:t>
            </w:r>
          </w:p>
        </w:tc>
        <w:tc>
          <w:tcPr>
            <w:tcW w:w="0" w:type="auto"/>
            <w:vAlign w:val="center"/>
          </w:tcPr>
          <w:p w:rsidR="00D24692" w:rsidRPr="008B6D74" w:rsidRDefault="008B6D74" w:rsidP="00762136">
            <w:pPr>
              <w:pStyle w:val="SemEspaamento"/>
              <w:jc w:val="center"/>
              <w:rPr>
                <w:rFonts w:cs="Times New Roman"/>
                <w:sz w:val="16"/>
                <w:szCs w:val="16"/>
              </w:rPr>
            </w:pPr>
            <w:r w:rsidRPr="008B6D74">
              <w:rPr>
                <w:rFonts w:cs="Times New Roman"/>
                <w:sz w:val="16"/>
                <w:szCs w:val="16"/>
              </w:rPr>
              <w:t>FISC</w:t>
            </w:r>
            <w:r w:rsidRPr="008B6D74">
              <w:rPr>
                <w:rFonts w:cs="Times New Roman"/>
                <w:sz w:val="16"/>
                <w:szCs w:val="16"/>
                <w:vertAlign w:val="subscript"/>
              </w:rPr>
              <w:t>it</w:t>
            </w:r>
          </w:p>
        </w:tc>
        <w:tc>
          <w:tcPr>
            <w:tcW w:w="0" w:type="auto"/>
            <w:vAlign w:val="center"/>
          </w:tcPr>
          <w:p w:rsidR="00762136" w:rsidRPr="008B6D74" w:rsidRDefault="0033596E" w:rsidP="00762136">
            <w:pPr>
              <w:pStyle w:val="SemEspaamento"/>
              <w:rPr>
                <w:rFonts w:cs="Times New Roman"/>
                <w:sz w:val="16"/>
                <w:szCs w:val="16"/>
              </w:rPr>
            </w:pPr>
            <w:r w:rsidRPr="008B6D74">
              <w:rPr>
                <w:rFonts w:cs="Times New Roman"/>
                <w:sz w:val="16"/>
                <w:szCs w:val="16"/>
              </w:rPr>
              <w:t>M</w:t>
            </w:r>
            <w:r w:rsidR="00D24692" w:rsidRPr="008B6D74">
              <w:rPr>
                <w:rFonts w:cs="Times New Roman"/>
                <w:sz w:val="16"/>
                <w:szCs w:val="16"/>
              </w:rPr>
              <w:t xml:space="preserve">edidos pela relação entre o total dos encargos fiscais e os rendimentos tributáveis e pela razão entre o LAIR </w:t>
            </w:r>
            <w:r w:rsidRPr="008B6D74">
              <w:rPr>
                <w:rFonts w:cs="Times New Roman"/>
                <w:sz w:val="16"/>
                <w:szCs w:val="16"/>
              </w:rPr>
              <w:t xml:space="preserve">(lucro antes do imposto de renda) </w:t>
            </w:r>
            <w:r w:rsidR="00D24692" w:rsidRPr="008B6D74">
              <w:rPr>
                <w:rFonts w:cs="Times New Roman"/>
                <w:sz w:val="16"/>
                <w:szCs w:val="16"/>
              </w:rPr>
              <w:t>e as Receitas.</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Terra (2005)</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p>
        </w:tc>
      </w:tr>
      <w:tr w:rsidR="000C7E46" w:rsidRPr="008B6D74" w:rsidTr="007A06B0">
        <w:trPr>
          <w:trHeight w:val="284"/>
        </w:trPr>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Restrição Financeira</w:t>
            </w:r>
          </w:p>
        </w:tc>
        <w:tc>
          <w:tcPr>
            <w:tcW w:w="0" w:type="auto"/>
            <w:vAlign w:val="center"/>
          </w:tcPr>
          <w:p w:rsidR="00D24692" w:rsidRPr="008B6D74" w:rsidRDefault="008B6D74" w:rsidP="00762136">
            <w:pPr>
              <w:pStyle w:val="SemEspaamento"/>
              <w:jc w:val="center"/>
              <w:rPr>
                <w:rFonts w:cs="Times New Roman"/>
                <w:sz w:val="16"/>
                <w:szCs w:val="16"/>
              </w:rPr>
            </w:pPr>
            <w:r w:rsidRPr="008B6D74">
              <w:rPr>
                <w:rFonts w:cs="Times New Roman"/>
                <w:sz w:val="16"/>
                <w:szCs w:val="16"/>
              </w:rPr>
              <w:t>REST</w:t>
            </w:r>
            <w:r w:rsidRPr="008B6D74">
              <w:rPr>
                <w:rFonts w:cs="Times New Roman"/>
                <w:sz w:val="16"/>
                <w:szCs w:val="16"/>
                <w:vertAlign w:val="subscript"/>
              </w:rPr>
              <w:t>it</w:t>
            </w:r>
          </w:p>
        </w:tc>
        <w:tc>
          <w:tcPr>
            <w:tcW w:w="0" w:type="auto"/>
            <w:vAlign w:val="center"/>
          </w:tcPr>
          <w:p w:rsidR="00762136" w:rsidRPr="008B6D74" w:rsidRDefault="00D24692" w:rsidP="00762136">
            <w:pPr>
              <w:pStyle w:val="SemEspaamento"/>
              <w:rPr>
                <w:rFonts w:cs="Times New Roman"/>
                <w:sz w:val="16"/>
                <w:szCs w:val="16"/>
              </w:rPr>
            </w:pPr>
            <w:r w:rsidRPr="008B6D74">
              <w:rPr>
                <w:rFonts w:cs="Times New Roman"/>
                <w:sz w:val="16"/>
                <w:szCs w:val="16"/>
              </w:rPr>
              <w:t>Calculada pela razão entre as disponibilidades da empresa e o ativo total.</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p>
        </w:tc>
      </w:tr>
      <w:tr w:rsidR="000C7E46" w:rsidRPr="008B6D74" w:rsidTr="007A06B0">
        <w:trPr>
          <w:trHeight w:val="284"/>
        </w:trPr>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Liquidez em Bolsa</w:t>
            </w:r>
          </w:p>
        </w:tc>
        <w:tc>
          <w:tcPr>
            <w:tcW w:w="0" w:type="auto"/>
            <w:vAlign w:val="center"/>
          </w:tcPr>
          <w:p w:rsidR="00D24692" w:rsidRPr="008B6D74" w:rsidRDefault="008B6D74" w:rsidP="00762136">
            <w:pPr>
              <w:pStyle w:val="SemEspaamento"/>
              <w:jc w:val="center"/>
              <w:rPr>
                <w:rFonts w:cs="Times New Roman"/>
                <w:sz w:val="16"/>
                <w:szCs w:val="16"/>
              </w:rPr>
            </w:pPr>
            <w:r w:rsidRPr="008B6D74">
              <w:rPr>
                <w:rFonts w:cs="Times New Roman"/>
                <w:sz w:val="16"/>
                <w:szCs w:val="16"/>
              </w:rPr>
              <w:t>LIQBolsa</w:t>
            </w:r>
            <w:r w:rsidRPr="008B6D74">
              <w:rPr>
                <w:rFonts w:cs="Times New Roman"/>
                <w:sz w:val="16"/>
                <w:szCs w:val="16"/>
                <w:vertAlign w:val="subscript"/>
              </w:rPr>
              <w:t>it</w:t>
            </w:r>
          </w:p>
        </w:tc>
        <w:tc>
          <w:tcPr>
            <w:tcW w:w="0" w:type="auto"/>
            <w:vAlign w:val="center"/>
          </w:tcPr>
          <w:p w:rsidR="00D24692" w:rsidRPr="008B6D74" w:rsidRDefault="00D24692" w:rsidP="00762136">
            <w:pPr>
              <w:pStyle w:val="SemEspaamento"/>
              <w:rPr>
                <w:rFonts w:cs="Times New Roman"/>
                <w:sz w:val="16"/>
                <w:szCs w:val="16"/>
              </w:rPr>
            </w:pPr>
            <w:r w:rsidRPr="008B6D74">
              <w:rPr>
                <w:rFonts w:cs="Times New Roman"/>
                <w:sz w:val="16"/>
                <w:szCs w:val="16"/>
              </w:rPr>
              <w:t>Mede a liquidez das ações das empresas na Bolsa de Valores de São Paulo (Bovespa).</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p>
        </w:tc>
      </w:tr>
      <w:tr w:rsidR="000C7E46" w:rsidRPr="008B6D74" w:rsidTr="00762136">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Participação no I</w:t>
            </w:r>
            <w:r w:rsidR="00951D68" w:rsidRPr="008B6D74">
              <w:rPr>
                <w:rFonts w:cs="Times New Roman"/>
                <w:sz w:val="16"/>
                <w:szCs w:val="16"/>
              </w:rPr>
              <w:t>b</w:t>
            </w:r>
            <w:r w:rsidRPr="008B6D74">
              <w:rPr>
                <w:rFonts w:cs="Times New Roman"/>
                <w:sz w:val="16"/>
                <w:szCs w:val="16"/>
              </w:rPr>
              <w:t>ovespa</w:t>
            </w:r>
          </w:p>
        </w:tc>
        <w:tc>
          <w:tcPr>
            <w:tcW w:w="0" w:type="auto"/>
            <w:vAlign w:val="center"/>
          </w:tcPr>
          <w:p w:rsidR="00D24692" w:rsidRPr="008B6D74" w:rsidRDefault="008B6D74" w:rsidP="00762136">
            <w:pPr>
              <w:pStyle w:val="SemEspaamento"/>
              <w:jc w:val="center"/>
              <w:rPr>
                <w:rFonts w:cs="Times New Roman"/>
                <w:sz w:val="16"/>
                <w:szCs w:val="16"/>
              </w:rPr>
            </w:pPr>
            <w:r w:rsidRPr="008B6D74">
              <w:rPr>
                <w:rFonts w:cs="Times New Roman"/>
                <w:sz w:val="16"/>
                <w:szCs w:val="16"/>
              </w:rPr>
              <w:t>IBOV</w:t>
            </w:r>
            <w:r w:rsidRPr="008B6D74">
              <w:rPr>
                <w:rFonts w:cs="Times New Roman"/>
                <w:sz w:val="16"/>
                <w:szCs w:val="16"/>
                <w:vertAlign w:val="subscript"/>
              </w:rPr>
              <w:t>it</w:t>
            </w:r>
          </w:p>
        </w:tc>
        <w:tc>
          <w:tcPr>
            <w:tcW w:w="0" w:type="auto"/>
            <w:vAlign w:val="center"/>
          </w:tcPr>
          <w:p w:rsidR="00D24692" w:rsidRPr="008B6D74" w:rsidRDefault="00D24692" w:rsidP="00762136">
            <w:pPr>
              <w:pStyle w:val="SemEspaamento"/>
              <w:rPr>
                <w:rFonts w:cs="Times New Roman"/>
                <w:sz w:val="16"/>
                <w:szCs w:val="16"/>
              </w:rPr>
            </w:pPr>
            <w:r w:rsidRPr="008B6D74">
              <w:rPr>
                <w:rFonts w:cs="Times New Roman"/>
                <w:sz w:val="16"/>
                <w:szCs w:val="16"/>
              </w:rPr>
              <w:t xml:space="preserve">Variável </w:t>
            </w:r>
            <w:r w:rsidRPr="008B6D74">
              <w:rPr>
                <w:rFonts w:cs="Times New Roman"/>
                <w:i/>
                <w:sz w:val="16"/>
                <w:szCs w:val="16"/>
              </w:rPr>
              <w:t>dummy</w:t>
            </w:r>
            <w:r w:rsidRPr="008B6D74">
              <w:rPr>
                <w:rFonts w:cs="Times New Roman"/>
                <w:sz w:val="16"/>
                <w:szCs w:val="16"/>
              </w:rPr>
              <w:t xml:space="preserve"> que assume valor 1 para as empresas que fazem parte da carteira hipotética do índice Ibovespa.</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p>
        </w:tc>
      </w:tr>
      <w:tr w:rsidR="000C7E46" w:rsidRPr="008B6D74" w:rsidTr="00762136">
        <w:tc>
          <w:tcPr>
            <w:tcW w:w="0" w:type="auto"/>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Janela de Oportunidade (Ações)</w:t>
            </w:r>
          </w:p>
        </w:tc>
        <w:tc>
          <w:tcPr>
            <w:tcW w:w="0" w:type="auto"/>
            <w:vAlign w:val="center"/>
          </w:tcPr>
          <w:p w:rsidR="00D24692" w:rsidRPr="008B6D74" w:rsidRDefault="008B6D74" w:rsidP="00762136">
            <w:pPr>
              <w:pStyle w:val="SemEspaamento"/>
              <w:jc w:val="center"/>
              <w:rPr>
                <w:rFonts w:cs="Times New Roman"/>
                <w:sz w:val="16"/>
                <w:szCs w:val="16"/>
              </w:rPr>
            </w:pPr>
            <w:r w:rsidRPr="008B6D74">
              <w:rPr>
                <w:rFonts w:cs="Times New Roman"/>
                <w:sz w:val="16"/>
                <w:szCs w:val="16"/>
              </w:rPr>
              <w:t>JANACAO</w:t>
            </w:r>
            <w:r w:rsidRPr="008B6D74">
              <w:rPr>
                <w:rFonts w:cs="Times New Roman"/>
                <w:sz w:val="16"/>
                <w:szCs w:val="16"/>
                <w:vertAlign w:val="subscript"/>
              </w:rPr>
              <w:t>it</w:t>
            </w:r>
          </w:p>
        </w:tc>
        <w:tc>
          <w:tcPr>
            <w:tcW w:w="0" w:type="auto"/>
            <w:vAlign w:val="center"/>
          </w:tcPr>
          <w:p w:rsidR="00D24692" w:rsidRPr="008B6D74" w:rsidRDefault="00D24692" w:rsidP="00762136">
            <w:pPr>
              <w:pStyle w:val="SemEspaamento"/>
              <w:rPr>
                <w:rFonts w:cs="Times New Roman"/>
                <w:sz w:val="16"/>
                <w:szCs w:val="16"/>
              </w:rPr>
            </w:pPr>
            <w:r w:rsidRPr="008B6D74">
              <w:rPr>
                <w:rFonts w:cs="Times New Roman"/>
                <w:sz w:val="16"/>
                <w:szCs w:val="16"/>
              </w:rPr>
              <w:t xml:space="preserve">Variável </w:t>
            </w:r>
            <w:r w:rsidRPr="008B6D74">
              <w:rPr>
                <w:rFonts w:cs="Times New Roman"/>
                <w:i/>
                <w:sz w:val="16"/>
                <w:szCs w:val="16"/>
              </w:rPr>
              <w:t>dummy</w:t>
            </w:r>
            <w:r w:rsidRPr="008B6D74">
              <w:rPr>
                <w:rFonts w:cs="Times New Roman"/>
                <w:sz w:val="16"/>
                <w:szCs w:val="16"/>
              </w:rPr>
              <w:t xml:space="preserve"> que assume valor 1 para períodos que são considerados “janelas de oportunidade” de ações (aumento de emissão de ações).</w:t>
            </w: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p>
        </w:tc>
        <w:tc>
          <w:tcPr>
            <w:tcW w:w="0" w:type="auto"/>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vAlign w:val="center"/>
          </w:tcPr>
          <w:p w:rsidR="00D24692" w:rsidRPr="008B6D74" w:rsidRDefault="00D24692" w:rsidP="00762136">
            <w:pPr>
              <w:pStyle w:val="SemEspaamento"/>
              <w:jc w:val="center"/>
              <w:rPr>
                <w:rFonts w:cs="Times New Roman"/>
                <w:sz w:val="16"/>
                <w:szCs w:val="16"/>
              </w:rPr>
            </w:pPr>
          </w:p>
        </w:tc>
      </w:tr>
      <w:tr w:rsidR="000C7E46" w:rsidRPr="008B6D74" w:rsidTr="00762136">
        <w:tc>
          <w:tcPr>
            <w:tcW w:w="0" w:type="auto"/>
            <w:tcBorders>
              <w:bottom w:val="single" w:sz="12" w:space="0" w:color="auto"/>
            </w:tcBorders>
            <w:vAlign w:val="center"/>
          </w:tcPr>
          <w:p w:rsidR="00D24692" w:rsidRPr="008B6D74" w:rsidRDefault="00D24692" w:rsidP="00762136">
            <w:pPr>
              <w:pStyle w:val="SemEspaamento"/>
              <w:jc w:val="left"/>
              <w:rPr>
                <w:rFonts w:cs="Times New Roman"/>
                <w:sz w:val="16"/>
                <w:szCs w:val="16"/>
              </w:rPr>
            </w:pPr>
            <w:r w:rsidRPr="008B6D74">
              <w:rPr>
                <w:rFonts w:cs="Times New Roman"/>
                <w:sz w:val="16"/>
                <w:szCs w:val="16"/>
              </w:rPr>
              <w:t>Janela de Oportunidade (Debêntures)</w:t>
            </w:r>
          </w:p>
        </w:tc>
        <w:tc>
          <w:tcPr>
            <w:tcW w:w="0" w:type="auto"/>
            <w:tcBorders>
              <w:bottom w:val="single" w:sz="12" w:space="0" w:color="auto"/>
            </w:tcBorders>
            <w:vAlign w:val="center"/>
          </w:tcPr>
          <w:p w:rsidR="00D24692" w:rsidRPr="008B6D74" w:rsidRDefault="008B6D74" w:rsidP="00762136">
            <w:pPr>
              <w:pStyle w:val="SemEspaamento"/>
              <w:jc w:val="center"/>
              <w:rPr>
                <w:rFonts w:cs="Times New Roman"/>
                <w:sz w:val="16"/>
                <w:szCs w:val="16"/>
              </w:rPr>
            </w:pPr>
            <w:r w:rsidRPr="008B6D74">
              <w:rPr>
                <w:rFonts w:cs="Times New Roman"/>
                <w:sz w:val="16"/>
                <w:szCs w:val="16"/>
              </w:rPr>
              <w:t>JANDEB</w:t>
            </w:r>
            <w:r w:rsidRPr="008B6D74">
              <w:rPr>
                <w:rFonts w:cs="Times New Roman"/>
                <w:sz w:val="16"/>
                <w:szCs w:val="16"/>
                <w:vertAlign w:val="subscript"/>
              </w:rPr>
              <w:t>it</w:t>
            </w:r>
          </w:p>
        </w:tc>
        <w:tc>
          <w:tcPr>
            <w:tcW w:w="0" w:type="auto"/>
            <w:tcBorders>
              <w:bottom w:val="single" w:sz="12" w:space="0" w:color="auto"/>
            </w:tcBorders>
            <w:vAlign w:val="center"/>
          </w:tcPr>
          <w:p w:rsidR="00D24692" w:rsidRPr="008B6D74" w:rsidRDefault="00D24692" w:rsidP="00762136">
            <w:pPr>
              <w:pStyle w:val="SemEspaamento"/>
              <w:rPr>
                <w:rFonts w:cs="Times New Roman"/>
                <w:sz w:val="16"/>
                <w:szCs w:val="16"/>
              </w:rPr>
            </w:pPr>
            <w:r w:rsidRPr="008B6D74">
              <w:rPr>
                <w:rFonts w:cs="Times New Roman"/>
                <w:sz w:val="16"/>
                <w:szCs w:val="16"/>
              </w:rPr>
              <w:t xml:space="preserve">Variável </w:t>
            </w:r>
            <w:r w:rsidRPr="008B6D74">
              <w:rPr>
                <w:rFonts w:cs="Times New Roman"/>
                <w:i/>
                <w:sz w:val="16"/>
                <w:szCs w:val="16"/>
              </w:rPr>
              <w:t>dummy</w:t>
            </w:r>
            <w:r w:rsidRPr="008B6D74">
              <w:rPr>
                <w:rFonts w:cs="Times New Roman"/>
                <w:sz w:val="16"/>
                <w:szCs w:val="16"/>
              </w:rPr>
              <w:t xml:space="preserve"> que assume valor 1 para períodos que são considerados “janelas de oportunidade” de debêntures (aumento de emissão de dívida pública).</w:t>
            </w:r>
          </w:p>
        </w:tc>
        <w:tc>
          <w:tcPr>
            <w:tcW w:w="0" w:type="auto"/>
            <w:tcBorders>
              <w:bottom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tcBorders>
              <w:bottom w:val="single" w:sz="12" w:space="0" w:color="auto"/>
            </w:tcBorders>
            <w:vAlign w:val="center"/>
          </w:tcPr>
          <w:p w:rsidR="00D24692" w:rsidRPr="008B6D74" w:rsidRDefault="00D24692" w:rsidP="00762136">
            <w:pPr>
              <w:pStyle w:val="SemEspaamento"/>
              <w:jc w:val="center"/>
              <w:rPr>
                <w:rFonts w:cs="Times New Roman"/>
                <w:sz w:val="16"/>
                <w:szCs w:val="16"/>
              </w:rPr>
            </w:pPr>
          </w:p>
        </w:tc>
        <w:tc>
          <w:tcPr>
            <w:tcW w:w="0" w:type="auto"/>
            <w:tcBorders>
              <w:bottom w:val="single" w:sz="12" w:space="0" w:color="auto"/>
            </w:tcBorders>
            <w:vAlign w:val="center"/>
          </w:tcPr>
          <w:p w:rsidR="00D24692" w:rsidRPr="008B6D74" w:rsidRDefault="00D24692" w:rsidP="00762136">
            <w:pPr>
              <w:pStyle w:val="SemEspaamento"/>
              <w:jc w:val="center"/>
              <w:rPr>
                <w:rFonts w:cs="Times New Roman"/>
                <w:sz w:val="16"/>
                <w:szCs w:val="16"/>
              </w:rPr>
            </w:pPr>
            <w:r w:rsidRPr="008B6D74">
              <w:rPr>
                <w:rFonts w:cs="Times New Roman"/>
                <w:sz w:val="16"/>
                <w:szCs w:val="16"/>
              </w:rPr>
              <w:t>-</w:t>
            </w:r>
          </w:p>
        </w:tc>
        <w:tc>
          <w:tcPr>
            <w:tcW w:w="0" w:type="auto"/>
            <w:tcBorders>
              <w:bottom w:val="single" w:sz="12" w:space="0" w:color="auto"/>
            </w:tcBorders>
            <w:vAlign w:val="center"/>
          </w:tcPr>
          <w:p w:rsidR="00D24692" w:rsidRPr="008B6D74" w:rsidRDefault="00D24692" w:rsidP="00762136">
            <w:pPr>
              <w:pStyle w:val="SemEspaamento"/>
              <w:jc w:val="center"/>
              <w:rPr>
                <w:rFonts w:cs="Times New Roman"/>
                <w:sz w:val="16"/>
                <w:szCs w:val="16"/>
              </w:rPr>
            </w:pPr>
          </w:p>
        </w:tc>
      </w:tr>
    </w:tbl>
    <w:p w:rsidR="002C717B" w:rsidRPr="00706042" w:rsidRDefault="00D24692" w:rsidP="00C43D6A">
      <w:pPr>
        <w:ind w:firstLine="0"/>
      </w:pPr>
      <w:r w:rsidRPr="00706042">
        <w:t>Fonte: Elaborado pelo</w:t>
      </w:r>
      <w:r w:rsidR="008264E2">
        <w:t>s</w:t>
      </w:r>
      <w:r w:rsidRPr="00706042">
        <w:t xml:space="preserve"> autor</w:t>
      </w:r>
      <w:r w:rsidR="008264E2">
        <w:t>es</w:t>
      </w:r>
      <w:r w:rsidRPr="00706042">
        <w:t>.</w:t>
      </w:r>
    </w:p>
    <w:p w:rsidR="001E025D" w:rsidRPr="00706042" w:rsidRDefault="001E025D" w:rsidP="00C43D6A">
      <w:pPr>
        <w:ind w:firstLine="0"/>
        <w:sectPr w:rsidR="001E025D" w:rsidRPr="00706042" w:rsidSect="00642E84">
          <w:pgSz w:w="16840" w:h="11907" w:orient="landscape" w:code="9"/>
          <w:pgMar w:top="1418" w:right="1418" w:bottom="1418" w:left="1418" w:header="680" w:footer="680" w:gutter="0"/>
          <w:cols w:space="708"/>
          <w:docGrid w:linePitch="360"/>
        </w:sectPr>
      </w:pPr>
    </w:p>
    <w:p w:rsidR="001E025D" w:rsidRDefault="001E025D" w:rsidP="009A78CA">
      <w:r w:rsidRPr="00706042">
        <w:lastRenderedPageBreak/>
        <w:t xml:space="preserve">Para tratar mais adequadamente o modelo, seguindo o procedimento descrito por Terra e Mateus (2005), adota-se neste estudo </w:t>
      </w:r>
      <w:r w:rsidR="001C637D" w:rsidRPr="00706042">
        <w:t xml:space="preserve">um modelo </w:t>
      </w:r>
      <w:r w:rsidRPr="00706042">
        <w:t xml:space="preserve">em dois estágios para </w:t>
      </w:r>
      <w:r w:rsidR="00924DC5" w:rsidRPr="00706042">
        <w:t xml:space="preserve">se </w:t>
      </w:r>
      <w:r w:rsidRPr="00706042">
        <w:t xml:space="preserve">obter uma </w:t>
      </w:r>
      <w:r w:rsidRPr="00706042">
        <w:rPr>
          <w:i/>
        </w:rPr>
        <w:t>proxy</w:t>
      </w:r>
      <w:r w:rsidRPr="00706042">
        <w:t xml:space="preserve"> para o nível de alavancagem da empresa. Na primeira fase, a </w:t>
      </w:r>
      <w:r w:rsidRPr="00706042">
        <w:rPr>
          <w:i/>
        </w:rPr>
        <w:t>proxy</w:t>
      </w:r>
      <w:r w:rsidRPr="00706042">
        <w:t xml:space="preserve"> de alavancagem é regredida contra todas as </w:t>
      </w:r>
      <w:r w:rsidR="00827BEB">
        <w:t xml:space="preserve">outras variáveis independentes. Na </w:t>
      </w:r>
      <w:r w:rsidRPr="00706042">
        <w:t>segunda fase, os valores residuais da primeira são introduzidas como regressores nas equações dos sistemas, uma vez que esses resíduos podem ser vistos como exógeno</w:t>
      </w:r>
      <w:r w:rsidR="0081669E">
        <w:t>s</w:t>
      </w:r>
      <w:r w:rsidRPr="00706042">
        <w:t xml:space="preserve"> </w:t>
      </w:r>
      <w:r w:rsidR="0081669E">
        <w:t xml:space="preserve">em relação às demais variáveis explicativas </w:t>
      </w:r>
      <w:r w:rsidRPr="00706042">
        <w:t>(alavancagem “filtrada” ou “pura”). A regressão do primeiro estágio é definida da seguinte forma:</w:t>
      </w:r>
    </w:p>
    <w:p w:rsidR="001E025D" w:rsidRPr="00706042" w:rsidRDefault="007D4E92" w:rsidP="009A78CA">
      <w:pPr>
        <w:pStyle w:val="Frmula"/>
      </w:pPr>
      <w:r w:rsidRPr="00EA216D">
        <w:rPr>
          <w:position w:val="-30"/>
        </w:rPr>
        <w:object w:dxaOrig="7839" w:dyaOrig="720">
          <v:shape id="_x0000_i1098" type="#_x0000_t75" style="width:391.1pt;height:36.85pt" o:ole="">
            <v:imagedata r:id="rId156" o:title=""/>
          </v:shape>
          <o:OLEObject Type="Embed" ProgID="Equation.3" ShapeID="_x0000_i1098" DrawAspect="Content" ObjectID="_1340777159" r:id="rId157"/>
        </w:object>
      </w:r>
      <w:r>
        <w:rPr>
          <w:position w:val="-30"/>
        </w:rPr>
        <w:tab/>
      </w:r>
      <w:r w:rsidR="001E025D" w:rsidRPr="00706042">
        <w:t>(</w:t>
      </w:r>
      <w:r w:rsidR="00924DC5" w:rsidRPr="00706042">
        <w:t>4</w:t>
      </w:r>
      <w:r w:rsidR="001E025D" w:rsidRPr="00706042">
        <w:t>.1</w:t>
      </w:r>
      <w:r w:rsidR="00963DD7">
        <w:t>0</w:t>
      </w:r>
      <w:r w:rsidR="001E025D" w:rsidRPr="00706042">
        <w:t>)</w:t>
      </w:r>
    </w:p>
    <w:p w:rsidR="001E025D" w:rsidRPr="00706042" w:rsidRDefault="001E025D" w:rsidP="009A78CA">
      <w:r w:rsidRPr="00706042">
        <w:t xml:space="preserve">Dessa maneira, o resíduo </w:t>
      </w:r>
      <w:r w:rsidR="000660C5" w:rsidRPr="00706042">
        <w:rPr>
          <w:position w:val="-12"/>
        </w:rPr>
        <w:object w:dxaOrig="320" w:dyaOrig="360">
          <v:shape id="_x0000_i1099" type="#_x0000_t75" style="width:15pt;height:17.85pt" o:ole="">
            <v:imagedata r:id="rId158" o:title=""/>
          </v:shape>
          <o:OLEObject Type="Embed" ProgID="Equation.3" ShapeID="_x0000_i1099" DrawAspect="Content" ObjectID="_1340777160" r:id="rId159"/>
        </w:object>
      </w:r>
      <w:r w:rsidRPr="00706042">
        <w:t xml:space="preserve"> representa a parcela do nível de endividamento que não é explicada por nenhuma variável do sistema, podendo ser introduzida como substituto da variável </w:t>
      </w:r>
      <w:r w:rsidRPr="00706042">
        <w:rPr>
          <w:position w:val="-12"/>
        </w:rPr>
        <w:object w:dxaOrig="740" w:dyaOrig="360">
          <v:shape id="_x0000_i1100" type="#_x0000_t75" style="width:37.45pt;height:17.85pt" o:ole="">
            <v:imagedata r:id="rId160" o:title=""/>
          </v:shape>
          <o:OLEObject Type="Embed" ProgID="Equation.3" ShapeID="_x0000_i1100" DrawAspect="Content" ObjectID="_1340777161" r:id="rId161"/>
        </w:object>
      </w:r>
      <w:r w:rsidRPr="00706042">
        <w:t>. Para Terra (2005), este valor residual tende a ter relação positiva com o volume de dívidas de longo prazo das empresas.</w:t>
      </w:r>
    </w:p>
    <w:p w:rsidR="001E025D" w:rsidRDefault="00924DC5" w:rsidP="009A78CA">
      <w:r w:rsidRPr="00706042">
        <w:t>Após tratar a endogeneidade da variável ALAV, s</w:t>
      </w:r>
      <w:r w:rsidR="001E025D" w:rsidRPr="00706042">
        <w:t xml:space="preserve">ão criados dois sistemas de equações, um para a determinação da maturidade e outro para a fonte dos recursos, desenvolvidos com base na abordagem do Modelo de Equações Simultâneas Lineares (SEM) e de Dados em Painel. </w:t>
      </w:r>
      <w:r w:rsidR="008355B6">
        <w:t>A especificação da</w:t>
      </w:r>
      <w:r w:rsidR="001E025D" w:rsidRPr="00706042">
        <w:t xml:space="preserve"> forma funciona</w:t>
      </w:r>
      <w:r w:rsidR="008355B6">
        <w:t>l</w:t>
      </w:r>
      <w:r w:rsidR="001E025D" w:rsidRPr="00706042">
        <w:t xml:space="preserve"> utilizada </w:t>
      </w:r>
      <w:r w:rsidR="00EA216D">
        <w:t xml:space="preserve">para cada uma das quatro equações </w:t>
      </w:r>
      <w:r w:rsidR="001E025D" w:rsidRPr="00706042">
        <w:t xml:space="preserve">no segundo estágio do modelo </w:t>
      </w:r>
      <w:r w:rsidR="00EA216D">
        <w:t>pode ser representada da seguinte forma</w:t>
      </w:r>
      <w:r w:rsidR="001E025D" w:rsidRPr="00706042">
        <w:t>:</w:t>
      </w:r>
    </w:p>
    <w:p w:rsidR="001E025D" w:rsidRPr="00706042" w:rsidRDefault="008355B6" w:rsidP="009A78CA">
      <w:pPr>
        <w:pStyle w:val="Frmula"/>
      </w:pPr>
      <w:r w:rsidRPr="008355B6">
        <w:rPr>
          <w:position w:val="-48"/>
        </w:rPr>
        <w:object w:dxaOrig="6440" w:dyaOrig="1080">
          <v:shape id="_x0000_i1101" type="#_x0000_t75" style="width:321.4pt;height:53.55pt" o:ole="">
            <v:imagedata r:id="rId162" o:title=""/>
          </v:shape>
          <o:OLEObject Type="Embed" ProgID="Equation.3" ShapeID="_x0000_i1101" DrawAspect="Content" ObjectID="_1340777162" r:id="rId163"/>
        </w:object>
      </w:r>
      <w:r>
        <w:tab/>
      </w:r>
      <w:r>
        <w:tab/>
      </w:r>
      <w:r w:rsidR="007D4E92">
        <w:tab/>
      </w:r>
      <w:r w:rsidR="001E025D" w:rsidRPr="00706042">
        <w:t>(</w:t>
      </w:r>
      <w:r w:rsidR="00924DC5" w:rsidRPr="00706042">
        <w:t>4</w:t>
      </w:r>
      <w:r w:rsidR="001E025D" w:rsidRPr="00706042">
        <w:t>.1</w:t>
      </w:r>
      <w:r w:rsidR="00963DD7">
        <w:t>1</w:t>
      </w:r>
      <w:r w:rsidR="001E025D" w:rsidRPr="00706042">
        <w:t>)</w:t>
      </w:r>
    </w:p>
    <w:p w:rsidR="007D587F" w:rsidRPr="00706042" w:rsidRDefault="00EA216D" w:rsidP="009A78CA">
      <w:r>
        <w:t xml:space="preserve">onde “Var. Dep.” no lado esquerdo da equação representa a variável dependente (sucessivamente MAT1, MAT2, FIN1 e FIN2); e o </w:t>
      </w:r>
      <w:r w:rsidR="0078084A" w:rsidRPr="00706042">
        <w:t xml:space="preserve">regressor </w:t>
      </w:r>
      <w:r w:rsidR="007D587F" w:rsidRPr="00706042">
        <w:rPr>
          <w:position w:val="-12"/>
        </w:rPr>
        <w:object w:dxaOrig="880" w:dyaOrig="360">
          <v:shape id="_x0000_i1102" type="#_x0000_t75" style="width:44.95pt;height:17.85pt" o:ole="">
            <v:imagedata r:id="rId164" o:title=""/>
          </v:shape>
          <o:OLEObject Type="Embed" ProgID="Equation.3" ShapeID="_x0000_i1102" DrawAspect="Content" ObjectID="_1340777163" r:id="rId165"/>
        </w:object>
      </w:r>
      <w:r w:rsidR="0078084A" w:rsidRPr="00706042">
        <w:t xml:space="preserve"> é uma </w:t>
      </w:r>
      <w:r w:rsidR="0078084A" w:rsidRPr="00963DD7">
        <w:rPr>
          <w:i/>
        </w:rPr>
        <w:t>dummy</w:t>
      </w:r>
      <w:r w:rsidR="0078084A" w:rsidRPr="00706042">
        <w:t xml:space="preserve"> para </w:t>
      </w:r>
      <w:r w:rsidR="00A27294" w:rsidRPr="00706042">
        <w:t>setor</w:t>
      </w:r>
      <w:r w:rsidR="001D6716">
        <w:t xml:space="preserve"> de atividade</w:t>
      </w:r>
      <w:r w:rsidR="00A27294" w:rsidRPr="00706042">
        <w:t>.</w:t>
      </w:r>
    </w:p>
    <w:p w:rsidR="00867704" w:rsidRPr="00706042" w:rsidRDefault="00867704" w:rsidP="009A78CA"/>
    <w:p w:rsidR="00001023" w:rsidRPr="00604592" w:rsidRDefault="00D759BF" w:rsidP="00604592">
      <w:pPr>
        <w:pStyle w:val="Ttulo1"/>
      </w:pPr>
      <w:bookmarkStart w:id="25" w:name="_Toc256616817"/>
      <w:bookmarkStart w:id="26" w:name="_Toc256617118"/>
      <w:r w:rsidRPr="00604592">
        <w:t>4</w:t>
      </w:r>
      <w:r w:rsidR="00001023" w:rsidRPr="00604592">
        <w:t xml:space="preserve"> Análise dos Resultados</w:t>
      </w:r>
      <w:bookmarkEnd w:id="25"/>
      <w:bookmarkEnd w:id="26"/>
    </w:p>
    <w:p w:rsidR="00867704" w:rsidRPr="00706042" w:rsidRDefault="00867704" w:rsidP="00867704"/>
    <w:p w:rsidR="00001023" w:rsidRPr="00706042" w:rsidRDefault="00636E82" w:rsidP="009A78CA">
      <w:r w:rsidRPr="00706042">
        <w:t xml:space="preserve">Nesta seção </w:t>
      </w:r>
      <w:r w:rsidR="003C2276" w:rsidRPr="00706042">
        <w:t xml:space="preserve">são </w:t>
      </w:r>
      <w:r w:rsidRPr="00706042">
        <w:t xml:space="preserve">expostos e descritos os resultados obtidos em cada modelo, procurando </w:t>
      </w:r>
      <w:r w:rsidR="00256A91" w:rsidRPr="00706042">
        <w:t>con</w:t>
      </w:r>
      <w:r w:rsidRPr="00706042">
        <w:t xml:space="preserve">frontá-los com os modelos teóricos </w:t>
      </w:r>
      <w:r w:rsidR="00B3072F" w:rsidRPr="00706042">
        <w:t>existentes</w:t>
      </w:r>
      <w:r w:rsidRPr="00706042">
        <w:t>.</w:t>
      </w:r>
    </w:p>
    <w:p w:rsidR="00867704" w:rsidRPr="00706042" w:rsidRDefault="00867704" w:rsidP="00E32225"/>
    <w:p w:rsidR="00001023" w:rsidRPr="00604592" w:rsidRDefault="00D759BF" w:rsidP="00604592">
      <w:pPr>
        <w:pStyle w:val="Ttulo2"/>
      </w:pPr>
      <w:bookmarkStart w:id="27" w:name="_Toc256616818"/>
      <w:bookmarkStart w:id="28" w:name="_Toc256617119"/>
      <w:r w:rsidRPr="00604592">
        <w:t>4</w:t>
      </w:r>
      <w:r w:rsidR="00604592">
        <w:t>.1</w:t>
      </w:r>
      <w:r w:rsidR="00001023" w:rsidRPr="00604592">
        <w:t xml:space="preserve"> Análise </w:t>
      </w:r>
      <w:r w:rsidR="009A2E87" w:rsidRPr="00604592">
        <w:t>d</w:t>
      </w:r>
      <w:r w:rsidR="00001023" w:rsidRPr="00604592">
        <w:t xml:space="preserve">escritiva dos </w:t>
      </w:r>
      <w:r w:rsidR="009A2E87" w:rsidRPr="00604592">
        <w:t>d</w:t>
      </w:r>
      <w:r w:rsidR="00001023" w:rsidRPr="00604592">
        <w:t>ados</w:t>
      </w:r>
      <w:bookmarkEnd w:id="27"/>
      <w:bookmarkEnd w:id="28"/>
    </w:p>
    <w:p w:rsidR="00867704" w:rsidRPr="00706042" w:rsidRDefault="00867704" w:rsidP="00867704"/>
    <w:p w:rsidR="00626763" w:rsidRPr="00706042" w:rsidRDefault="00626763" w:rsidP="009A78CA">
      <w:r w:rsidRPr="00706042">
        <w:t>Os dados coletados para este estudo são referentes às empresas de capital aberto participantes da B</w:t>
      </w:r>
      <w:r w:rsidR="00C32B03" w:rsidRPr="00706042">
        <w:t>OVESPA</w:t>
      </w:r>
      <w:r w:rsidRPr="00706042">
        <w:t xml:space="preserve"> e da SOMA, como dito anteriormente. </w:t>
      </w:r>
      <w:r w:rsidR="007100B2" w:rsidRPr="00706042">
        <w:t>A amostra utilizada contém 476 empresas divididas em 19 setores de acordo com a classificação do sistema Economatica</w:t>
      </w:r>
      <w:r w:rsidR="007100B2" w:rsidRPr="001D6716">
        <w:rPr>
          <w:vertAlign w:val="superscript"/>
        </w:rPr>
        <w:t>®</w:t>
      </w:r>
      <w:r w:rsidR="007100B2" w:rsidRPr="00706042">
        <w:t>.</w:t>
      </w:r>
    </w:p>
    <w:p w:rsidR="00867704" w:rsidRPr="00706042" w:rsidRDefault="00867704" w:rsidP="009A78CA"/>
    <w:p w:rsidR="00322658" w:rsidRDefault="00626763" w:rsidP="009A78CA">
      <w:pPr>
        <w:pStyle w:val="Figura"/>
      </w:pPr>
      <w:bookmarkStart w:id="29" w:name="_Toc247656734"/>
      <w:r w:rsidRPr="00706042">
        <w:t xml:space="preserve">Figura 1: Participação das empresas na amostra por </w:t>
      </w:r>
      <w:r w:rsidR="007100B2" w:rsidRPr="00706042">
        <w:t>área</w:t>
      </w:r>
      <w:r w:rsidRPr="00706042">
        <w:t xml:space="preserve"> de atuação</w:t>
      </w:r>
      <w:bookmarkEnd w:id="29"/>
    </w:p>
    <w:p w:rsidR="007637B6" w:rsidRDefault="007637B6" w:rsidP="000E363E">
      <w:pPr>
        <w:pStyle w:val="Figura"/>
      </w:pPr>
      <w:r>
        <w:rPr>
          <w:noProof/>
        </w:rPr>
        <w:drawing>
          <wp:inline distT="0" distB="0" distL="0" distR="0">
            <wp:extent cx="3487476" cy="2181282"/>
            <wp:effectExtent l="19050" t="0" r="0" b="0"/>
            <wp:docPr id="156" name="Image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6"/>
                    <a:srcRect/>
                    <a:stretch>
                      <a:fillRect/>
                    </a:stretch>
                  </pic:blipFill>
                  <pic:spPr bwMode="auto">
                    <a:xfrm>
                      <a:off x="0" y="0"/>
                      <a:ext cx="3489914" cy="2182807"/>
                    </a:xfrm>
                    <a:prstGeom prst="rect">
                      <a:avLst/>
                    </a:prstGeom>
                    <a:noFill/>
                    <a:ln w="9525">
                      <a:noFill/>
                      <a:miter lim="800000"/>
                      <a:headEnd/>
                      <a:tailEnd/>
                    </a:ln>
                  </pic:spPr>
                </pic:pic>
              </a:graphicData>
            </a:graphic>
          </wp:inline>
        </w:drawing>
      </w:r>
    </w:p>
    <w:p w:rsidR="00626763" w:rsidRPr="00706042" w:rsidRDefault="002C717B" w:rsidP="002C717B">
      <w:r>
        <w:t xml:space="preserve">                        </w:t>
      </w:r>
      <w:r w:rsidR="000E363E">
        <w:t xml:space="preserve">      </w:t>
      </w:r>
      <w:r>
        <w:t xml:space="preserve">   </w:t>
      </w:r>
      <w:r w:rsidR="00626763" w:rsidRPr="00706042">
        <w:t>Fonte: Elaborado pelo</w:t>
      </w:r>
      <w:r w:rsidR="008264E2">
        <w:t>s</w:t>
      </w:r>
      <w:r w:rsidR="00626763" w:rsidRPr="00706042">
        <w:t xml:space="preserve"> autor</w:t>
      </w:r>
      <w:r w:rsidR="008264E2">
        <w:t>es</w:t>
      </w:r>
      <w:r w:rsidR="00626763" w:rsidRPr="00706042">
        <w:t>.</w:t>
      </w:r>
    </w:p>
    <w:p w:rsidR="009E27FE" w:rsidRPr="00706042" w:rsidRDefault="00223A3D" w:rsidP="009A78CA">
      <w:r w:rsidRPr="00706042">
        <w:lastRenderedPageBreak/>
        <w:t xml:space="preserve">As primeiras estatísticas descritivas das variáveis dependentes (para a análise da maturação e da fonte das dívidas) estão dispostas na </w:t>
      </w:r>
      <w:r w:rsidR="00B46341">
        <w:t>t</w:t>
      </w:r>
      <w:r w:rsidRPr="00706042">
        <w:t xml:space="preserve">abela </w:t>
      </w:r>
      <w:r w:rsidR="00C32B03" w:rsidRPr="00706042">
        <w:t xml:space="preserve">2 </w:t>
      </w:r>
      <w:r w:rsidRPr="00706042">
        <w:t>abaixo.</w:t>
      </w:r>
    </w:p>
    <w:p w:rsidR="00867704" w:rsidRPr="00706042" w:rsidRDefault="00867704" w:rsidP="009A78CA"/>
    <w:p w:rsidR="00322658" w:rsidRDefault="007534FA" w:rsidP="00322658">
      <w:pPr>
        <w:pStyle w:val="Tabela"/>
      </w:pPr>
      <w:bookmarkStart w:id="30" w:name="_Toc256617292"/>
      <w:r w:rsidRPr="00706042">
        <w:t>Tabela 2: Análise descritiva das variáveis dependentes do</w:t>
      </w:r>
      <w:r w:rsidR="00444C60">
        <w:t>s</w:t>
      </w:r>
      <w:r w:rsidRPr="00706042">
        <w:t xml:space="preserve"> modelo</w:t>
      </w:r>
      <w:r w:rsidR="00444C60">
        <w:t>s</w:t>
      </w:r>
      <w:r w:rsidRPr="00706042">
        <w:t xml:space="preserve"> de interesse</w:t>
      </w:r>
      <w:bookmarkEnd w:id="30"/>
    </w:p>
    <w:p w:rsidR="00596D75" w:rsidRPr="00706042" w:rsidRDefault="00596D75" w:rsidP="00322658">
      <w:pPr>
        <w:pStyle w:val="Tabela"/>
      </w:pPr>
      <w:r w:rsidRPr="00596D75">
        <w:rPr>
          <w:noProof/>
        </w:rPr>
        <w:drawing>
          <wp:inline distT="0" distB="0" distL="0" distR="0">
            <wp:extent cx="5037979" cy="919148"/>
            <wp:effectExtent l="19050" t="0" r="0" b="0"/>
            <wp:docPr id="161" name="Imagem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7"/>
                    <a:srcRect/>
                    <a:stretch>
                      <a:fillRect/>
                    </a:stretch>
                  </pic:blipFill>
                  <pic:spPr bwMode="auto">
                    <a:xfrm>
                      <a:off x="0" y="0"/>
                      <a:ext cx="5115317" cy="933258"/>
                    </a:xfrm>
                    <a:prstGeom prst="rect">
                      <a:avLst/>
                    </a:prstGeom>
                    <a:noFill/>
                    <a:ln w="9525">
                      <a:noFill/>
                      <a:miter lim="800000"/>
                      <a:headEnd/>
                      <a:tailEnd/>
                    </a:ln>
                  </pic:spPr>
                </pic:pic>
              </a:graphicData>
            </a:graphic>
          </wp:inline>
        </w:drawing>
      </w:r>
    </w:p>
    <w:p w:rsidR="007534FA" w:rsidRPr="00706042" w:rsidRDefault="002C717B" w:rsidP="002C717B">
      <w:r>
        <w:t xml:space="preserve">       </w:t>
      </w:r>
      <w:r w:rsidR="00596D75">
        <w:t xml:space="preserve">       </w:t>
      </w:r>
      <w:r w:rsidR="007534FA" w:rsidRPr="00706042">
        <w:t xml:space="preserve">Fonte: Elaborado </w:t>
      </w:r>
      <w:r w:rsidR="008264E2">
        <w:t>pelos autores</w:t>
      </w:r>
      <w:r w:rsidR="007534FA" w:rsidRPr="00706042">
        <w:t>.</w:t>
      </w:r>
    </w:p>
    <w:p w:rsidR="00867704" w:rsidRPr="00706042" w:rsidRDefault="00867704" w:rsidP="009A78CA"/>
    <w:p w:rsidR="005A7A71" w:rsidRPr="00706042" w:rsidRDefault="00FA79B1" w:rsidP="009A78CA">
      <w:r w:rsidRPr="00706042">
        <w:t xml:space="preserve">A tabela </w:t>
      </w:r>
      <w:r w:rsidR="00444C60">
        <w:t>2</w:t>
      </w:r>
      <w:r w:rsidRPr="00706042">
        <w:t xml:space="preserve"> mostra o número de observações, a média, desvio-padrão, valor mínimo e máximo de cada uma das variáveis </w:t>
      </w:r>
      <w:r w:rsidR="00444C60">
        <w:t>d</w:t>
      </w:r>
      <w:r w:rsidRPr="00706042">
        <w:t xml:space="preserve">ependentes (ou explicadas). </w:t>
      </w:r>
      <w:r w:rsidR="00223A3D" w:rsidRPr="00706042">
        <w:t xml:space="preserve">Vale lembrar que a variável "MAT1" faz referência ao endividamento de longo prazo, enquanto "MAT2", ao de curto prazo. De modo semelhante, "FIN1" </w:t>
      </w:r>
      <w:r w:rsidR="00F93B1C" w:rsidRPr="00706042">
        <w:t>trata das fontes públicas de recursos e "FIN2" refere-se às fontes privadas.</w:t>
      </w:r>
    </w:p>
    <w:p w:rsidR="00D20BAC" w:rsidRPr="00706042" w:rsidRDefault="00D20BAC" w:rsidP="009A78CA">
      <w:r w:rsidRPr="00706042">
        <w:t xml:space="preserve">A seguir, </w:t>
      </w:r>
      <w:r w:rsidR="000335BF" w:rsidRPr="00706042">
        <w:t xml:space="preserve">na </w:t>
      </w:r>
      <w:r w:rsidR="00B46341">
        <w:t>t</w:t>
      </w:r>
      <w:r w:rsidR="000335BF" w:rsidRPr="00706042">
        <w:t xml:space="preserve">abela 3 </w:t>
      </w:r>
      <w:r w:rsidRPr="00706042">
        <w:t>são mostradas algumas estatísticas descritivas das variáveis explicativas do modelo</w:t>
      </w:r>
      <w:r w:rsidR="000363DC" w:rsidRPr="00706042">
        <w:t>.</w:t>
      </w:r>
    </w:p>
    <w:p w:rsidR="00A93D10" w:rsidRPr="00706042" w:rsidRDefault="00A93D10" w:rsidP="00867704"/>
    <w:p w:rsidR="00740C58" w:rsidRPr="00706042" w:rsidRDefault="00335FDD" w:rsidP="00867704">
      <w:pPr>
        <w:pStyle w:val="Tabela"/>
      </w:pPr>
      <w:bookmarkStart w:id="31" w:name="_Toc256617293"/>
      <w:r w:rsidRPr="00706042">
        <w:t xml:space="preserve">Tabela </w:t>
      </w:r>
      <w:r w:rsidR="00740C58" w:rsidRPr="00706042">
        <w:t>3</w:t>
      </w:r>
      <w:r w:rsidRPr="00706042">
        <w:t>: Análise descritiva das variáveis independentes do</w:t>
      </w:r>
      <w:r w:rsidR="00444C60">
        <w:t>s</w:t>
      </w:r>
      <w:r w:rsidRPr="00706042">
        <w:t xml:space="preserve"> modelo</w:t>
      </w:r>
      <w:r w:rsidR="00444C60">
        <w:t>s</w:t>
      </w:r>
      <w:r w:rsidRPr="00706042">
        <w:t xml:space="preserve"> de interesse</w:t>
      </w:r>
      <w:bookmarkEnd w:id="31"/>
    </w:p>
    <w:p w:rsidR="000004DA" w:rsidRDefault="0042063E" w:rsidP="000004DA">
      <w:pPr>
        <w:ind w:firstLine="0"/>
        <w:jc w:val="center"/>
      </w:pPr>
      <w:r w:rsidRPr="00706042">
        <w:rPr>
          <w:noProof/>
        </w:rPr>
        <w:drawing>
          <wp:inline distT="0" distB="0" distL="0" distR="0">
            <wp:extent cx="4379866" cy="2735092"/>
            <wp:effectExtent l="19050" t="0" r="1634" b="0"/>
            <wp:docPr id="117" name="Image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8" cstate="print"/>
                    <a:srcRect/>
                    <a:stretch>
                      <a:fillRect/>
                    </a:stretch>
                  </pic:blipFill>
                  <pic:spPr bwMode="auto">
                    <a:xfrm>
                      <a:off x="0" y="0"/>
                      <a:ext cx="4376419" cy="2732940"/>
                    </a:xfrm>
                    <a:prstGeom prst="rect">
                      <a:avLst/>
                    </a:prstGeom>
                    <a:noFill/>
                    <a:ln w="9525">
                      <a:noFill/>
                      <a:miter lim="800000"/>
                      <a:headEnd/>
                      <a:tailEnd/>
                    </a:ln>
                  </pic:spPr>
                </pic:pic>
              </a:graphicData>
            </a:graphic>
          </wp:inline>
        </w:drawing>
      </w:r>
    </w:p>
    <w:p w:rsidR="00335FDD" w:rsidRPr="000004DA" w:rsidRDefault="002C717B" w:rsidP="002C717B">
      <w:r>
        <w:t xml:space="preserve">       </w:t>
      </w:r>
      <w:r w:rsidR="00596D75">
        <w:t xml:space="preserve">  </w:t>
      </w:r>
      <w:r>
        <w:t xml:space="preserve">             </w:t>
      </w:r>
      <w:r w:rsidR="00335FDD" w:rsidRPr="000004DA">
        <w:t xml:space="preserve">Fonte: Elaborado </w:t>
      </w:r>
      <w:r w:rsidR="008264E2">
        <w:t>pelos autores</w:t>
      </w:r>
      <w:r w:rsidR="00335FDD" w:rsidRPr="000004DA">
        <w:t>.</w:t>
      </w:r>
    </w:p>
    <w:p w:rsidR="00867704" w:rsidRPr="00706042" w:rsidRDefault="00867704" w:rsidP="009A78CA">
      <w:pPr>
        <w:pStyle w:val="Texto"/>
      </w:pPr>
    </w:p>
    <w:p w:rsidR="00335FDD" w:rsidRPr="00706042" w:rsidRDefault="00695096" w:rsidP="009A78CA">
      <w:pPr>
        <w:pStyle w:val="Texto"/>
      </w:pPr>
      <w:r w:rsidRPr="00706042">
        <w:t xml:space="preserve">Nota-se a grande diferença entre os desvios-padrão das duas </w:t>
      </w:r>
      <w:r w:rsidRPr="00706042">
        <w:rPr>
          <w:i/>
        </w:rPr>
        <w:t>proxies</w:t>
      </w:r>
      <w:r w:rsidRPr="00706042">
        <w:t xml:space="preserve"> para o crescimento da empresa. Isso ocorre porque, mesmo sendo medidas para a mesma característica, as duas </w:t>
      </w:r>
      <w:r w:rsidRPr="00706042">
        <w:rPr>
          <w:i/>
        </w:rPr>
        <w:t>proxies</w:t>
      </w:r>
      <w:r w:rsidRPr="00706042">
        <w:t xml:space="preserve"> são construídas de formas bem diversas, a primeira é a medida do </w:t>
      </w:r>
      <w:r w:rsidRPr="00706042">
        <w:rPr>
          <w:i/>
        </w:rPr>
        <w:t>q de Tobin</w:t>
      </w:r>
      <w:r w:rsidRPr="00706042">
        <w:t>, enquanto a segunda é a variação das receitas das firmas no tempo.</w:t>
      </w:r>
      <w:r w:rsidR="00444C60">
        <w:t xml:space="preserve"> O mesmo não ocorre para as 3 </w:t>
      </w:r>
      <w:r w:rsidR="00444C60" w:rsidRPr="00444C60">
        <w:rPr>
          <w:i/>
        </w:rPr>
        <w:t>proxies</w:t>
      </w:r>
      <w:r w:rsidR="00444C60">
        <w:t xml:space="preserve"> de tamanho.</w:t>
      </w:r>
    </w:p>
    <w:p w:rsidR="00847B22" w:rsidRDefault="00847B22" w:rsidP="009A78CA">
      <w:pPr>
        <w:pStyle w:val="Texto"/>
      </w:pPr>
      <w:r w:rsidRPr="00706042">
        <w:t xml:space="preserve">A tabela </w:t>
      </w:r>
      <w:r w:rsidR="000335BF" w:rsidRPr="00706042">
        <w:t xml:space="preserve">4 </w:t>
      </w:r>
      <w:r w:rsidRPr="00706042">
        <w:t>mostrada a seguir contém os valores das correlações encontradas entre as variáveis utilizadas nos modelos.</w:t>
      </w:r>
    </w:p>
    <w:p w:rsidR="00A300A4" w:rsidRDefault="00D45D2A" w:rsidP="00A300A4">
      <w:pPr>
        <w:pStyle w:val="Texto"/>
      </w:pPr>
      <w:r w:rsidRPr="00706042">
        <w:t>Como se pode notar, não há grande correlação entre as duas medi</w:t>
      </w:r>
      <w:r w:rsidR="00596D75">
        <w:t xml:space="preserve">das para a maturidade da dívida, </w:t>
      </w:r>
      <w:r w:rsidRPr="00706042">
        <w:t>tão pouco entre as variáveis para a fonte de financiame</w:t>
      </w:r>
      <w:r w:rsidR="00596D75">
        <w:t>nto</w:t>
      </w:r>
      <w:r w:rsidRPr="00706042">
        <w:t>. No entanto, os sinais negativos mostram a existência de uma relação inversa, o que seria o esperado</w:t>
      </w:r>
      <w:r>
        <w:t>,</w:t>
      </w:r>
      <w:r w:rsidRPr="00706042">
        <w:t xml:space="preserve"> já que uma empresa toma suas decisões de financiamento escolhendo entre as duas opções para a fonte e as duas para a maturação da dívida. Quanto à relação entre maturidade e fonte, pode-se notar que as dívidas de longo prazo são positivamente relacionadas às duas fontes, sendo, entretanto, mais correlacionadas às fontes privadas. Já as dívidas de curto prazo são negativamente relacionadas às fontes públicas e fortemente correlacionadas </w:t>
      </w:r>
      <w:r w:rsidR="003E04D7" w:rsidRPr="00706042">
        <w:t>às fontes privadas. Isso pode ser explicado pelo fato de que, na base de dado</w:t>
      </w:r>
      <w:r w:rsidR="003E04D7">
        <w:t xml:space="preserve">s utilizada para este trabalho, </w:t>
      </w:r>
      <w:r w:rsidR="003E04D7" w:rsidRPr="00706042">
        <w:t xml:space="preserve">a proporção </w:t>
      </w:r>
      <w:r w:rsidR="003E04D7">
        <w:t>entre</w:t>
      </w:r>
      <w:r w:rsidR="003E04D7" w:rsidRPr="00706042">
        <w:t xml:space="preserve"> endividamento privado </w:t>
      </w:r>
      <w:r w:rsidR="003E04D7">
        <w:t>e</w:t>
      </w:r>
      <w:r w:rsidR="003E04D7" w:rsidRPr="00706042">
        <w:t xml:space="preserve"> volume total de dívidas das empresas é muito superior à de </w:t>
      </w:r>
      <w:r w:rsidR="003E04D7" w:rsidRPr="00706042">
        <w:lastRenderedPageBreak/>
        <w:t>endividamento público.</w:t>
      </w:r>
      <w:r w:rsidR="00A300A4">
        <w:t xml:space="preserve"> </w:t>
      </w:r>
      <w:r w:rsidR="00A300A4" w:rsidRPr="00706042">
        <w:t>Pelo mesmo motivo, o grau de alavancagem das firmas (ALAV) aparece muito correlacionado com FIN2</w:t>
      </w:r>
      <w:r w:rsidR="00A300A4">
        <w:t>, MAT1 e MAT2.</w:t>
      </w:r>
    </w:p>
    <w:p w:rsidR="00846279" w:rsidRDefault="00846279" w:rsidP="00297B8B"/>
    <w:p w:rsidR="003E04D7" w:rsidRPr="00706042" w:rsidRDefault="003E04D7" w:rsidP="003E04D7">
      <w:pPr>
        <w:pStyle w:val="Tabela"/>
      </w:pPr>
      <w:r w:rsidRPr="00706042">
        <w:t>Tabela 4: Correlaç</w:t>
      </w:r>
      <w:r>
        <w:t>ões</w:t>
      </w:r>
      <w:r w:rsidRPr="00706042">
        <w:t xml:space="preserve"> encontrada</w:t>
      </w:r>
      <w:r>
        <w:t>s</w:t>
      </w:r>
      <w:r w:rsidRPr="00706042">
        <w:t xml:space="preserve"> entre as variáveis dependentes e independentes</w:t>
      </w:r>
    </w:p>
    <w:p w:rsidR="00846279" w:rsidRDefault="003E04D7" w:rsidP="003E04D7">
      <w:pPr>
        <w:pStyle w:val="Tabela"/>
      </w:pPr>
      <w:r w:rsidRPr="003E04D7">
        <w:rPr>
          <w:noProof/>
        </w:rPr>
        <w:drawing>
          <wp:inline distT="0" distB="0" distL="0" distR="0">
            <wp:extent cx="4329525" cy="4443906"/>
            <wp:effectExtent l="19050" t="0" r="0" b="0"/>
            <wp:docPr id="86" name="Image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9"/>
                    <a:srcRect/>
                    <a:stretch>
                      <a:fillRect/>
                    </a:stretch>
                  </pic:blipFill>
                  <pic:spPr bwMode="auto">
                    <a:xfrm>
                      <a:off x="0" y="0"/>
                      <a:ext cx="4329705" cy="4444090"/>
                    </a:xfrm>
                    <a:prstGeom prst="rect">
                      <a:avLst/>
                    </a:prstGeom>
                    <a:noFill/>
                    <a:ln w="9525">
                      <a:noFill/>
                      <a:miter lim="800000"/>
                      <a:headEnd/>
                      <a:tailEnd/>
                    </a:ln>
                  </pic:spPr>
                </pic:pic>
              </a:graphicData>
            </a:graphic>
          </wp:inline>
        </w:drawing>
      </w:r>
    </w:p>
    <w:p w:rsidR="003E04D7" w:rsidRDefault="002C717B" w:rsidP="002C717B">
      <w:r>
        <w:t xml:space="preserve">                       </w:t>
      </w:r>
      <w:r w:rsidR="003E04D7" w:rsidRPr="00706042">
        <w:t xml:space="preserve">Fonte: Elaborado </w:t>
      </w:r>
      <w:r w:rsidR="003E04D7">
        <w:t>pelos autores</w:t>
      </w:r>
      <w:r w:rsidR="003E04D7" w:rsidRPr="00706042">
        <w:t>.</w:t>
      </w:r>
    </w:p>
    <w:p w:rsidR="00846279" w:rsidRDefault="00846279" w:rsidP="00297B8B"/>
    <w:p w:rsidR="00A300A4" w:rsidRDefault="00740851" w:rsidP="00740851">
      <w:pPr>
        <w:pStyle w:val="Texto"/>
      </w:pPr>
      <w:r w:rsidRPr="00706042">
        <w:t xml:space="preserve">As </w:t>
      </w:r>
      <w:r w:rsidRPr="00706042">
        <w:rPr>
          <w:i/>
        </w:rPr>
        <w:t>proxies</w:t>
      </w:r>
      <w:r w:rsidRPr="00706042">
        <w:t xml:space="preserve"> para o tamanho ou porte da firma apresentam um comportamento interessante. Enquanto TAM1 e TAM3 se mo</w:t>
      </w:r>
      <w:r w:rsidR="00303F2D">
        <w:t>stram altamente correlacionadas</w:t>
      </w:r>
      <w:r w:rsidRPr="00706042">
        <w:t>, a variável TAM2 não segue a mesma tendência. TAM1 diz respeito ao patrimônio líquido, que inclui os lucros acumulados, e TAM3 se baseia no total de ativos da empresa. Já TAM2 refere-s</w:t>
      </w:r>
      <w:r w:rsidR="00303F2D">
        <w:t>e à receita líquida da empresa</w:t>
      </w:r>
      <w:r w:rsidR="00303F2D">
        <w:rPr>
          <w:rStyle w:val="Refdenotaderodap"/>
        </w:rPr>
        <w:footnoteReference w:id="16"/>
      </w:r>
      <w:r w:rsidR="00303F2D">
        <w:t>.</w:t>
      </w:r>
      <w:r w:rsidR="00A300A4">
        <w:t xml:space="preserve"> </w:t>
      </w:r>
      <w:r w:rsidRPr="00706042">
        <w:t xml:space="preserve">A medida da liquidez das ações na bolsa (LIQBOLSA) apresenta também certa correlação com a participação </w:t>
      </w:r>
      <w:r>
        <w:t xml:space="preserve">da ação no </w:t>
      </w:r>
      <w:r w:rsidRPr="00706042">
        <w:t>Ibovespa, o que já era esperado, uma vez que este inclui as empresas que apre</w:t>
      </w:r>
      <w:r w:rsidR="00614E86">
        <w:t>sentam maior liquidez na bolsa.</w:t>
      </w:r>
    </w:p>
    <w:p w:rsidR="00740851" w:rsidRPr="00706042" w:rsidRDefault="00740851" w:rsidP="00740851">
      <w:pPr>
        <w:pStyle w:val="Texto"/>
      </w:pPr>
      <w:r w:rsidRPr="00706042">
        <w:t>Interessante notar que existe uma relação inversa entre o risco operacional e o</w:t>
      </w:r>
      <w:r w:rsidR="00614E86">
        <w:t>s benefícios fiscais da dívida</w:t>
      </w:r>
      <w:r w:rsidRPr="00706042">
        <w:t>. Considerando que este último é medido pela razão</w:t>
      </w:r>
      <w:r w:rsidR="00614E86">
        <w:t xml:space="preserve"> entre o lucro tributável</w:t>
      </w:r>
      <w:r w:rsidRPr="00706042">
        <w:t xml:space="preserve"> e a receita da firma, tem-se que, quanto menor o lucro (e o potencial benefício fiscal), maior o risco operacional. Teoricamente, entretanto, esse benefício seria usado com maior freqüência na tomada de empréstimo de curto prazo, em empresas sem uma estrutura de planejamento sólida e com maior risco operacional. </w:t>
      </w:r>
    </w:p>
    <w:p w:rsidR="00740851" w:rsidRPr="00706042" w:rsidRDefault="00740851" w:rsidP="00740851">
      <w:pPr>
        <w:pStyle w:val="Texto"/>
      </w:pPr>
    </w:p>
    <w:p w:rsidR="00740851" w:rsidRPr="00706042" w:rsidRDefault="00740851" w:rsidP="00740851">
      <w:pPr>
        <w:pStyle w:val="Ttulo2"/>
      </w:pPr>
      <w:bookmarkStart w:id="32" w:name="_Toc256616819"/>
      <w:bookmarkStart w:id="33" w:name="_Toc256617120"/>
      <w:r>
        <w:t>4.2</w:t>
      </w:r>
      <w:r w:rsidRPr="00706042">
        <w:t xml:space="preserve"> Análise dos resultados de pesquisa</w:t>
      </w:r>
      <w:bookmarkEnd w:id="32"/>
      <w:bookmarkEnd w:id="33"/>
    </w:p>
    <w:p w:rsidR="00740851" w:rsidRPr="00706042" w:rsidRDefault="00740851" w:rsidP="00740851"/>
    <w:p w:rsidR="00740851" w:rsidRDefault="00740851" w:rsidP="00740851">
      <w:r w:rsidRPr="00706042">
        <w:t xml:space="preserve">Os modelos </w:t>
      </w:r>
      <w:r w:rsidR="00614E86" w:rsidRPr="00706042">
        <w:t xml:space="preserve">para maturidade e fonte de financiamento </w:t>
      </w:r>
      <w:r w:rsidRPr="00706042">
        <w:t>são estimados de acordo com as especificações indicadas pela literatura, seguindo a ordem: MQO para painel (</w:t>
      </w:r>
      <w:r w:rsidRPr="00706042">
        <w:rPr>
          <w:i/>
        </w:rPr>
        <w:t>Pooled</w:t>
      </w:r>
      <w:r w:rsidRPr="00706042">
        <w:t xml:space="preserve"> OLS), MQO robusto para o problema da heterocedasticidade, modelo de efeitos aleatórios (RE) e de efeitos fixos (FE).</w:t>
      </w:r>
      <w:r w:rsidR="00614E86">
        <w:t xml:space="preserve"> </w:t>
      </w:r>
      <w:r w:rsidRPr="00706042">
        <w:t xml:space="preserve">O teste de </w:t>
      </w:r>
      <w:r w:rsidRPr="00706042">
        <w:rPr>
          <w:i/>
        </w:rPr>
        <w:lastRenderedPageBreak/>
        <w:t>Breusch-Pagan</w:t>
      </w:r>
      <w:r w:rsidRPr="00706042">
        <w:t xml:space="preserve"> indic</w:t>
      </w:r>
      <w:r>
        <w:t>ou</w:t>
      </w:r>
      <w:r w:rsidRPr="00706042">
        <w:t xml:space="preserve"> a existência de efeitos não observados em todos os modelos a um nível de significância de 0,1%. Outro teste muito</w:t>
      </w:r>
      <w:r>
        <w:t xml:space="preserve"> </w:t>
      </w:r>
      <w:r w:rsidRPr="00706042">
        <w:t xml:space="preserve">importante é o de </w:t>
      </w:r>
      <w:r w:rsidRPr="00706042">
        <w:rPr>
          <w:i/>
        </w:rPr>
        <w:t>Hausman</w:t>
      </w:r>
      <w:r w:rsidRPr="00706042">
        <w:t>, que em todos os casos rejeit</w:t>
      </w:r>
      <w:r>
        <w:t>ou</w:t>
      </w:r>
      <w:r w:rsidRPr="00706042">
        <w:t xml:space="preserve"> a hipótese nula de que o modelo de efeitos aleatório</w:t>
      </w:r>
      <w:r w:rsidR="00614E86">
        <w:t>s seria o modelo mais ajustado</w:t>
      </w:r>
      <w:r w:rsidRPr="00706042">
        <w:t>.</w:t>
      </w:r>
    </w:p>
    <w:p w:rsidR="00D45D2A" w:rsidRDefault="00D45D2A" w:rsidP="00D45D2A">
      <w:r>
        <w:t>Os resultados dos testes são apresentados na tabela 5 a seguir.</w:t>
      </w:r>
    </w:p>
    <w:p w:rsidR="00E32225" w:rsidRDefault="00E32225" w:rsidP="00E32225"/>
    <w:p w:rsidR="00EA05D1" w:rsidRDefault="00EA05D1" w:rsidP="00EA05D1">
      <w:pPr>
        <w:pStyle w:val="Tabela"/>
      </w:pPr>
      <w:r w:rsidRPr="00706042">
        <w:t xml:space="preserve">Tabela 5: Resultados dos </w:t>
      </w:r>
      <w:r>
        <w:t>testes de Breusch e Pagan e de Hausman</w:t>
      </w:r>
    </w:p>
    <w:p w:rsidR="000E363E" w:rsidRDefault="000E363E" w:rsidP="00EA05D1">
      <w:pPr>
        <w:pStyle w:val="Tabela"/>
      </w:pPr>
      <w:r w:rsidRPr="000E363E">
        <w:rPr>
          <w:noProof/>
        </w:rPr>
        <w:drawing>
          <wp:inline distT="0" distB="0" distL="0" distR="0">
            <wp:extent cx="2912432" cy="1587398"/>
            <wp:effectExtent l="19050" t="0" r="2218" b="0"/>
            <wp:docPr id="160" name="Imagem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0"/>
                    <a:srcRect/>
                    <a:stretch>
                      <a:fillRect/>
                    </a:stretch>
                  </pic:blipFill>
                  <pic:spPr bwMode="auto">
                    <a:xfrm>
                      <a:off x="0" y="0"/>
                      <a:ext cx="2922687" cy="1592988"/>
                    </a:xfrm>
                    <a:prstGeom prst="rect">
                      <a:avLst/>
                    </a:prstGeom>
                    <a:noFill/>
                    <a:ln w="9525">
                      <a:noFill/>
                      <a:miter lim="800000"/>
                      <a:headEnd/>
                      <a:tailEnd/>
                    </a:ln>
                  </pic:spPr>
                </pic:pic>
              </a:graphicData>
            </a:graphic>
          </wp:inline>
        </w:drawing>
      </w:r>
    </w:p>
    <w:p w:rsidR="002C717B" w:rsidRDefault="002C717B" w:rsidP="002C717B">
      <w:r>
        <w:t xml:space="preserve">                            </w:t>
      </w:r>
      <w:r w:rsidR="00A300A4">
        <w:t xml:space="preserve">  </w:t>
      </w:r>
      <w:r>
        <w:t xml:space="preserve">      </w:t>
      </w:r>
      <w:r w:rsidR="00A300A4">
        <w:t xml:space="preserve">  </w:t>
      </w:r>
      <w:r>
        <w:t xml:space="preserve">     </w:t>
      </w:r>
      <w:r w:rsidRPr="00706042">
        <w:t xml:space="preserve">Fonte: Elaborado </w:t>
      </w:r>
      <w:r>
        <w:t>pelos autores</w:t>
      </w:r>
      <w:r w:rsidRPr="00706042">
        <w:t>.</w:t>
      </w:r>
    </w:p>
    <w:p w:rsidR="00EA05D1" w:rsidRPr="00706042" w:rsidRDefault="00EA05D1" w:rsidP="009A78CA"/>
    <w:p w:rsidR="00962170" w:rsidRDefault="00112C03" w:rsidP="009A78CA">
      <w:r>
        <w:t>Na tabela 6</w:t>
      </w:r>
      <w:r w:rsidR="002F6D69">
        <w:t>, apresentam-se</w:t>
      </w:r>
      <w:r w:rsidR="00F247E9" w:rsidRPr="00706042">
        <w:t xml:space="preserve"> o</w:t>
      </w:r>
      <w:r w:rsidR="00740C58" w:rsidRPr="00706042">
        <w:t xml:space="preserve">s resultados </w:t>
      </w:r>
      <w:r w:rsidR="00F247E9" w:rsidRPr="00706042">
        <w:t>para os modelos de maturidade</w:t>
      </w:r>
      <w:r w:rsidR="00CE21F9" w:rsidRPr="00706042">
        <w:t xml:space="preserve"> e para fonte de recursos</w:t>
      </w:r>
      <w:r w:rsidR="007B51D9" w:rsidRPr="00706042">
        <w:t xml:space="preserve">, considerando cada equação estimada </w:t>
      </w:r>
      <w:r w:rsidR="00EA05D1">
        <w:t>separadamente.</w:t>
      </w:r>
    </w:p>
    <w:p w:rsidR="00112C03" w:rsidRPr="00706042" w:rsidRDefault="00112C03" w:rsidP="00112C03"/>
    <w:p w:rsidR="00740C58" w:rsidRDefault="00740C58" w:rsidP="00867704">
      <w:pPr>
        <w:pStyle w:val="Tabela"/>
      </w:pPr>
      <w:bookmarkStart w:id="34" w:name="_Toc256617295"/>
      <w:r w:rsidRPr="00706042">
        <w:t xml:space="preserve">Tabela </w:t>
      </w:r>
      <w:r w:rsidR="00EA05D1">
        <w:t>6</w:t>
      </w:r>
      <w:r w:rsidRPr="00706042">
        <w:t xml:space="preserve">: Resultados </w:t>
      </w:r>
      <w:r w:rsidR="003847C4" w:rsidRPr="00706042">
        <w:t xml:space="preserve">dos </w:t>
      </w:r>
      <w:r w:rsidRPr="00706042">
        <w:t xml:space="preserve">modelos de determinação da maturidade </w:t>
      </w:r>
      <w:r w:rsidR="00CE21F9" w:rsidRPr="00706042">
        <w:t xml:space="preserve">e fonte </w:t>
      </w:r>
      <w:r w:rsidRPr="00706042">
        <w:t>da dívida</w:t>
      </w:r>
      <w:bookmarkEnd w:id="34"/>
    </w:p>
    <w:p w:rsidR="008E4443" w:rsidRPr="00706042" w:rsidRDefault="008E4443" w:rsidP="00867704">
      <w:pPr>
        <w:pStyle w:val="Tabela"/>
      </w:pPr>
      <w:r w:rsidRPr="008E4443">
        <w:rPr>
          <w:noProof/>
        </w:rPr>
        <w:drawing>
          <wp:inline distT="0" distB="0" distL="0" distR="0">
            <wp:extent cx="5774589" cy="4334322"/>
            <wp:effectExtent l="19050" t="0" r="0" b="0"/>
            <wp:docPr id="162" name="Imagem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1"/>
                    <a:srcRect/>
                    <a:stretch>
                      <a:fillRect/>
                    </a:stretch>
                  </pic:blipFill>
                  <pic:spPr bwMode="auto">
                    <a:xfrm>
                      <a:off x="0" y="0"/>
                      <a:ext cx="5784527" cy="4341781"/>
                    </a:xfrm>
                    <a:prstGeom prst="rect">
                      <a:avLst/>
                    </a:prstGeom>
                    <a:noFill/>
                    <a:ln w="9525">
                      <a:noFill/>
                      <a:miter lim="800000"/>
                      <a:headEnd/>
                      <a:tailEnd/>
                    </a:ln>
                  </pic:spPr>
                </pic:pic>
              </a:graphicData>
            </a:graphic>
          </wp:inline>
        </w:drawing>
      </w:r>
    </w:p>
    <w:p w:rsidR="008E4443" w:rsidRDefault="00A300A4" w:rsidP="008E4443">
      <w:pPr>
        <w:rPr>
          <w:noProof/>
        </w:rPr>
      </w:pPr>
      <w:r>
        <w:rPr>
          <w:noProof/>
        </w:rPr>
        <w:t xml:space="preserve">     </w:t>
      </w:r>
      <w:r w:rsidR="008E4443">
        <w:rPr>
          <w:noProof/>
        </w:rPr>
        <w:t>Fonte: Elaborado pelos autores.</w:t>
      </w:r>
    </w:p>
    <w:p w:rsidR="008E4443" w:rsidRDefault="008E4443" w:rsidP="00A300A4">
      <w:pPr>
        <w:ind w:left="567" w:right="566" w:firstLine="0"/>
        <w:rPr>
          <w:noProof/>
        </w:rPr>
      </w:pPr>
      <w:r>
        <w:rPr>
          <w:noProof/>
        </w:rPr>
        <w:t>Observação: Os símbolos ****, ***, ** e * indicam, respectivamente, ao nível de significância de 0,1%, 1%, 5% e 10%.</w:t>
      </w:r>
    </w:p>
    <w:p w:rsidR="00A300A4" w:rsidRDefault="00A300A4" w:rsidP="00A300A4">
      <w:pPr>
        <w:rPr>
          <w:noProof/>
        </w:rPr>
      </w:pPr>
    </w:p>
    <w:p w:rsidR="00A300A4" w:rsidRPr="00706042" w:rsidRDefault="00A300A4" w:rsidP="00A300A4">
      <w:r w:rsidRPr="00706042">
        <w:lastRenderedPageBreak/>
        <w:t xml:space="preserve">Todas as variáveis significativas mantêm seus respectivos sinais em todos os modelos. E o modelo de dados em painel com efeitos fixos se mostra mais ajustado que os anteriores, de acordo com o Critério de Informação de </w:t>
      </w:r>
      <w:r w:rsidRPr="00706042">
        <w:rPr>
          <w:i/>
        </w:rPr>
        <w:t>Akaike</w:t>
      </w:r>
      <w:r w:rsidRPr="00706042">
        <w:t xml:space="preserve"> e com o teste de </w:t>
      </w:r>
      <w:r w:rsidRPr="00706042">
        <w:rPr>
          <w:i/>
        </w:rPr>
        <w:t>Hausman</w:t>
      </w:r>
      <w:r w:rsidRPr="00706042">
        <w:t>.</w:t>
      </w:r>
    </w:p>
    <w:p w:rsidR="00A300A4" w:rsidRPr="00706042" w:rsidRDefault="00A300A4" w:rsidP="00A300A4">
      <w:r w:rsidRPr="00706042">
        <w:t>A participação das empresas no Ibovespa não se mostra um determinante significativo em nenhum dos modelos de determinação da maturação das dívidas. Nos modelos de MQO robusto para a fonte dos recursos, o coeficiente da variável indica que firmas integrantes do Ibovespa utilizam mais dívida privada do que pública. Entretanto, o modelo mais ajustado (de efeitos fixos) não confirma tal suspeita.</w:t>
      </w:r>
    </w:p>
    <w:p w:rsidR="00A300A4" w:rsidRPr="00706042" w:rsidRDefault="00A300A4" w:rsidP="00A300A4">
      <w:r w:rsidRPr="00706042">
        <w:t>Em nenhum dos modelos estudados, a medida de liquidez (LIQ), o risco operacional (RISC) e o fluxo de caixa livre (FCL) são variáveis significativas para as decisões sobre o endividamento tomad</w:t>
      </w:r>
      <w:r>
        <w:t>o</w:t>
      </w:r>
      <w:r w:rsidRPr="00706042">
        <w:t xml:space="preserve"> pelas empresas. Contrariando os resultados encontrados por autores como Jensen (1986) e Terra (2005) no que diz respeito a essas variáveis.</w:t>
      </w:r>
    </w:p>
    <w:p w:rsidR="00A300A4" w:rsidRPr="00706042" w:rsidRDefault="00A300A4" w:rsidP="00A300A4">
      <w:r w:rsidRPr="00706042">
        <w:t xml:space="preserve">Vale destacar que se considerou a introdução uma a uma das variáveis excluídas (não significativas) durante o processo de escolha do modelo. No entanto, apenas em dois casos a </w:t>
      </w:r>
      <w:r w:rsidRPr="00706042">
        <w:rPr>
          <w:i/>
        </w:rPr>
        <w:t>proxy</w:t>
      </w:r>
      <w:r w:rsidRPr="00706042">
        <w:t xml:space="preserve"> recolocada mostr</w:t>
      </w:r>
      <w:r>
        <w:t>ou</w:t>
      </w:r>
      <w:r w:rsidRPr="00706042">
        <w:t xml:space="preserve">-se significante: a medida de liquidez em bolsa (LIQBOLSA) no modelo de dívidas de curto prazo (MAT2) e a </w:t>
      </w:r>
      <w:r w:rsidRPr="00706042">
        <w:rPr>
          <w:i/>
        </w:rPr>
        <w:t>proxy</w:t>
      </w:r>
      <w:r w:rsidRPr="00706042">
        <w:t xml:space="preserve"> para a tangibilidade dos ativos da empresa (TANG).</w:t>
      </w:r>
    </w:p>
    <w:p w:rsidR="00A300A4" w:rsidRPr="00706042" w:rsidRDefault="00A300A4" w:rsidP="00A300A4">
      <w:r w:rsidRPr="00706042">
        <w:t xml:space="preserve">O passo seguinte </w:t>
      </w:r>
      <w:r>
        <w:t>foi</w:t>
      </w:r>
      <w:r w:rsidRPr="00706042">
        <w:t xml:space="preserve"> a estimação de um modelo de equações simultâneas para a determinação da maturidade da dívida e outro para a escolha da fonte dos recursos, conforme explicado na seção de metodologia deste trabalho.</w:t>
      </w:r>
      <w:r>
        <w:t xml:space="preserve"> </w:t>
      </w:r>
      <w:r w:rsidRPr="00706042">
        <w:t xml:space="preserve">Os resultados obtidos estão dispostos na </w:t>
      </w:r>
      <w:r>
        <w:t>t</w:t>
      </w:r>
      <w:r w:rsidRPr="00706042">
        <w:t xml:space="preserve">abela </w:t>
      </w:r>
      <w:r>
        <w:t>7</w:t>
      </w:r>
      <w:r w:rsidRPr="00706042">
        <w:t xml:space="preserve"> a</w:t>
      </w:r>
      <w:r>
        <w:t>presentada</w:t>
      </w:r>
      <w:r w:rsidRPr="00706042">
        <w:t xml:space="preserve"> </w:t>
      </w:r>
      <w:r>
        <w:t xml:space="preserve">a </w:t>
      </w:r>
      <w:r w:rsidRPr="00706042">
        <w:t>seguir</w:t>
      </w:r>
      <w:r>
        <w:t xml:space="preserve"> neste trabalho</w:t>
      </w:r>
      <w:r w:rsidRPr="00706042">
        <w:t>.</w:t>
      </w:r>
    </w:p>
    <w:p w:rsidR="00A300A4" w:rsidRPr="00706042" w:rsidRDefault="00A300A4" w:rsidP="008E4443">
      <w:pPr>
        <w:rPr>
          <w:noProof/>
        </w:rPr>
      </w:pPr>
    </w:p>
    <w:p w:rsidR="00B46341" w:rsidRDefault="003847C4" w:rsidP="00867704">
      <w:pPr>
        <w:pStyle w:val="Tabela"/>
      </w:pPr>
      <w:bookmarkStart w:id="35" w:name="_Toc256617296"/>
      <w:r w:rsidRPr="00706042">
        <w:t xml:space="preserve">Tabela </w:t>
      </w:r>
      <w:r w:rsidR="00B46341">
        <w:t>7</w:t>
      </w:r>
      <w:r w:rsidRPr="00706042">
        <w:t>: Resultados dos modelos de equações simultâneas</w:t>
      </w:r>
      <w:bookmarkEnd w:id="35"/>
    </w:p>
    <w:p w:rsidR="00A300A4" w:rsidRPr="00706042" w:rsidRDefault="00A300A4" w:rsidP="00867704">
      <w:pPr>
        <w:pStyle w:val="Tabela"/>
      </w:pPr>
      <w:r w:rsidRPr="00A300A4">
        <w:rPr>
          <w:noProof/>
        </w:rPr>
        <w:drawing>
          <wp:inline distT="0" distB="0" distL="0" distR="0">
            <wp:extent cx="3733507" cy="2487168"/>
            <wp:effectExtent l="19050" t="0" r="293" b="0"/>
            <wp:docPr id="163" name="Imagem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2"/>
                    <a:srcRect/>
                    <a:stretch>
                      <a:fillRect/>
                    </a:stretch>
                  </pic:blipFill>
                  <pic:spPr bwMode="auto">
                    <a:xfrm>
                      <a:off x="0" y="0"/>
                      <a:ext cx="3755842" cy="2502047"/>
                    </a:xfrm>
                    <a:prstGeom prst="rect">
                      <a:avLst/>
                    </a:prstGeom>
                    <a:noFill/>
                    <a:ln w="9525">
                      <a:noFill/>
                      <a:miter lim="800000"/>
                      <a:headEnd/>
                      <a:tailEnd/>
                    </a:ln>
                  </pic:spPr>
                </pic:pic>
              </a:graphicData>
            </a:graphic>
          </wp:inline>
        </w:drawing>
      </w:r>
    </w:p>
    <w:p w:rsidR="00A300A4" w:rsidRDefault="00A300A4" w:rsidP="00A300A4">
      <w:pPr>
        <w:rPr>
          <w:noProof/>
        </w:rPr>
      </w:pPr>
      <w:r>
        <w:rPr>
          <w:noProof/>
        </w:rPr>
        <w:t xml:space="preserve">               </w:t>
      </w:r>
      <w:r w:rsidR="00AE152C">
        <w:rPr>
          <w:noProof/>
        </w:rPr>
        <w:t xml:space="preserve"> </w:t>
      </w:r>
      <w:r>
        <w:rPr>
          <w:noProof/>
        </w:rPr>
        <w:t xml:space="preserve">       </w:t>
      </w:r>
      <w:r w:rsidR="00AE152C">
        <w:rPr>
          <w:noProof/>
        </w:rPr>
        <w:t xml:space="preserve"> </w:t>
      </w:r>
      <w:r>
        <w:rPr>
          <w:noProof/>
        </w:rPr>
        <w:t xml:space="preserve">         Fonte: Elaborado pelos autores.</w:t>
      </w:r>
    </w:p>
    <w:p w:rsidR="00A300A4" w:rsidRDefault="00A300A4" w:rsidP="00AE152C">
      <w:pPr>
        <w:ind w:left="2268" w:right="2125" w:firstLine="0"/>
        <w:rPr>
          <w:noProof/>
        </w:rPr>
      </w:pPr>
      <w:r>
        <w:rPr>
          <w:noProof/>
        </w:rPr>
        <w:t>Observação: Os símbolos ****, ***, ** e * indicam, respectivamente, ao nível de significância de 0,1%, 1%, 5% e 10%.</w:t>
      </w:r>
    </w:p>
    <w:p w:rsidR="00DB46EC" w:rsidRPr="00706042" w:rsidRDefault="00DB46EC" w:rsidP="00BA36B6"/>
    <w:p w:rsidR="00BA36B6" w:rsidRPr="00706042" w:rsidRDefault="00BA36B6" w:rsidP="00BA36B6">
      <w:r w:rsidRPr="00706042">
        <w:t xml:space="preserve">A </w:t>
      </w:r>
      <w:r w:rsidRPr="00706042">
        <w:rPr>
          <w:i/>
        </w:rPr>
        <w:t>proxy</w:t>
      </w:r>
      <w:r w:rsidRPr="00706042">
        <w:t xml:space="preserve"> para o porte ou tamanho da empresa TAM1 mostra coeficiente negativo em ambos os modelos e com valores muito próximos, indicando que seu aumento reduz o volume de dívidas como um t</w:t>
      </w:r>
      <w:r>
        <w:t>o</w:t>
      </w:r>
      <w:r w:rsidRPr="00706042">
        <w:t>do. Como esta variável é calculada a partir do patrimônio líquido da firma,</w:t>
      </w:r>
      <w:r w:rsidRPr="00112C03">
        <w:t xml:space="preserve"> </w:t>
      </w:r>
      <w:r w:rsidRPr="00706042">
        <w:t>é aceitável pensar que quanto maior</w:t>
      </w:r>
      <w:r>
        <w:t xml:space="preserve"> a participação dos sócios no negócio</w:t>
      </w:r>
      <w:r w:rsidRPr="00706042">
        <w:t>, m</w:t>
      </w:r>
      <w:r>
        <w:t>enor o endividamento agregado</w:t>
      </w:r>
      <w:r w:rsidRPr="00706042">
        <w:t>.</w:t>
      </w:r>
    </w:p>
    <w:p w:rsidR="00E20AC1" w:rsidRPr="00706042" w:rsidRDefault="00BA36B6" w:rsidP="00BA36B6">
      <w:r w:rsidRPr="00706042">
        <w:t xml:space="preserve">TAM2, outra </w:t>
      </w:r>
      <w:r w:rsidRPr="00706042">
        <w:rPr>
          <w:i/>
        </w:rPr>
        <w:t>proxy</w:t>
      </w:r>
      <w:r w:rsidRPr="00706042">
        <w:t xml:space="preserve"> para tamanho, é baseada na receita total, mas desconsidera a estrutura de custos da firma. Como a estrutura de receitas é freqüentemente utilizada como garantia para empréstimos bancários de curto prazo (colaterização da dívida), pode-se dizer que empresas que possuem receitas altas podem ter incentivos a tomar empréstimos bancários em</w:t>
      </w:r>
      <w:r>
        <w:t xml:space="preserve"> </w:t>
      </w:r>
      <w:r w:rsidR="0090581C" w:rsidRPr="00706042">
        <w:t>caso de alguma eventualidade, mas não para empréstimos de longo prazo, que</w:t>
      </w:r>
      <w:r w:rsidR="00576AAD" w:rsidRPr="00706042">
        <w:t>,</w:t>
      </w:r>
      <w:r w:rsidR="0090581C" w:rsidRPr="00706042">
        <w:t xml:space="preserve"> por possuírem um caráter de </w:t>
      </w:r>
      <w:r w:rsidR="000A2231">
        <w:t xml:space="preserve">longo prazo, requerem </w:t>
      </w:r>
      <w:r w:rsidR="0090581C" w:rsidRPr="00706042">
        <w:t>planejamento, necessitam de cuidadosa elaboração de projeto</w:t>
      </w:r>
      <w:r w:rsidR="00087463" w:rsidRPr="00706042">
        <w:t>s</w:t>
      </w:r>
      <w:r w:rsidR="0090581C" w:rsidRPr="00706042">
        <w:t xml:space="preserve"> capaz</w:t>
      </w:r>
      <w:r w:rsidR="00087463" w:rsidRPr="00706042">
        <w:t>es</w:t>
      </w:r>
      <w:r w:rsidR="0090581C" w:rsidRPr="00706042">
        <w:t xml:space="preserve"> de convencer a instituição privada emprestadora que seus recursos estão sendo investidos em algo viável.</w:t>
      </w:r>
      <w:r w:rsidR="00657C2C" w:rsidRPr="00706042">
        <w:t xml:space="preserve"> Isto aumentaria o volume de dívidas de curto prazo em </w:t>
      </w:r>
      <w:r w:rsidR="00657C2C" w:rsidRPr="00706042">
        <w:lastRenderedPageBreak/>
        <w:t>relação às de longo, assim como as dívidas privadas</w:t>
      </w:r>
      <w:r w:rsidR="003A17DA" w:rsidRPr="00706042">
        <w:t xml:space="preserve"> (principalmente bancárias)</w:t>
      </w:r>
      <w:r w:rsidR="00657C2C" w:rsidRPr="00706042">
        <w:t xml:space="preserve"> em relação às públicas, como sugere</w:t>
      </w:r>
      <w:r w:rsidR="000A2231">
        <w:t>m</w:t>
      </w:r>
      <w:r w:rsidR="00657C2C" w:rsidRPr="00706042">
        <w:t xml:space="preserve"> os resultados obtidos.</w:t>
      </w:r>
    </w:p>
    <w:p w:rsidR="00657C2C" w:rsidRPr="00706042" w:rsidRDefault="0018199A" w:rsidP="009A78CA">
      <w:r w:rsidRPr="00706042">
        <w:t>Situação parecida ocorre com</w:t>
      </w:r>
      <w:r w:rsidR="00E05D1D" w:rsidRPr="00706042">
        <w:t xml:space="preserve"> TANG, medida dos ativos tangíveis da empresa, e com</w:t>
      </w:r>
      <w:r w:rsidRPr="00706042">
        <w:t xml:space="preserve"> TAM3, </w:t>
      </w:r>
      <w:r w:rsidR="00E05D1D" w:rsidRPr="00706042">
        <w:t>baseada na conta de ativos</w:t>
      </w:r>
      <w:r w:rsidRPr="00706042">
        <w:t>,</w:t>
      </w:r>
      <w:r w:rsidR="00E05D1D" w:rsidRPr="00706042">
        <w:t xml:space="preserve"> ambas utilizadas </w:t>
      </w:r>
      <w:r w:rsidR="00226969" w:rsidRPr="00706042">
        <w:t xml:space="preserve">como garantia frente às instituições bancárias. A diferença é que </w:t>
      </w:r>
      <w:r w:rsidR="000A2231">
        <w:t xml:space="preserve">essas </w:t>
      </w:r>
      <w:r w:rsidR="000A2231" w:rsidRPr="000A2231">
        <w:rPr>
          <w:i/>
        </w:rPr>
        <w:t>proxies</w:t>
      </w:r>
      <w:r w:rsidR="000A2231">
        <w:t xml:space="preserve"> </w:t>
      </w:r>
      <w:r w:rsidR="00226969" w:rsidRPr="00706042">
        <w:t>possu</w:t>
      </w:r>
      <w:r w:rsidR="00E05D1D" w:rsidRPr="00706042">
        <w:t>em</w:t>
      </w:r>
      <w:r w:rsidR="00226969" w:rsidRPr="00706042">
        <w:t xml:space="preserve"> coeficiente</w:t>
      </w:r>
      <w:r w:rsidR="00E05D1D" w:rsidRPr="00706042">
        <w:t>s</w:t>
      </w:r>
      <w:r w:rsidR="00226969" w:rsidRPr="00706042">
        <w:t xml:space="preserve"> positivo</w:t>
      </w:r>
      <w:r w:rsidR="00E05D1D" w:rsidRPr="00706042">
        <w:t>s</w:t>
      </w:r>
      <w:r w:rsidR="00226969" w:rsidRPr="00706042">
        <w:t xml:space="preserve"> em todas as equações, beneficiando o endividamento como um todo. Entretanto, nota-se que </w:t>
      </w:r>
      <w:r w:rsidR="00E05D1D" w:rsidRPr="00706042">
        <w:t xml:space="preserve">em TAM3 </w:t>
      </w:r>
      <w:r w:rsidR="00226969" w:rsidRPr="00706042">
        <w:t xml:space="preserve">tal benefício </w:t>
      </w:r>
      <w:r w:rsidR="00576AAD" w:rsidRPr="00706042">
        <w:t>re</w:t>
      </w:r>
      <w:r w:rsidR="00226969" w:rsidRPr="00706042">
        <w:t xml:space="preserve">cai mais sobre as dividas </w:t>
      </w:r>
      <w:r w:rsidR="00E20AC1" w:rsidRPr="00706042">
        <w:t xml:space="preserve">de longo prazo do que </w:t>
      </w:r>
      <w:r w:rsidR="000A2231">
        <w:t xml:space="preserve">sobre </w:t>
      </w:r>
      <w:r w:rsidR="00E20AC1" w:rsidRPr="00706042">
        <w:t xml:space="preserve">as de curto prazo e mais sobre as fontes privadas do que </w:t>
      </w:r>
      <w:r w:rsidR="000A2231">
        <w:t xml:space="preserve">sobre </w:t>
      </w:r>
      <w:r w:rsidR="00E20AC1" w:rsidRPr="00706042">
        <w:t>as públicas.</w:t>
      </w:r>
    </w:p>
    <w:p w:rsidR="002E1286" w:rsidRPr="00706042" w:rsidRDefault="00DC1EE0" w:rsidP="009A78CA">
      <w:r w:rsidRPr="00706042">
        <w:t xml:space="preserve">No caso da </w:t>
      </w:r>
      <w:r w:rsidRPr="00706042">
        <w:rPr>
          <w:i/>
        </w:rPr>
        <w:t>proxy</w:t>
      </w:r>
      <w:r w:rsidRPr="00706042">
        <w:t xml:space="preserve"> para as oportunidades de crescimento da empresa (CRES1), </w:t>
      </w:r>
      <w:r w:rsidR="002E1286" w:rsidRPr="00706042">
        <w:t>espera-se que empresas com grande potencial de crescimento sejam mais expropriadoras dos credores, co</w:t>
      </w:r>
      <w:r w:rsidR="000A2231">
        <w:t xml:space="preserve">nforme autores como </w:t>
      </w:r>
      <w:r w:rsidR="002E1286" w:rsidRPr="00706042">
        <w:t>H</w:t>
      </w:r>
      <w:r w:rsidR="000A2231">
        <w:t>arris</w:t>
      </w:r>
      <w:r w:rsidR="002E1286" w:rsidRPr="00706042">
        <w:t xml:space="preserve"> e R</w:t>
      </w:r>
      <w:r w:rsidR="000A2231">
        <w:t>aviv</w:t>
      </w:r>
      <w:r w:rsidR="002E1286" w:rsidRPr="00706042">
        <w:t>, 1991</w:t>
      </w:r>
      <w:r w:rsidR="000A2231">
        <w:t>,</w:t>
      </w:r>
      <w:r w:rsidR="002E1286" w:rsidRPr="00706042">
        <w:t xml:space="preserve"> e</w:t>
      </w:r>
      <w:r w:rsidR="00576AAD" w:rsidRPr="00706042">
        <w:t>,</w:t>
      </w:r>
      <w:r w:rsidR="002E1286" w:rsidRPr="00706042">
        <w:t xml:space="preserve"> por isso</w:t>
      </w:r>
      <w:r w:rsidR="00576AAD" w:rsidRPr="00706042">
        <w:t>,</w:t>
      </w:r>
      <w:r w:rsidR="002E1286" w:rsidRPr="00706042">
        <w:t xml:space="preserve"> tenham elevados custos de agência entre acionistas e credores, tornando mais elevado o custo de suas dívida. Assim, essas firmas tenderiam a se financiar mais com capital próprio. Seguindo o mesmo raciocínio, as empresas com baixo potencial de crescimento manteriam níveis mais elevados de dívida (BLACK e SCHOLES,</w:t>
      </w:r>
      <w:r w:rsidR="00576AAD" w:rsidRPr="00706042">
        <w:t xml:space="preserve"> </w:t>
      </w:r>
      <w:r w:rsidR="002E1286" w:rsidRPr="00706042">
        <w:t>1973</w:t>
      </w:r>
      <w:r w:rsidR="0072666D" w:rsidRPr="00706042">
        <w:t>)</w:t>
      </w:r>
      <w:r w:rsidR="00236199" w:rsidRPr="00706042">
        <w:t>. No entanto, segundo Barclays e Smith (1995) e Titman e Wessels (1988), a expectativa de crescimento</w:t>
      </w:r>
      <w:r w:rsidR="009F45A9" w:rsidRPr="00706042">
        <w:t xml:space="preserve"> deveria apresentar relação positiva com a utilização de dívida privada e/ou dívida de cur</w:t>
      </w:r>
      <w:r w:rsidR="008B6ABA" w:rsidRPr="00706042">
        <w:t>t</w:t>
      </w:r>
      <w:r w:rsidR="009F45A9" w:rsidRPr="00706042">
        <w:t>o prazo, o que diverge do resultado encontrado neste trabalho.</w:t>
      </w:r>
    </w:p>
    <w:p w:rsidR="007151E4" w:rsidRPr="00706042" w:rsidRDefault="007151E4" w:rsidP="009A78CA">
      <w:r w:rsidRPr="00706042">
        <w:t xml:space="preserve">O retorno sobre investimento (ROI, </w:t>
      </w:r>
      <w:r w:rsidRPr="00706042">
        <w:rPr>
          <w:i/>
        </w:rPr>
        <w:t>Return on Investment</w:t>
      </w:r>
      <w:r w:rsidRPr="00706042">
        <w:t xml:space="preserve">), </w:t>
      </w:r>
      <w:r w:rsidR="00662A62" w:rsidRPr="00706042">
        <w:rPr>
          <w:i/>
        </w:rPr>
        <w:t>proxy</w:t>
      </w:r>
      <w:r w:rsidR="00662A62" w:rsidRPr="00706042">
        <w:t xml:space="preserve"> para a rentabilidade, </w:t>
      </w:r>
      <w:r w:rsidRPr="00706042">
        <w:t xml:space="preserve">que se utiliza dos lucros da empresa antes do pagamento de juros e da provisão para imposto de renda, </w:t>
      </w:r>
      <w:r w:rsidR="00CE3FC6" w:rsidRPr="00706042">
        <w:t xml:space="preserve">está </w:t>
      </w:r>
      <w:r w:rsidR="00FB10D7" w:rsidRPr="00706042">
        <w:t xml:space="preserve">de acordo com a teoria quando se trata da maturidade (Perobelli e Fama, 2003), </w:t>
      </w:r>
      <w:r w:rsidR="00CE3FC6" w:rsidRPr="00706042">
        <w:t xml:space="preserve">favorecendo o uso de dívida de longo prazo em detrimento da de curto prazo. Quanto à </w:t>
      </w:r>
      <w:r w:rsidR="00FB10D7" w:rsidRPr="00706042">
        <w:t>fonte do financiamento</w:t>
      </w:r>
      <w:r w:rsidRPr="00706042">
        <w:t xml:space="preserve">, </w:t>
      </w:r>
      <w:r w:rsidR="0093428A" w:rsidRPr="00706042">
        <w:t xml:space="preserve">a rentabilidade incrementa </w:t>
      </w:r>
      <w:r w:rsidRPr="00706042">
        <w:t>as dívidas pública</w:t>
      </w:r>
      <w:r w:rsidR="00BB3AB8" w:rsidRPr="00706042">
        <w:t>s</w:t>
      </w:r>
      <w:r w:rsidRPr="00706042">
        <w:t xml:space="preserve"> e desestimula as dívidas privadas</w:t>
      </w:r>
      <w:r w:rsidR="00E12684" w:rsidRPr="00706042">
        <w:t>.</w:t>
      </w:r>
    </w:p>
    <w:p w:rsidR="0087266F" w:rsidRPr="00706042" w:rsidRDefault="00D0786B" w:rsidP="009A78CA">
      <w:r w:rsidRPr="00706042">
        <w:t>Outro resultado interessante é que o</w:t>
      </w:r>
      <w:r w:rsidR="00E17829" w:rsidRPr="00706042">
        <w:t xml:space="preserve">s benefícios fiscais da dívida, medidos </w:t>
      </w:r>
      <w:r w:rsidRPr="00706042">
        <w:t xml:space="preserve">por FISC, </w:t>
      </w:r>
      <w:r w:rsidR="005B390F" w:rsidRPr="00706042">
        <w:t xml:space="preserve">são considerados na escolha da maturação da dívida, mas não quando se trata da fonte. Como esses benefícios são utilizados mais facilmente em financiamento para atividades cotidianas (curto prazo) do que em dívida de longo prazo, a variável aparece na estimação beneficiando aquele em detrimento deste. </w:t>
      </w:r>
      <w:r w:rsidR="00BB3AB8" w:rsidRPr="00706042">
        <w:t>No entanto, é importante ressaltar que seu impacto sobre a decisão de financiamento, mesmo que significante estatisticamente, é muito pouco expressivo, apresentando valor apenas na quinta casa decimal.</w:t>
      </w:r>
    </w:p>
    <w:p w:rsidR="002D23A2" w:rsidRPr="00706042" w:rsidRDefault="005723FF" w:rsidP="009A78CA">
      <w:r w:rsidRPr="00706042">
        <w:t>A restrição financeira da firma (REST) também afeta suas escolhas, embora essa influência pare</w:t>
      </w:r>
      <w:r w:rsidR="00576AAD" w:rsidRPr="00706042">
        <w:t>ça ser</w:t>
      </w:r>
      <w:r w:rsidRPr="00706042">
        <w:t xml:space="preserve"> pouca no modelo, atingindo apenas a decisão sobre </w:t>
      </w:r>
      <w:r w:rsidR="0093428A" w:rsidRPr="00706042">
        <w:t>a origem dos recursos</w:t>
      </w:r>
      <w:r w:rsidRPr="00706042">
        <w:t xml:space="preserve">. Isso ocorre porque firmas com maiores restrições financeiras apresentam maiores riscos para </w:t>
      </w:r>
      <w:r w:rsidR="00633163" w:rsidRPr="00706042">
        <w:t xml:space="preserve">o </w:t>
      </w:r>
      <w:r w:rsidR="00B50C83" w:rsidRPr="00706042">
        <w:t>mercado</w:t>
      </w:r>
      <w:r w:rsidRPr="00706042">
        <w:t xml:space="preserve">, </w:t>
      </w:r>
      <w:r w:rsidR="00633163" w:rsidRPr="00706042">
        <w:t>dificultando a entrada da firma no mercado de dívida p</w:t>
      </w:r>
      <w:r w:rsidR="00B50C83" w:rsidRPr="00706042">
        <w:t>ú</w:t>
      </w:r>
      <w:r w:rsidR="00633163" w:rsidRPr="00706042">
        <w:t xml:space="preserve">blica </w:t>
      </w:r>
      <w:r w:rsidR="00576AAD" w:rsidRPr="00706042">
        <w:t xml:space="preserve">e </w:t>
      </w:r>
      <w:r w:rsidR="00B50C83" w:rsidRPr="00706042">
        <w:t xml:space="preserve">incentivando o endividamento privado (menor assimetria informacional). </w:t>
      </w:r>
      <w:r w:rsidR="0093428A" w:rsidRPr="00706042">
        <w:t xml:space="preserve">Vale relembrar que, devido à maneira como a variável REST é montada, </w:t>
      </w:r>
      <w:r w:rsidR="004E068C" w:rsidRPr="00706042">
        <w:t xml:space="preserve">quanto maior a restrição financeira da empresa, menor é </w:t>
      </w:r>
      <w:r w:rsidR="0093428A" w:rsidRPr="00706042">
        <w:t>seu</w:t>
      </w:r>
      <w:r w:rsidR="00FD6D7A" w:rsidRPr="00706042">
        <w:t xml:space="preserve"> valor</w:t>
      </w:r>
      <w:r w:rsidR="0093428A" w:rsidRPr="00706042">
        <w:t xml:space="preserve"> (contrário das demais variáveis), devendo-se analisar seu sinal com cuidado</w:t>
      </w:r>
      <w:r w:rsidR="004E068C" w:rsidRPr="00706042">
        <w:t>.</w:t>
      </w:r>
    </w:p>
    <w:p w:rsidR="00B91F31" w:rsidRPr="00706042" w:rsidRDefault="00B91F31" w:rsidP="009A78CA">
      <w:r w:rsidRPr="00706042">
        <w:t xml:space="preserve">A </w:t>
      </w:r>
      <w:r w:rsidR="00196CB7" w:rsidRPr="00706042">
        <w:t xml:space="preserve">medida da alavancagem da firma (no caso, RESALAV), ou seja, a participação de capital de terceiros, apresenta </w:t>
      </w:r>
      <w:r w:rsidR="00D87D09" w:rsidRPr="00706042">
        <w:t xml:space="preserve">tanto </w:t>
      </w:r>
      <w:r w:rsidR="00196CB7" w:rsidRPr="00706042">
        <w:t xml:space="preserve">influência sobre a determinação da </w:t>
      </w:r>
      <w:r w:rsidR="00D87D09" w:rsidRPr="00706042">
        <w:t xml:space="preserve">maturação </w:t>
      </w:r>
      <w:r w:rsidR="00196CB7" w:rsidRPr="00706042">
        <w:t>d</w:t>
      </w:r>
      <w:r w:rsidR="00D87D09" w:rsidRPr="00706042">
        <w:t>a</w:t>
      </w:r>
      <w:r w:rsidR="00196CB7" w:rsidRPr="00706042">
        <w:t xml:space="preserve"> dívida</w:t>
      </w:r>
      <w:r w:rsidR="00D87D09" w:rsidRPr="00706042">
        <w:t xml:space="preserve"> quan</w:t>
      </w:r>
      <w:r w:rsidR="00951D68" w:rsidRPr="00706042">
        <w:t>to na escolha entre as muitas origens dos recursos</w:t>
      </w:r>
      <w:r w:rsidR="00C03461" w:rsidRPr="00706042">
        <w:t xml:space="preserve">. Um resultado óbvio, pois segundo Titman e Wessels (1988), </w:t>
      </w:r>
      <w:r w:rsidR="00196CB7" w:rsidRPr="00706042">
        <w:t xml:space="preserve">quanto mais </w:t>
      </w:r>
      <w:r w:rsidR="00C03461" w:rsidRPr="00706042">
        <w:t xml:space="preserve">alavancada </w:t>
      </w:r>
      <w:r w:rsidR="00196CB7" w:rsidRPr="00706042">
        <w:t xml:space="preserve">a empresa </w:t>
      </w:r>
      <w:r w:rsidR="00C03461" w:rsidRPr="00706042">
        <w:t>se torna</w:t>
      </w:r>
      <w:r w:rsidR="00196CB7" w:rsidRPr="00706042">
        <w:t xml:space="preserve">, maior </w:t>
      </w:r>
      <w:r w:rsidR="00C03461" w:rsidRPr="00706042">
        <w:t>é o volume total de dívidas que ela contrai.</w:t>
      </w:r>
      <w:r w:rsidR="00196CB7" w:rsidRPr="00706042">
        <w:t xml:space="preserve"> Ressalta-se, no entanto que a maior influência está sobre a fonte privada, devido ao fato de recursos financeiros usados pelas empresas incluídas na amostra serem </w:t>
      </w:r>
      <w:r w:rsidR="0022247B" w:rsidRPr="00706042">
        <w:t>originários em sua maior parte de fontes privadas.</w:t>
      </w:r>
    </w:p>
    <w:p w:rsidR="00066313" w:rsidRPr="00706042" w:rsidRDefault="00394A03" w:rsidP="009A78CA">
      <w:pPr>
        <w:pStyle w:val="Texto"/>
      </w:pPr>
      <w:r w:rsidRPr="00706042">
        <w:t>A liquidez das ações (LIQ</w:t>
      </w:r>
      <w:r w:rsidR="00066313" w:rsidRPr="00706042">
        <w:t>BOLSA</w:t>
      </w:r>
      <w:r w:rsidRPr="00706042">
        <w:t>) das empresas na bolsa (Bovespa) facilitaria o financiamento por meio de capital próprio (emissão de ações)</w:t>
      </w:r>
      <w:r w:rsidR="00594C70" w:rsidRPr="00706042">
        <w:t xml:space="preserve">. </w:t>
      </w:r>
      <w:r w:rsidRPr="00706042">
        <w:t xml:space="preserve">No entanto, é </w:t>
      </w:r>
      <w:r w:rsidR="00066313" w:rsidRPr="00706042">
        <w:t xml:space="preserve">obtido </w:t>
      </w:r>
      <w:r w:rsidRPr="00706042">
        <w:t xml:space="preserve">um resultado inesperado, um aumento das dívidas de curto prazo com a elevação da liquidez, cuja explicação ainda não </w:t>
      </w:r>
      <w:r w:rsidR="00951D68" w:rsidRPr="00706042">
        <w:t xml:space="preserve">é </w:t>
      </w:r>
      <w:r w:rsidRPr="00706042">
        <w:t>encontrada na literatura.</w:t>
      </w:r>
    </w:p>
    <w:p w:rsidR="002D23A2" w:rsidRPr="00706042" w:rsidRDefault="00394A03" w:rsidP="009A78CA">
      <w:pPr>
        <w:pStyle w:val="Texto"/>
      </w:pPr>
      <w:r w:rsidRPr="00706042">
        <w:t xml:space="preserve">A </w:t>
      </w:r>
      <w:r w:rsidRPr="00706042">
        <w:rPr>
          <w:i/>
        </w:rPr>
        <w:t>dummy</w:t>
      </w:r>
      <w:r w:rsidRPr="00706042">
        <w:t xml:space="preserve"> </w:t>
      </w:r>
      <w:r w:rsidR="00951D68" w:rsidRPr="00706042">
        <w:t>IBOV</w:t>
      </w:r>
      <w:r w:rsidR="00821C5C">
        <w:t>,</w:t>
      </w:r>
      <w:r w:rsidR="00951D68" w:rsidRPr="00706042">
        <w:t xml:space="preserve"> usada </w:t>
      </w:r>
      <w:r w:rsidRPr="00706042">
        <w:t xml:space="preserve">para </w:t>
      </w:r>
      <w:r w:rsidR="00951D68" w:rsidRPr="00706042">
        <w:t>a representação d</w:t>
      </w:r>
      <w:r w:rsidRPr="00706042">
        <w:t xml:space="preserve">as organizações participantes da carteira hipotética do </w:t>
      </w:r>
      <w:r w:rsidR="00951D68" w:rsidRPr="00706042">
        <w:t xml:space="preserve">Ibovespa (e </w:t>
      </w:r>
      <w:r w:rsidRPr="00706042">
        <w:t>que também indica as ações com maior liquidez na bolsa</w:t>
      </w:r>
      <w:r w:rsidR="00951D68" w:rsidRPr="00706042">
        <w:t>)</w:t>
      </w:r>
      <w:r w:rsidRPr="00706042">
        <w:t xml:space="preserve">, tem um comportamento estranho quando se trata da determinação das dívidas privadas, </w:t>
      </w:r>
      <w:r w:rsidR="003D2540" w:rsidRPr="00706042">
        <w:t xml:space="preserve">mostrando </w:t>
      </w:r>
      <w:r w:rsidRPr="00706042">
        <w:t xml:space="preserve">que as empresas </w:t>
      </w:r>
      <w:r w:rsidR="00594C70" w:rsidRPr="00706042">
        <w:t xml:space="preserve">participantes do </w:t>
      </w:r>
      <w:r w:rsidR="003D2540" w:rsidRPr="00706042">
        <w:t>índice</w:t>
      </w:r>
      <w:r w:rsidR="00594C70" w:rsidRPr="00706042">
        <w:t xml:space="preserve"> </w:t>
      </w:r>
      <w:r w:rsidR="003D2540" w:rsidRPr="00706042">
        <w:t>fazem maior uso</w:t>
      </w:r>
      <w:r w:rsidRPr="00706042">
        <w:t xml:space="preserve"> deste tipo de dívida. </w:t>
      </w:r>
      <w:r w:rsidR="00066313" w:rsidRPr="00706042">
        <w:t>Sabe-se que f</w:t>
      </w:r>
      <w:r w:rsidR="008552A6" w:rsidRPr="00706042">
        <w:t>irmas pertenc</w:t>
      </w:r>
      <w:r w:rsidR="00066313" w:rsidRPr="00706042">
        <w:t xml:space="preserve">entes </w:t>
      </w:r>
      <w:r w:rsidR="008552A6" w:rsidRPr="00706042">
        <w:t>a este índice são bem estabelecidas no mercado,</w:t>
      </w:r>
      <w:r w:rsidR="00C01835" w:rsidRPr="00706042">
        <w:t xml:space="preserve"> de maior porte, </w:t>
      </w:r>
      <w:r w:rsidR="008552A6" w:rsidRPr="00706042">
        <w:t>estáveis, com menores riscos de falência</w:t>
      </w:r>
      <w:r w:rsidR="00C01835" w:rsidRPr="00706042">
        <w:t xml:space="preserve">. </w:t>
      </w:r>
      <w:r w:rsidR="00066313" w:rsidRPr="00706042">
        <w:t xml:space="preserve">Sendo assim, é </w:t>
      </w:r>
      <w:r w:rsidR="00C01835" w:rsidRPr="00706042">
        <w:t xml:space="preserve">razoável concluir </w:t>
      </w:r>
      <w:r w:rsidR="008552A6" w:rsidRPr="00706042">
        <w:t xml:space="preserve">que </w:t>
      </w:r>
      <w:r w:rsidR="00C01835" w:rsidRPr="00706042">
        <w:t>es</w:t>
      </w:r>
      <w:r w:rsidR="00594C70" w:rsidRPr="00706042">
        <w:t>s</w:t>
      </w:r>
      <w:r w:rsidR="00C01835" w:rsidRPr="00706042">
        <w:t xml:space="preserve">as características </w:t>
      </w:r>
      <w:r w:rsidR="008552A6" w:rsidRPr="00706042">
        <w:t>pode</w:t>
      </w:r>
      <w:r w:rsidR="00C01835" w:rsidRPr="00706042">
        <w:t>m</w:t>
      </w:r>
      <w:r w:rsidR="008552A6" w:rsidRPr="00706042">
        <w:t xml:space="preserve"> tornar mais fácil a obtenção de recursos de fontes privadas, como bancos</w:t>
      </w:r>
      <w:r w:rsidR="00066313" w:rsidRPr="00706042">
        <w:t>, importante fonte de recursos para as empresas brasileiras.</w:t>
      </w:r>
    </w:p>
    <w:p w:rsidR="00001023" w:rsidRDefault="007D2AEC" w:rsidP="009A78CA">
      <w:r w:rsidRPr="00706042">
        <w:lastRenderedPageBreak/>
        <w:t xml:space="preserve">A respeito da determinação da fonte de financiamento, a </w:t>
      </w:r>
      <w:r w:rsidR="0037635E" w:rsidRPr="00706042">
        <w:t xml:space="preserve">existência de </w:t>
      </w:r>
      <w:r w:rsidRPr="00706042">
        <w:t xml:space="preserve">janela de oportunidade de ações (JANACAO) </w:t>
      </w:r>
      <w:r w:rsidR="0037635E" w:rsidRPr="00706042">
        <w:t xml:space="preserve">e </w:t>
      </w:r>
      <w:r w:rsidRPr="00706042">
        <w:t xml:space="preserve">a de </w:t>
      </w:r>
      <w:r w:rsidRPr="00706042">
        <w:rPr>
          <w:i/>
        </w:rPr>
        <w:t>debêntures</w:t>
      </w:r>
      <w:r w:rsidRPr="00706042">
        <w:t xml:space="preserve"> (JANDEB)</w:t>
      </w:r>
      <w:r w:rsidR="0037635E" w:rsidRPr="00706042">
        <w:t xml:space="preserve"> influenciam de maneira semelhante</w:t>
      </w:r>
      <w:r w:rsidR="00594C70" w:rsidRPr="00706042">
        <w:t xml:space="preserve"> a escolha</w:t>
      </w:r>
      <w:r w:rsidR="0037635E" w:rsidRPr="00706042">
        <w:t>. Nesses períodos, o maior volume de transações faz com que o mercado financeiro apresente grande liquidez, diminuindo o custo da dívida pública em relação ao da privada</w:t>
      </w:r>
      <w:r w:rsidR="003D2540" w:rsidRPr="00706042">
        <w:t xml:space="preserve">. Essa alteração nos custos relativos faz com que </w:t>
      </w:r>
      <w:r w:rsidR="0037635E" w:rsidRPr="00706042">
        <w:t xml:space="preserve">as empresas </w:t>
      </w:r>
      <w:r w:rsidR="003D2540" w:rsidRPr="00706042">
        <w:t>prefiram financiamentos a partir de fontes públicas</w:t>
      </w:r>
      <w:r w:rsidR="00821C5C">
        <w:t xml:space="preserve"> em janelas de oportunidade</w:t>
      </w:r>
      <w:r w:rsidR="003D2540" w:rsidRPr="00706042">
        <w:t>.</w:t>
      </w:r>
      <w:r w:rsidR="0037635E" w:rsidRPr="00706042">
        <w:t xml:space="preserve"> </w:t>
      </w:r>
      <w:r w:rsidR="003D2540" w:rsidRPr="00706042">
        <w:t xml:space="preserve">Ao se tratar da escolha da maturação dos financiamentos, outras observações podem ser feitas. Sabe-se que as </w:t>
      </w:r>
      <w:r w:rsidR="00E3698D" w:rsidRPr="00706042">
        <w:t xml:space="preserve">janelas de oportunidade de ações são momentos percebidos por um custo de capital próprio relativamente baixo em comparação com o de capital de terceiros, </w:t>
      </w:r>
      <w:r w:rsidR="003D2540" w:rsidRPr="00706042">
        <w:t>tornando possível observar nesses períodos uma redução no montante total de dívidas que as firmas decidem utilizar</w:t>
      </w:r>
      <w:r w:rsidR="00E3698D" w:rsidRPr="00706042">
        <w:t xml:space="preserve">. </w:t>
      </w:r>
      <w:r w:rsidR="007E1E8C" w:rsidRPr="00706042">
        <w:t>Tal relação é claramente observada nos resultados do modelo. Entretanto, um p</w:t>
      </w:r>
      <w:r w:rsidR="00E3698D" w:rsidRPr="00706042">
        <w:t xml:space="preserve">roblema </w:t>
      </w:r>
      <w:r w:rsidR="007E1E8C" w:rsidRPr="00706042">
        <w:t xml:space="preserve">é </w:t>
      </w:r>
      <w:r w:rsidR="00E3698D" w:rsidRPr="00706042">
        <w:t>identificado na janela de debêntures, que</w:t>
      </w:r>
      <w:r w:rsidR="00594C70" w:rsidRPr="00706042">
        <w:t>,</w:t>
      </w:r>
      <w:r w:rsidR="00E3698D" w:rsidRPr="00706042">
        <w:t xml:space="preserve"> tornando o custo da dívida menor, tenderia a aumentar tanto o endividamento de curto prazo quanto o de longo prazo.</w:t>
      </w:r>
      <w:r w:rsidR="007E1E8C" w:rsidRPr="00706042">
        <w:t xml:space="preserve"> Porém, o que se vê é a redução dos financiamentos de longo prazo durante estas janelas de oportunidade.</w:t>
      </w:r>
    </w:p>
    <w:p w:rsidR="00916919" w:rsidRDefault="00916919" w:rsidP="009A78CA">
      <w:r>
        <w:t>A tabela abaixo resume os sinais esperados e encontrados para cada variável.</w:t>
      </w:r>
    </w:p>
    <w:p w:rsidR="00916919" w:rsidRDefault="00916919" w:rsidP="009A78CA"/>
    <w:p w:rsidR="00916919" w:rsidRDefault="00916919" w:rsidP="00322658">
      <w:pPr>
        <w:pStyle w:val="Tabela"/>
      </w:pPr>
      <w:r>
        <w:t>Tabela 8: Sinais esperados (de acordo com a literatura) e encontrados das variáveis explicativas</w:t>
      </w:r>
    </w:p>
    <w:p w:rsidR="00EC6D8E" w:rsidRDefault="00EC6D8E" w:rsidP="00A300A4">
      <w:pPr>
        <w:pStyle w:val="Tabela"/>
      </w:pPr>
      <w:r w:rsidRPr="00EC6D8E">
        <w:rPr>
          <w:noProof/>
        </w:rPr>
        <w:drawing>
          <wp:inline distT="0" distB="0" distL="0" distR="0">
            <wp:extent cx="5269840" cy="2844815"/>
            <wp:effectExtent l="19050" t="0" r="7010" b="0"/>
            <wp:docPr id="369" name="Imagem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73"/>
                    <a:srcRect/>
                    <a:stretch>
                      <a:fillRect/>
                    </a:stretch>
                  </pic:blipFill>
                  <pic:spPr bwMode="auto">
                    <a:xfrm>
                      <a:off x="0" y="0"/>
                      <a:ext cx="5314075" cy="2868694"/>
                    </a:xfrm>
                    <a:prstGeom prst="rect">
                      <a:avLst/>
                    </a:prstGeom>
                    <a:noFill/>
                    <a:ln w="9525">
                      <a:noFill/>
                      <a:miter lim="800000"/>
                      <a:headEnd/>
                      <a:tailEnd/>
                    </a:ln>
                  </pic:spPr>
                </pic:pic>
              </a:graphicData>
            </a:graphic>
          </wp:inline>
        </w:drawing>
      </w:r>
    </w:p>
    <w:p w:rsidR="00EC6D8E" w:rsidRPr="00BA36B6" w:rsidRDefault="00A300A4" w:rsidP="00A300A4">
      <w:r>
        <w:t xml:space="preserve">     </w:t>
      </w:r>
      <w:r w:rsidR="00AE152C">
        <w:t xml:space="preserve">  </w:t>
      </w:r>
      <w:r>
        <w:t xml:space="preserve">   </w:t>
      </w:r>
      <w:r w:rsidR="00A355AC">
        <w:t xml:space="preserve"> </w:t>
      </w:r>
      <w:r>
        <w:t xml:space="preserve"> </w:t>
      </w:r>
      <w:r w:rsidR="00EC6D8E" w:rsidRPr="00BA36B6">
        <w:t>Fonte: Elaborado pelo autor.</w:t>
      </w:r>
    </w:p>
    <w:p w:rsidR="00916919" w:rsidRPr="00BA36B6" w:rsidRDefault="00EC6D8E" w:rsidP="00AE152C">
      <w:pPr>
        <w:ind w:left="993" w:right="991" w:firstLine="0"/>
      </w:pPr>
      <w:r w:rsidRPr="00BA36B6">
        <w:t>Observação: O síbolo "ø" indica as variáveis para as quais ainda não foram encontradas bases na literatura para prever seu comportamento e/ou aquelas que não se mostraram significativas para o modelo final de equações simultâneas.</w:t>
      </w:r>
    </w:p>
    <w:p w:rsidR="00821C5C" w:rsidRDefault="00821C5C" w:rsidP="009A78CA"/>
    <w:p w:rsidR="007151E4" w:rsidRPr="00706042" w:rsidRDefault="00D759BF" w:rsidP="009A78CA">
      <w:pPr>
        <w:pStyle w:val="Ttulo1"/>
      </w:pPr>
      <w:bookmarkStart w:id="36" w:name="_Toc256616820"/>
      <w:bookmarkStart w:id="37" w:name="_Toc256617121"/>
      <w:r>
        <w:t>5</w:t>
      </w:r>
      <w:r w:rsidR="0008355E" w:rsidRPr="00706042">
        <w:t xml:space="preserve"> </w:t>
      </w:r>
      <w:r w:rsidR="0092063E" w:rsidRPr="00706042">
        <w:t>Considerações Finais</w:t>
      </w:r>
      <w:bookmarkEnd w:id="36"/>
      <w:bookmarkEnd w:id="37"/>
    </w:p>
    <w:p w:rsidR="001E7F96" w:rsidRPr="00706042" w:rsidRDefault="001E7F96" w:rsidP="001E7F96"/>
    <w:p w:rsidR="00E6706D" w:rsidRPr="00706042" w:rsidRDefault="00E6706D" w:rsidP="009A78CA">
      <w:r w:rsidRPr="00706042">
        <w:t xml:space="preserve">A partir dos resultados obtidos, algumas considerações podem ser feitas a respeito de como se dá a escolha </w:t>
      </w:r>
      <w:r w:rsidR="005A1668" w:rsidRPr="00706042">
        <w:t>da estrutura de capital das empresas estudadas.</w:t>
      </w:r>
    </w:p>
    <w:p w:rsidR="00C53D4D" w:rsidRPr="00706042" w:rsidRDefault="00C53D4D" w:rsidP="009A78CA">
      <w:pPr>
        <w:pStyle w:val="Texto"/>
      </w:pPr>
      <w:r w:rsidRPr="00706042">
        <w:t>Empresas mais maduras e estabelecidas no mercado, quando procuram recursos externos para financiar seus projetos, tendem a preferir a utilização de fontes privadas de dívidas, como os bancos, importante fonte de recursos para as empresas brasileiras.</w:t>
      </w:r>
    </w:p>
    <w:p w:rsidR="00DC1E8D" w:rsidRPr="00706042" w:rsidRDefault="005A1668" w:rsidP="009A78CA">
      <w:r w:rsidRPr="00706042">
        <w:t xml:space="preserve">Pode-se afirmar que empresas que possuem recursos internos </w:t>
      </w:r>
      <w:r w:rsidR="00821C5C">
        <w:t xml:space="preserve">gerados </w:t>
      </w:r>
      <w:r w:rsidRPr="00706042">
        <w:t xml:space="preserve">de maneira significante, tendem a utilizá-los como forma de financiar seus projetos. Isso evidencia a existência de certa preferência </w:t>
      </w:r>
      <w:r w:rsidR="00F4772B" w:rsidRPr="00706042">
        <w:t xml:space="preserve">por </w:t>
      </w:r>
      <w:r w:rsidRPr="00706042">
        <w:t>ess</w:t>
      </w:r>
      <w:r w:rsidR="00F4772B" w:rsidRPr="00706042">
        <w:t>e</w:t>
      </w:r>
      <w:r w:rsidRPr="00706042">
        <w:t xml:space="preserve">s recursos em relação ao capital de terceiros, conforme dita </w:t>
      </w:r>
      <w:r w:rsidR="00DC1E8D" w:rsidRPr="00706042">
        <w:t>a Teoria d</w:t>
      </w:r>
      <w:r w:rsidRPr="00706042">
        <w:t>a</w:t>
      </w:r>
      <w:r w:rsidR="00DC1E8D" w:rsidRPr="00706042">
        <w:t xml:space="preserve"> </w:t>
      </w:r>
      <w:r w:rsidR="00DC1E8D" w:rsidRPr="00706042">
        <w:rPr>
          <w:i/>
        </w:rPr>
        <w:t>Pecking Order</w:t>
      </w:r>
      <w:r w:rsidRPr="00706042">
        <w:t>.</w:t>
      </w:r>
    </w:p>
    <w:p w:rsidR="005A1668" w:rsidRPr="00706042" w:rsidRDefault="005A1668" w:rsidP="009A78CA">
      <w:r w:rsidRPr="00706042">
        <w:t xml:space="preserve">Existem evidências do processo conhecido como colaterização da dívida, no qual firmas que possuem bens (ativos) que podem ser usados como garantia (colaterais) na contratação de dívidas com custos reduzidos, o fazem para aproveitar a oportunidade (MYERS e MAJLUF, 1984). Essas garantias são usadas principalmente em dívidas privadas (como </w:t>
      </w:r>
      <w:r w:rsidR="00DC1E8D" w:rsidRPr="00706042">
        <w:t>empréstimos bancários</w:t>
      </w:r>
      <w:r w:rsidRPr="00706042">
        <w:t>) e/ou</w:t>
      </w:r>
      <w:r w:rsidR="00DC1E8D" w:rsidRPr="00706042">
        <w:t xml:space="preserve"> de curto prazo</w:t>
      </w:r>
      <w:r w:rsidRPr="00706042">
        <w:t>.</w:t>
      </w:r>
    </w:p>
    <w:p w:rsidR="00E22938" w:rsidRPr="00706042" w:rsidRDefault="00E22938" w:rsidP="009A78CA">
      <w:r w:rsidRPr="00706042">
        <w:lastRenderedPageBreak/>
        <w:t xml:space="preserve">No que diz respeito às </w:t>
      </w:r>
      <w:r w:rsidR="00DC1E8D" w:rsidRPr="00706042">
        <w:t>oportunidades de crescimento da empresa</w:t>
      </w:r>
      <w:r w:rsidR="00821C5C">
        <w:t>,</w:t>
      </w:r>
      <w:r w:rsidR="00DC1E8D" w:rsidRPr="00706042">
        <w:t xml:space="preserve"> </w:t>
      </w:r>
      <w:r w:rsidRPr="00706042">
        <w:t>não são encontradas evidências de que esta característica apresent</w:t>
      </w:r>
      <w:r w:rsidR="00F4772B" w:rsidRPr="00706042">
        <w:t>e</w:t>
      </w:r>
      <w:r w:rsidRPr="00706042">
        <w:t xml:space="preserve"> relação positiva com a utilização de dívida privada e/ou dívida de cur</w:t>
      </w:r>
      <w:r w:rsidR="00F4772B" w:rsidRPr="00706042">
        <w:t>t</w:t>
      </w:r>
      <w:r w:rsidRPr="00706042">
        <w:t>o prazo</w:t>
      </w:r>
      <w:r w:rsidR="00DC1E8D" w:rsidRPr="00706042">
        <w:t xml:space="preserve">, </w:t>
      </w:r>
      <w:r w:rsidRPr="00706042">
        <w:t xml:space="preserve">argumento sustentado por </w:t>
      </w:r>
      <w:r w:rsidR="00DC1E8D" w:rsidRPr="00706042">
        <w:t>Barclays e Smith (1995)</w:t>
      </w:r>
      <w:r w:rsidR="00F4772B" w:rsidRPr="00706042">
        <w:t xml:space="preserve"> e Titman e Wessels (1988), e sim negativa</w:t>
      </w:r>
      <w:r w:rsidRPr="00706042">
        <w:t>.</w:t>
      </w:r>
      <w:r w:rsidR="00E12684" w:rsidRPr="00706042">
        <w:t xml:space="preserve"> No entanto, empresas que apresentam melhor rentabilidade em seus investimentos, tendem a priorizar o uso de dívidas públicas e de longo prazo.</w:t>
      </w:r>
    </w:p>
    <w:p w:rsidR="00E12684" w:rsidRPr="00706042" w:rsidRDefault="00DC1E8D" w:rsidP="009A78CA">
      <w:r w:rsidRPr="00706042">
        <w:t>Outr</w:t>
      </w:r>
      <w:r w:rsidR="00F4772B" w:rsidRPr="00706042">
        <w:t>a</w:t>
      </w:r>
      <w:r w:rsidRPr="00706042">
        <w:t xml:space="preserve"> </w:t>
      </w:r>
      <w:r w:rsidR="00E12684" w:rsidRPr="00706042">
        <w:t xml:space="preserve">consideração </w:t>
      </w:r>
      <w:r w:rsidRPr="00706042">
        <w:t xml:space="preserve">interessante é que os benefícios fiscais </w:t>
      </w:r>
      <w:r w:rsidR="00E12684" w:rsidRPr="00706042">
        <w:t>advindos do uso de dívida</w:t>
      </w:r>
      <w:r w:rsidRPr="00706042">
        <w:t xml:space="preserve">, </w:t>
      </w:r>
      <w:r w:rsidR="005E3536" w:rsidRPr="00706042">
        <w:t>embora seja</w:t>
      </w:r>
      <w:r w:rsidR="00F4772B" w:rsidRPr="00706042">
        <w:t>m</w:t>
      </w:r>
      <w:r w:rsidR="005E3536" w:rsidRPr="00706042">
        <w:t xml:space="preserve"> considerado</w:t>
      </w:r>
      <w:r w:rsidR="00F4772B" w:rsidRPr="00706042">
        <w:t>s</w:t>
      </w:r>
      <w:r w:rsidR="005E3536" w:rsidRPr="00706042">
        <w:t xml:space="preserve"> na determinação da maturação</w:t>
      </w:r>
      <w:r w:rsidR="00334B01" w:rsidRPr="00706042">
        <w:t xml:space="preserve">, </w:t>
      </w:r>
      <w:r w:rsidR="00F4772B" w:rsidRPr="00706042">
        <w:t>não têm</w:t>
      </w:r>
      <w:r w:rsidR="00334B01" w:rsidRPr="00706042">
        <w:t xml:space="preserve"> impacto tão significa</w:t>
      </w:r>
      <w:r w:rsidR="00821C5C">
        <w:t>tivo</w:t>
      </w:r>
      <w:r w:rsidR="00334B01" w:rsidRPr="00706042">
        <w:t xml:space="preserve"> quanto se espera</w:t>
      </w:r>
      <w:r w:rsidR="00F4772B" w:rsidRPr="00706042">
        <w:t>va</w:t>
      </w:r>
      <w:r w:rsidR="00334B01" w:rsidRPr="00706042">
        <w:t>.</w:t>
      </w:r>
    </w:p>
    <w:p w:rsidR="00CC33B1" w:rsidRPr="00706042" w:rsidRDefault="00CC33B1" w:rsidP="009A78CA">
      <w:r w:rsidRPr="00706042">
        <w:t xml:space="preserve">É possível dizer também que a decisão da firma de aumentar seu nível de </w:t>
      </w:r>
      <w:r w:rsidR="00DC1E8D" w:rsidRPr="00706042">
        <w:t xml:space="preserve">alavancagem </w:t>
      </w:r>
      <w:r w:rsidRPr="00706042">
        <w:t>não privilegia uma fonte ou outra de recursos (pública</w:t>
      </w:r>
      <w:r w:rsidR="00DC1E8D" w:rsidRPr="00706042">
        <w:t xml:space="preserve"> </w:t>
      </w:r>
      <w:r w:rsidRPr="00706042">
        <w:t xml:space="preserve">ou </w:t>
      </w:r>
      <w:r w:rsidR="00DC1E8D" w:rsidRPr="00706042">
        <w:t>pri</w:t>
      </w:r>
      <w:r w:rsidRPr="00706042">
        <w:t xml:space="preserve">vada), isto é, o uso de ambas as fontes aumenta, sustentando a hipótese de </w:t>
      </w:r>
      <w:r w:rsidR="00DC1E8D" w:rsidRPr="00706042">
        <w:t>Titman e Wessels (1988)</w:t>
      </w:r>
      <w:r w:rsidRPr="00706042">
        <w:t>.</w:t>
      </w:r>
    </w:p>
    <w:p w:rsidR="00C53D4D" w:rsidRPr="00706042" w:rsidRDefault="00C53D4D" w:rsidP="009A78CA">
      <w:r w:rsidRPr="00706042">
        <w:t>As jan</w:t>
      </w:r>
      <w:r w:rsidR="00750D88" w:rsidRPr="00706042">
        <w:t>elas de oportunidade se mostra</w:t>
      </w:r>
      <w:r w:rsidRPr="00706042">
        <w:t xml:space="preserve">m significantes na determinação da estrutura de dívidas das firmas estudadas, no que tange </w:t>
      </w:r>
      <w:r w:rsidR="00F4772B" w:rsidRPr="00706042">
        <w:t>à</w:t>
      </w:r>
      <w:r w:rsidRPr="00706042">
        <w:t xml:space="preserve"> escolha da fonte do recurso. </w:t>
      </w:r>
      <w:r w:rsidR="00DC1E8D" w:rsidRPr="00706042">
        <w:t xml:space="preserve">Nesses períodos, o </w:t>
      </w:r>
      <w:r w:rsidRPr="00706042">
        <w:t xml:space="preserve">aumento do </w:t>
      </w:r>
      <w:r w:rsidR="00DC1E8D" w:rsidRPr="00706042">
        <w:t xml:space="preserve">volume de transações </w:t>
      </w:r>
      <w:r w:rsidRPr="00706042">
        <w:t xml:space="preserve">torna o </w:t>
      </w:r>
      <w:r w:rsidR="00DC1E8D" w:rsidRPr="00706042">
        <w:t xml:space="preserve">mercado financeiro </w:t>
      </w:r>
      <w:r w:rsidRPr="00706042">
        <w:t>mais líquido do que em períodos comuns</w:t>
      </w:r>
      <w:r w:rsidR="00F4772B" w:rsidRPr="00706042">
        <w:t>. T</w:t>
      </w:r>
      <w:r w:rsidRPr="00706042">
        <w:t xml:space="preserve">al fato torna menor o </w:t>
      </w:r>
      <w:r w:rsidR="00DC1E8D" w:rsidRPr="00706042">
        <w:t xml:space="preserve">custo da dívida pública em relação ao da </w:t>
      </w:r>
      <w:r w:rsidRPr="00706042">
        <w:t xml:space="preserve">dívida privada. Esta alteração nos custos relativos faz com que </w:t>
      </w:r>
      <w:r w:rsidR="00DC1E8D" w:rsidRPr="00706042">
        <w:t xml:space="preserve">as empresas </w:t>
      </w:r>
      <w:r w:rsidRPr="00706042">
        <w:t>prefiram a emissão de dívidas públicas, como um movimento natural de demanda e oferta.</w:t>
      </w:r>
    </w:p>
    <w:p w:rsidR="00F76A3A" w:rsidRPr="00706042" w:rsidRDefault="00F76A3A" w:rsidP="009A78CA">
      <w:pPr>
        <w:pStyle w:val="Texto"/>
      </w:pPr>
      <w:r w:rsidRPr="00706042">
        <w:t>Destaca-se que não surgiram diferenças muito relevantes entre os modelos de dados em painel com efeitos fixos e o modelo de painel com equações simultâneas, muito embora algumas variáveis tenh</w:t>
      </w:r>
      <w:r w:rsidR="007C4610" w:rsidRPr="00706042">
        <w:t xml:space="preserve">am se tornado </w:t>
      </w:r>
      <w:r w:rsidRPr="00706042">
        <w:t xml:space="preserve">significativas (e outras tenham deixado de ser) com </w:t>
      </w:r>
      <w:r w:rsidR="007C4610" w:rsidRPr="00706042">
        <w:t>a</w:t>
      </w:r>
      <w:r w:rsidRPr="00706042">
        <w:t xml:space="preserve"> implement</w:t>
      </w:r>
      <w:r w:rsidR="007C4610" w:rsidRPr="00706042">
        <w:t>ação</w:t>
      </w:r>
      <w:r w:rsidRPr="00706042">
        <w:t xml:space="preserve"> deste último modelo. Isto é um indício de que o problema de endogeneidade não seria tão importante quanto se imaginava a princípio, principalmente </w:t>
      </w:r>
      <w:r w:rsidR="00821C5C">
        <w:t xml:space="preserve">em </w:t>
      </w:r>
      <w:r w:rsidRPr="00706042">
        <w:t>se tratando da matur</w:t>
      </w:r>
      <w:r w:rsidR="007C4610" w:rsidRPr="00706042">
        <w:t>idade</w:t>
      </w:r>
      <w:r w:rsidRPr="00706042">
        <w:t xml:space="preserve"> das dívidas.</w:t>
      </w:r>
    </w:p>
    <w:p w:rsidR="00F76A3A" w:rsidRPr="00706042" w:rsidRDefault="007C4610" w:rsidP="009A78CA">
      <w:pPr>
        <w:pStyle w:val="Texto"/>
      </w:pPr>
      <w:r w:rsidRPr="00706042">
        <w:t>Conforme esperado, o</w:t>
      </w:r>
      <w:r w:rsidR="00F76A3A" w:rsidRPr="00706042">
        <w:t xml:space="preserve"> modelo para a determinação da maturidade se mostra </w:t>
      </w:r>
      <w:r w:rsidRPr="00706042">
        <w:t xml:space="preserve">menos elucidador </w:t>
      </w:r>
      <w:r w:rsidR="00F76A3A" w:rsidRPr="00706042">
        <w:t>que o da fonte de recursos</w:t>
      </w:r>
      <w:r w:rsidRPr="00706042">
        <w:t>,</w:t>
      </w:r>
      <w:r w:rsidR="00F76A3A" w:rsidRPr="00706042">
        <w:t xml:space="preserve"> pois é mais difícil identificar a maturação dos exigíveis das firmas. </w:t>
      </w:r>
      <w:r w:rsidR="00B25422" w:rsidRPr="00706042">
        <w:t>Quando a empresa contrai uma dívida de longo prazo, esta entra na conta de exigíveis de longo prazo, mas, com o passar do tempo, partes desse valor são transferidas para o passivo circulante (referente ao curto prazo), fazendo com que pareça que a firma possui dívida de longo e de curto prazo quando</w:t>
      </w:r>
      <w:r w:rsidR="00821C5C">
        <w:t>,</w:t>
      </w:r>
      <w:r w:rsidR="00B25422" w:rsidRPr="00706042">
        <w:t xml:space="preserve"> na verdade</w:t>
      </w:r>
      <w:r w:rsidR="00821C5C">
        <w:t>,</w:t>
      </w:r>
      <w:r w:rsidR="00B25422" w:rsidRPr="00706042">
        <w:t xml:space="preserve"> utiliza apenas a primeira.</w:t>
      </w:r>
      <w:r w:rsidR="00F76A3A" w:rsidRPr="00706042">
        <w:t xml:space="preserve"> Neste caso</w:t>
      </w:r>
      <w:r w:rsidRPr="00706042">
        <w:t>,</w:t>
      </w:r>
      <w:r w:rsidR="00F76A3A" w:rsidRPr="00706042">
        <w:t xml:space="preserve"> o único determinante da maturação da dívida é o tempo, o que atrapalha os resultados de pesquisa.</w:t>
      </w:r>
      <w:r w:rsidRPr="00706042">
        <w:t xml:space="preserve"> Adicionalmente, existem dívidas de curto prazo constantemente renovadas, tornando-as fontes permanentes de financiamento.</w:t>
      </w:r>
      <w:r w:rsidR="00F76A3A" w:rsidRPr="00706042">
        <w:t xml:space="preserve"> Tal confusão não ocorre quando se trata </w:t>
      </w:r>
      <w:r w:rsidR="00821C5C">
        <w:t>de</w:t>
      </w:r>
      <w:r w:rsidR="00F76A3A" w:rsidRPr="00706042">
        <w:t xml:space="preserve"> identificar a origem do financiamento.</w:t>
      </w:r>
    </w:p>
    <w:p w:rsidR="0008355E" w:rsidRDefault="00152917" w:rsidP="009A78CA">
      <w:pPr>
        <w:pStyle w:val="Texto"/>
      </w:pPr>
      <w:r w:rsidRPr="00706042">
        <w:t>Alguns resultados da pesquisa não atende</w:t>
      </w:r>
      <w:r w:rsidR="00821C5C">
        <w:t>ram</w:t>
      </w:r>
      <w:r w:rsidRPr="00706042">
        <w:t xml:space="preserve"> às expectativas. Isto pode </w:t>
      </w:r>
      <w:r w:rsidR="007C4610" w:rsidRPr="00706042">
        <w:t>ter</w:t>
      </w:r>
      <w:r w:rsidRPr="00706042">
        <w:t xml:space="preserve"> ocorr</w:t>
      </w:r>
      <w:r w:rsidR="007C4610" w:rsidRPr="00706042">
        <w:t>ido</w:t>
      </w:r>
      <w:r w:rsidRPr="00706042">
        <w:t xml:space="preserve"> devido a erros na construção das </w:t>
      </w:r>
      <w:r w:rsidRPr="00706042">
        <w:rPr>
          <w:i/>
        </w:rPr>
        <w:t>proxies</w:t>
      </w:r>
      <w:r w:rsidRPr="00706042">
        <w:t xml:space="preserve"> utilizadas ou mesmo na especificação dos modelos</w:t>
      </w:r>
      <w:r w:rsidR="007C4610" w:rsidRPr="00706042">
        <w:t xml:space="preserve"> e escolha das variáveis exógenas em cada um</w:t>
      </w:r>
      <w:r w:rsidRPr="00706042">
        <w:t xml:space="preserve">. </w:t>
      </w:r>
    </w:p>
    <w:p w:rsidR="00D671F3" w:rsidRPr="00706042" w:rsidRDefault="00D671F3" w:rsidP="00D671F3">
      <w:r w:rsidRPr="00706042">
        <w:t>Vale lembrar que</w:t>
      </w:r>
      <w:r>
        <w:t>,</w:t>
      </w:r>
      <w:r w:rsidRPr="00706042">
        <w:t xml:space="preserve"> ao contrário das economias desenvolvidas, o mercado brasileiro apresenta algumas ineficiências que influenciam, de uma maneira ou de outra, as decisões de financiamento das empresas. Entre essas imperfeições, pode-se destacar o mercado de capitais restrito, a elevada concentração do controle acionário das empresas e a forte restrição de fontes de capital de terceiros de longo prazo. Além disso, as taxas de juros elevadas fazem com que os custos do financiamento sejam significativos, forçando para baixo os níveis de endividamento as empresas no Brasil.</w:t>
      </w:r>
    </w:p>
    <w:p w:rsidR="00D671F3" w:rsidRPr="00706042" w:rsidRDefault="00D671F3" w:rsidP="00D671F3">
      <w:r w:rsidRPr="00706042">
        <w:t>No mercado brasileiro, o custo do capital de terceiros não é apenas função do risco do tomador, como aponta a teoria, mas também da natureza da fonte do recurso. Por esse motivo, certas linhas de crédito de longo prazo direcionadas a investimentos específicos têm custo financeiro inferior a algumas linhas de curto prazo, cujo risco de crédito para o credor geralmente é menor.</w:t>
      </w:r>
    </w:p>
    <w:p w:rsidR="00D671F3" w:rsidRPr="00706042" w:rsidRDefault="00D671F3" w:rsidP="00D671F3">
      <w:r w:rsidRPr="00706042">
        <w:t>Deve-se considerar que esses aspectos tornam ainda mais difícil o estudo das formas de financiamento das empresas no Brasil, podendo distorcer resultados de estudos como este.</w:t>
      </w:r>
    </w:p>
    <w:p w:rsidR="0008355E" w:rsidRPr="00706042" w:rsidRDefault="007C4610" w:rsidP="009A78CA">
      <w:r w:rsidRPr="00706042">
        <w:t>Por fim, é</w:t>
      </w:r>
      <w:r w:rsidR="006F4E9B" w:rsidRPr="00706042">
        <w:t xml:space="preserve"> sabido que </w:t>
      </w:r>
      <w:r w:rsidR="003778C3" w:rsidRPr="00706042">
        <w:t xml:space="preserve">a escolha de maturidade está intimamente ligada à da fonte da dívida, fazendo com que haja um problema de endogeneidade entre estas variáveis. </w:t>
      </w:r>
      <w:r w:rsidR="00A04A22" w:rsidRPr="00706042">
        <w:t>Em trabalhos futuros</w:t>
      </w:r>
      <w:r w:rsidR="00DF2D44" w:rsidRPr="00706042">
        <w:t xml:space="preserve">, </w:t>
      </w:r>
      <w:r w:rsidR="00A04A22" w:rsidRPr="00706042">
        <w:t xml:space="preserve">é sugerida a estimação de </w:t>
      </w:r>
      <w:r w:rsidR="006F4E9B" w:rsidRPr="00706042">
        <w:t>um modelo de painel</w:t>
      </w:r>
      <w:r w:rsidR="00A04A22" w:rsidRPr="00706042">
        <w:t xml:space="preserve"> de dados</w:t>
      </w:r>
      <w:r w:rsidR="006F4E9B" w:rsidRPr="00706042">
        <w:t xml:space="preserve"> com equações simultâneas que inclua todas as quatro equações em estudo</w:t>
      </w:r>
      <w:r w:rsidR="003778C3" w:rsidRPr="00706042">
        <w:t>, n</w:t>
      </w:r>
      <w:r w:rsidR="006F4E9B" w:rsidRPr="00706042">
        <w:t xml:space="preserve">a tentativa de </w:t>
      </w:r>
      <w:r w:rsidR="003778C3" w:rsidRPr="00706042">
        <w:t>resolver tal problema.</w:t>
      </w:r>
    </w:p>
    <w:p w:rsidR="00A04A22" w:rsidRPr="00706042" w:rsidRDefault="00A04A22" w:rsidP="009A78CA">
      <w:r w:rsidRPr="00706042">
        <w:t xml:space="preserve">Outro complemento interessante seria </w:t>
      </w:r>
      <w:r w:rsidR="007C4610" w:rsidRPr="00706042">
        <w:t>a</w:t>
      </w:r>
      <w:r w:rsidRPr="00706042">
        <w:t xml:space="preserve"> implement</w:t>
      </w:r>
      <w:r w:rsidR="007C4610" w:rsidRPr="00706042">
        <w:t>ação</w:t>
      </w:r>
      <w:r w:rsidRPr="00706042">
        <w:t xml:space="preserve"> de um modelo baseado em um painel balanceado, visto que neste trabalho utiliz</w:t>
      </w:r>
      <w:r w:rsidR="00404692" w:rsidRPr="00706042">
        <w:t>a</w:t>
      </w:r>
      <w:r w:rsidRPr="00706042">
        <w:t>-se um painel não balanceado devido a restrições na base de dados. Seria necessário comparar os resultados das duas estimações para verificar se existem diferenças significativas entre os modelos.</w:t>
      </w:r>
    </w:p>
    <w:p w:rsidR="001E7F96" w:rsidRDefault="001E7F96" w:rsidP="009A78CA"/>
    <w:p w:rsidR="00DB59A9" w:rsidRPr="00706042" w:rsidRDefault="00D24FD7" w:rsidP="009C0E2B">
      <w:pPr>
        <w:pStyle w:val="Ttulo1"/>
      </w:pPr>
      <w:bookmarkStart w:id="38" w:name="_Toc239579730"/>
      <w:bookmarkStart w:id="39" w:name="_Toc256616821"/>
      <w:bookmarkStart w:id="40" w:name="_Toc256617122"/>
      <w:r w:rsidRPr="00706042">
        <w:t>Referência</w:t>
      </w:r>
      <w:r w:rsidR="00AF614F" w:rsidRPr="00706042">
        <w:t>s</w:t>
      </w:r>
      <w:r w:rsidR="00AA0D4C" w:rsidRPr="00706042">
        <w:t xml:space="preserve"> Bibliográfica</w:t>
      </w:r>
      <w:bookmarkEnd w:id="38"/>
      <w:r w:rsidR="00AC0D0C" w:rsidRPr="00706042">
        <w:t>s</w:t>
      </w:r>
      <w:bookmarkEnd w:id="39"/>
      <w:bookmarkEnd w:id="40"/>
    </w:p>
    <w:p w:rsidR="009C0E2B" w:rsidRDefault="009C0E2B" w:rsidP="009C0E2B"/>
    <w:p w:rsidR="009E28C9" w:rsidRPr="00303F2D" w:rsidRDefault="009E28C9" w:rsidP="009E28C9">
      <w:pPr>
        <w:ind w:left="284" w:hanging="284"/>
        <w:rPr>
          <w:rFonts w:cs="Times New Roman"/>
          <w:szCs w:val="24"/>
        </w:rPr>
      </w:pPr>
      <w:r w:rsidRPr="00303F2D">
        <w:rPr>
          <w:rFonts w:cs="Times New Roman"/>
          <w:szCs w:val="24"/>
        </w:rPr>
        <w:t xml:space="preserve">BAKER, M.; WURGLER, J. Market Timing and Capital Structure. </w:t>
      </w:r>
      <w:r w:rsidRPr="00303F2D">
        <w:rPr>
          <w:rFonts w:cs="Times New Roman"/>
          <w:b/>
          <w:szCs w:val="24"/>
        </w:rPr>
        <w:t>Journal of Finance</w:t>
      </w:r>
      <w:r w:rsidRPr="00303F2D">
        <w:rPr>
          <w:rFonts w:cs="Times New Roman"/>
          <w:szCs w:val="24"/>
        </w:rPr>
        <w:t>, n.57, p. 1-32, 2002.</w:t>
      </w:r>
    </w:p>
    <w:p w:rsidR="009E28C9" w:rsidRPr="00303F2D" w:rsidRDefault="009E28C9" w:rsidP="009E28C9">
      <w:pPr>
        <w:ind w:left="284" w:hanging="284"/>
        <w:rPr>
          <w:rFonts w:cs="Times New Roman"/>
          <w:szCs w:val="24"/>
        </w:rPr>
      </w:pPr>
      <w:r w:rsidRPr="00303F2D">
        <w:rPr>
          <w:rFonts w:cs="Times New Roman"/>
          <w:szCs w:val="24"/>
        </w:rPr>
        <w:t xml:space="preserve">BARCLAY, Michael J. e SMITH, Clifford W. The Maturity Structure of Corporate Debt. </w:t>
      </w:r>
      <w:r w:rsidRPr="00303F2D">
        <w:rPr>
          <w:rFonts w:cs="Times New Roman"/>
          <w:b/>
          <w:szCs w:val="24"/>
        </w:rPr>
        <w:t>Journal of Finance</w:t>
      </w:r>
      <w:r w:rsidRPr="00303F2D">
        <w:rPr>
          <w:rFonts w:cs="Times New Roman"/>
          <w:szCs w:val="24"/>
        </w:rPr>
        <w:t>, v. 50, n. 2, p. 609-631, 1995</w:t>
      </w:r>
    </w:p>
    <w:p w:rsidR="009E28C9" w:rsidRPr="00303F2D" w:rsidRDefault="009E28C9" w:rsidP="009E28C9">
      <w:pPr>
        <w:ind w:left="284" w:hanging="284"/>
        <w:rPr>
          <w:rFonts w:cs="Times New Roman"/>
          <w:szCs w:val="24"/>
        </w:rPr>
      </w:pPr>
      <w:r w:rsidRPr="00303F2D">
        <w:rPr>
          <w:rFonts w:cs="Times New Roman"/>
          <w:szCs w:val="24"/>
        </w:rPr>
        <w:t xml:space="preserve">BLACK, Fischer; SCHOLES, Myron. The Pricing of Options and Corporate Liabilities. </w:t>
      </w:r>
      <w:r w:rsidRPr="00303F2D">
        <w:rPr>
          <w:rFonts w:cs="Times New Roman"/>
          <w:b/>
          <w:szCs w:val="24"/>
        </w:rPr>
        <w:t>Journal of Political Economy</w:t>
      </w:r>
      <w:r w:rsidRPr="00303F2D">
        <w:rPr>
          <w:rFonts w:cs="Times New Roman"/>
          <w:szCs w:val="24"/>
        </w:rPr>
        <w:t>, v. 81, n. 3, p. 637-654, 1973.</w:t>
      </w:r>
    </w:p>
    <w:p w:rsidR="009E28C9" w:rsidRPr="00303F2D" w:rsidRDefault="009E28C9" w:rsidP="009E28C9">
      <w:pPr>
        <w:ind w:left="284" w:hanging="284"/>
        <w:rPr>
          <w:rFonts w:cs="Times New Roman"/>
          <w:szCs w:val="24"/>
        </w:rPr>
      </w:pPr>
      <w:r w:rsidRPr="00303F2D">
        <w:rPr>
          <w:rFonts w:cs="Times New Roman"/>
          <w:szCs w:val="24"/>
        </w:rPr>
        <w:t>BOVESPA. Bolsa de Valores de São Paulo. Disponível em &lt;http://www.bovespa.com.br&gt;. Acessado em 01/10/2009.</w:t>
      </w:r>
    </w:p>
    <w:p w:rsidR="009E28C9" w:rsidRPr="00303F2D" w:rsidRDefault="009E28C9" w:rsidP="009E28C9">
      <w:pPr>
        <w:ind w:left="284" w:hanging="284"/>
        <w:rPr>
          <w:rFonts w:cs="Times New Roman"/>
          <w:szCs w:val="24"/>
        </w:rPr>
      </w:pPr>
      <w:r w:rsidRPr="00303F2D">
        <w:rPr>
          <w:rFonts w:cs="Times New Roman"/>
          <w:caps/>
          <w:szCs w:val="24"/>
        </w:rPr>
        <w:t>Denis</w:t>
      </w:r>
      <w:r w:rsidRPr="00303F2D">
        <w:rPr>
          <w:rFonts w:cs="Times New Roman"/>
          <w:szCs w:val="24"/>
        </w:rPr>
        <w:t xml:space="preserve">, D. J.; </w:t>
      </w:r>
      <w:r w:rsidRPr="00303F2D">
        <w:rPr>
          <w:rFonts w:cs="Times New Roman"/>
          <w:caps/>
          <w:szCs w:val="24"/>
        </w:rPr>
        <w:t>Mihov</w:t>
      </w:r>
      <w:r w:rsidRPr="00303F2D">
        <w:rPr>
          <w:rFonts w:cs="Times New Roman"/>
          <w:szCs w:val="24"/>
        </w:rPr>
        <w:t xml:space="preserve">, V. T. The Choice Among Bank Debt, Non-Bank Private Debt, and Public Debt: Evidence From New Corporate Borrowing. </w:t>
      </w:r>
      <w:r w:rsidRPr="00303F2D">
        <w:rPr>
          <w:rFonts w:cs="Times New Roman"/>
          <w:b/>
          <w:szCs w:val="24"/>
        </w:rPr>
        <w:t>Journal of Financial Economics</w:t>
      </w:r>
      <w:r w:rsidRPr="00303F2D">
        <w:rPr>
          <w:rFonts w:cs="Times New Roman"/>
          <w:szCs w:val="24"/>
        </w:rPr>
        <w:t>, v. 70, p. 3-28, 2003</w:t>
      </w:r>
    </w:p>
    <w:p w:rsidR="009E28C9" w:rsidRPr="00303F2D" w:rsidRDefault="009E28C9" w:rsidP="009E28C9">
      <w:pPr>
        <w:ind w:left="284" w:hanging="284"/>
        <w:rPr>
          <w:rFonts w:cs="Times New Roman"/>
          <w:szCs w:val="24"/>
        </w:rPr>
      </w:pPr>
      <w:r w:rsidRPr="00303F2D">
        <w:rPr>
          <w:rFonts w:cs="Times New Roman"/>
          <w:caps/>
          <w:szCs w:val="24"/>
        </w:rPr>
        <w:t>Diamond</w:t>
      </w:r>
      <w:r w:rsidRPr="00303F2D">
        <w:rPr>
          <w:rFonts w:cs="Times New Roman"/>
          <w:szCs w:val="24"/>
        </w:rPr>
        <w:t xml:space="preserve">, D. Monitoring and reputation: The choice between bank loan and directly placed debt. </w:t>
      </w:r>
      <w:r w:rsidRPr="00303F2D">
        <w:rPr>
          <w:rFonts w:cs="Times New Roman"/>
          <w:b/>
          <w:szCs w:val="24"/>
        </w:rPr>
        <w:t>Journal of Political Economy</w:t>
      </w:r>
      <w:r w:rsidRPr="00303F2D">
        <w:rPr>
          <w:rFonts w:cs="Times New Roman"/>
          <w:szCs w:val="24"/>
        </w:rPr>
        <w:t>, v. 99, n. 4, p. 1367–1400, 1991.</w:t>
      </w:r>
    </w:p>
    <w:p w:rsidR="009E28C9" w:rsidRPr="00303F2D" w:rsidRDefault="009E28C9" w:rsidP="009E28C9">
      <w:pPr>
        <w:ind w:left="284" w:hanging="284"/>
        <w:rPr>
          <w:rFonts w:cs="Times New Roman"/>
          <w:szCs w:val="24"/>
        </w:rPr>
      </w:pPr>
      <w:r w:rsidRPr="00303F2D">
        <w:rPr>
          <w:rFonts w:cs="Times New Roman"/>
          <w:szCs w:val="24"/>
        </w:rPr>
        <w:t xml:space="preserve">DONALDSON, G. </w:t>
      </w:r>
      <w:r w:rsidRPr="00303F2D">
        <w:rPr>
          <w:rFonts w:cs="Times New Roman"/>
          <w:b/>
          <w:szCs w:val="24"/>
        </w:rPr>
        <w:t>Corporate Debt Capacity: A Study of Corporate Debt Policy And The Determination of Corporate Debt Capacity</w:t>
      </w:r>
      <w:r w:rsidRPr="00303F2D">
        <w:rPr>
          <w:rFonts w:cs="Times New Roman"/>
          <w:szCs w:val="24"/>
        </w:rPr>
        <w:t>. Boston: Harvard Graduate School of Business Administration, 1961.</w:t>
      </w:r>
    </w:p>
    <w:p w:rsidR="009E28C9" w:rsidRPr="00303F2D" w:rsidRDefault="009E28C9" w:rsidP="009E28C9">
      <w:pPr>
        <w:ind w:left="284" w:hanging="284"/>
        <w:rPr>
          <w:rFonts w:cs="Times New Roman"/>
          <w:szCs w:val="24"/>
        </w:rPr>
      </w:pPr>
      <w:r w:rsidRPr="00303F2D">
        <w:rPr>
          <w:rFonts w:cs="Times New Roman"/>
          <w:szCs w:val="24"/>
        </w:rPr>
        <w:t xml:space="preserve">DURAND, David. Cost of debt and equity funds for business: trends and problems of measurement. In: </w:t>
      </w:r>
      <w:r w:rsidRPr="00303F2D">
        <w:rPr>
          <w:rFonts w:cs="Times New Roman"/>
          <w:b/>
          <w:szCs w:val="24"/>
        </w:rPr>
        <w:t>Conference On Research On Business Finance</w:t>
      </w:r>
      <w:r w:rsidRPr="00303F2D">
        <w:rPr>
          <w:rFonts w:cs="Times New Roman"/>
          <w:szCs w:val="24"/>
        </w:rPr>
        <w:t>, New York, 1952</w:t>
      </w:r>
    </w:p>
    <w:p w:rsidR="009E28C9" w:rsidRPr="00303F2D" w:rsidRDefault="009E28C9" w:rsidP="009E28C9">
      <w:pPr>
        <w:ind w:left="284" w:hanging="284"/>
        <w:rPr>
          <w:rFonts w:cs="Times New Roman"/>
          <w:szCs w:val="24"/>
        </w:rPr>
      </w:pPr>
      <w:r w:rsidRPr="00303F2D">
        <w:rPr>
          <w:rFonts w:cs="Times New Roman"/>
          <w:szCs w:val="24"/>
        </w:rPr>
        <w:t xml:space="preserve">FAMA, E. F.; FRENCH, K. R. Testing Trade-Off and Pecking Order Predictions about Dividends and Debt. </w:t>
      </w:r>
      <w:r w:rsidRPr="00303F2D">
        <w:rPr>
          <w:rFonts w:cs="Times New Roman"/>
          <w:b/>
          <w:szCs w:val="24"/>
        </w:rPr>
        <w:t>Review of Financial Studies</w:t>
      </w:r>
      <w:r w:rsidRPr="00303F2D">
        <w:rPr>
          <w:rFonts w:cs="Times New Roman"/>
          <w:szCs w:val="24"/>
        </w:rPr>
        <w:t>, v.15, n.1, p. 1-33, 2002</w:t>
      </w:r>
    </w:p>
    <w:p w:rsidR="009E28C9" w:rsidRPr="00303F2D" w:rsidRDefault="009E28C9" w:rsidP="009E28C9">
      <w:pPr>
        <w:ind w:left="284" w:hanging="284"/>
        <w:rPr>
          <w:rFonts w:cs="Times New Roman"/>
          <w:szCs w:val="24"/>
        </w:rPr>
      </w:pPr>
      <w:r w:rsidRPr="00303F2D">
        <w:rPr>
          <w:rFonts w:cs="Times New Roman"/>
          <w:szCs w:val="24"/>
        </w:rPr>
        <w:t xml:space="preserve">FAULKENDER, Michael; PETERSEN, Mitchell A. Does the Source of Capital Affect Capital Structure? </w:t>
      </w:r>
      <w:r w:rsidRPr="00303F2D">
        <w:rPr>
          <w:rFonts w:cs="Times New Roman"/>
          <w:b/>
          <w:szCs w:val="24"/>
        </w:rPr>
        <w:t>Review of Financial Studies</w:t>
      </w:r>
      <w:r w:rsidRPr="00303F2D">
        <w:rPr>
          <w:rFonts w:cs="Times New Roman"/>
          <w:szCs w:val="24"/>
        </w:rPr>
        <w:t>, n. 19, v. 1, p. 45-79, 2006</w:t>
      </w:r>
    </w:p>
    <w:p w:rsidR="009E28C9" w:rsidRPr="00303F2D" w:rsidRDefault="009E28C9" w:rsidP="009E28C9">
      <w:pPr>
        <w:ind w:left="284" w:hanging="284"/>
        <w:rPr>
          <w:rFonts w:cs="Times New Roman"/>
          <w:szCs w:val="24"/>
        </w:rPr>
      </w:pPr>
      <w:r w:rsidRPr="00303F2D">
        <w:rPr>
          <w:rFonts w:cs="Times New Roman"/>
          <w:szCs w:val="24"/>
        </w:rPr>
        <w:t xml:space="preserve">FIGUEIREDO, Gabriela de. </w:t>
      </w:r>
      <w:r w:rsidRPr="00303F2D">
        <w:rPr>
          <w:rFonts w:cs="Times New Roman"/>
          <w:b/>
          <w:szCs w:val="24"/>
        </w:rPr>
        <w:t>Determinantes da Composição do Endividamento de Longo Prazo das Empresas Brasileiras Listadas na Bolsa de Valores de São Paulo: Uma Abordagem Empírica</w:t>
      </w:r>
      <w:r w:rsidRPr="00303F2D">
        <w:rPr>
          <w:rFonts w:cs="Times New Roman"/>
          <w:szCs w:val="24"/>
        </w:rPr>
        <w:t>. 2007. 145f. Dissertação (Mestrado em Administração) - Universidade de São Paulo, São Paulo, 2007.</w:t>
      </w:r>
    </w:p>
    <w:p w:rsidR="009E28C9" w:rsidRPr="00303F2D" w:rsidRDefault="009E28C9" w:rsidP="009E28C9">
      <w:pPr>
        <w:ind w:left="284" w:hanging="284"/>
        <w:rPr>
          <w:rFonts w:cs="Times New Roman"/>
          <w:szCs w:val="24"/>
        </w:rPr>
      </w:pPr>
      <w:r w:rsidRPr="00303F2D">
        <w:rPr>
          <w:rFonts w:cs="Times New Roman"/>
          <w:szCs w:val="24"/>
        </w:rPr>
        <w:t xml:space="preserve">FLANNERY, Mark. Asymmetric Information and Risk Debt Maturity Choice. </w:t>
      </w:r>
      <w:r w:rsidRPr="00303F2D">
        <w:rPr>
          <w:rFonts w:cs="Times New Roman"/>
          <w:b/>
          <w:szCs w:val="24"/>
        </w:rPr>
        <w:t>Journal of Finance</w:t>
      </w:r>
      <w:r w:rsidRPr="00303F2D">
        <w:rPr>
          <w:rFonts w:cs="Times New Roman"/>
          <w:szCs w:val="24"/>
        </w:rPr>
        <w:t>, v. 41, n. 1, p. 19-37, 1986</w:t>
      </w:r>
    </w:p>
    <w:p w:rsidR="009E28C9" w:rsidRPr="00303F2D" w:rsidRDefault="009E28C9" w:rsidP="009E28C9">
      <w:pPr>
        <w:ind w:left="284" w:hanging="284"/>
        <w:rPr>
          <w:rFonts w:cs="Times New Roman"/>
          <w:szCs w:val="24"/>
        </w:rPr>
      </w:pPr>
      <w:r w:rsidRPr="00303F2D">
        <w:rPr>
          <w:rFonts w:cs="Times New Roman"/>
          <w:szCs w:val="24"/>
        </w:rPr>
        <w:t xml:space="preserve">HARRIS, Milton; RAVIV, Artur. The theory of capital structure. </w:t>
      </w:r>
      <w:r w:rsidRPr="00303F2D">
        <w:rPr>
          <w:rFonts w:cs="Times New Roman"/>
          <w:b/>
          <w:szCs w:val="24"/>
        </w:rPr>
        <w:t>The Journal of Finance</w:t>
      </w:r>
      <w:r w:rsidRPr="00303F2D">
        <w:rPr>
          <w:rFonts w:cs="Times New Roman"/>
          <w:szCs w:val="24"/>
        </w:rPr>
        <w:t>, v. 46, n. 1, p. 297-335, 1991.</w:t>
      </w:r>
    </w:p>
    <w:p w:rsidR="009E28C9" w:rsidRPr="00303F2D" w:rsidRDefault="009E28C9" w:rsidP="009E28C9">
      <w:pPr>
        <w:ind w:left="284" w:hanging="284"/>
        <w:rPr>
          <w:rFonts w:cs="Times New Roman"/>
          <w:szCs w:val="24"/>
        </w:rPr>
      </w:pPr>
      <w:r w:rsidRPr="00303F2D">
        <w:rPr>
          <w:rFonts w:cs="Times New Roman"/>
          <w:szCs w:val="24"/>
        </w:rPr>
        <w:t xml:space="preserve">JENSEN, Michael C. Agency costs and free cash flow, corporate finance and takeovers. </w:t>
      </w:r>
      <w:r w:rsidRPr="00303F2D">
        <w:rPr>
          <w:rFonts w:cs="Times New Roman"/>
          <w:b/>
          <w:szCs w:val="24"/>
        </w:rPr>
        <w:t>American Economic Review</w:t>
      </w:r>
      <w:r w:rsidRPr="00303F2D">
        <w:rPr>
          <w:rFonts w:cs="Times New Roman"/>
          <w:szCs w:val="24"/>
        </w:rPr>
        <w:t>, v. 76, n. 2, p. 323-329, 1986.</w:t>
      </w:r>
    </w:p>
    <w:p w:rsidR="009E28C9" w:rsidRPr="00303F2D" w:rsidRDefault="009E28C9" w:rsidP="009E28C9">
      <w:pPr>
        <w:ind w:left="284" w:hanging="284"/>
        <w:rPr>
          <w:rFonts w:cs="Times New Roman"/>
          <w:szCs w:val="24"/>
        </w:rPr>
      </w:pPr>
      <w:r w:rsidRPr="00303F2D">
        <w:rPr>
          <w:rFonts w:cs="Times New Roman"/>
          <w:szCs w:val="24"/>
        </w:rPr>
        <w:t xml:space="preserve">JIMÉNEZ, José Inácio C. </w:t>
      </w:r>
      <w:r w:rsidRPr="00303F2D">
        <w:rPr>
          <w:rFonts w:cs="Times New Roman"/>
          <w:b/>
          <w:szCs w:val="24"/>
        </w:rPr>
        <w:t>Testes Empíricos Sobre Market Timing na Estrutura de Capital das Empresas no Brasil</w:t>
      </w:r>
      <w:r w:rsidRPr="00303F2D">
        <w:rPr>
          <w:rFonts w:cs="Times New Roman"/>
          <w:szCs w:val="24"/>
        </w:rPr>
        <w:t>. 2007. 47f. Dissertação  (Mestrado em Macroeconomia e Finanças) - IBMEC São Paulo, São Paulo, 2007.</w:t>
      </w:r>
    </w:p>
    <w:p w:rsidR="009E28C9" w:rsidRPr="00303F2D" w:rsidRDefault="009E28C9" w:rsidP="009E28C9">
      <w:pPr>
        <w:ind w:left="284" w:hanging="284"/>
        <w:rPr>
          <w:rFonts w:cs="Times New Roman"/>
          <w:szCs w:val="24"/>
        </w:rPr>
      </w:pPr>
      <w:r w:rsidRPr="00303F2D">
        <w:rPr>
          <w:rFonts w:cs="Times New Roman"/>
          <w:caps/>
          <w:szCs w:val="24"/>
        </w:rPr>
        <w:t>Johnson</w:t>
      </w:r>
      <w:r w:rsidRPr="00303F2D">
        <w:rPr>
          <w:rFonts w:cs="Times New Roman"/>
          <w:szCs w:val="24"/>
        </w:rPr>
        <w:t xml:space="preserve">, S. A. An Empirical Analysis of the Determinants of Corporate Debt Ownership Structure. </w:t>
      </w:r>
      <w:r w:rsidRPr="00303F2D">
        <w:rPr>
          <w:rFonts w:cs="Times New Roman"/>
          <w:b/>
          <w:szCs w:val="24"/>
        </w:rPr>
        <w:t>Journal of Financial and Quantitative Analysis</w:t>
      </w:r>
      <w:r w:rsidRPr="00303F2D">
        <w:rPr>
          <w:rFonts w:cs="Times New Roman"/>
          <w:szCs w:val="24"/>
        </w:rPr>
        <w:t>, v. 32, n. 1, p. 47-69, 1997</w:t>
      </w:r>
    </w:p>
    <w:p w:rsidR="009E28C9" w:rsidRPr="00303F2D" w:rsidRDefault="009E28C9" w:rsidP="009E28C9">
      <w:pPr>
        <w:ind w:left="284" w:hanging="284"/>
        <w:rPr>
          <w:rFonts w:cs="Times New Roman"/>
          <w:szCs w:val="24"/>
        </w:rPr>
      </w:pPr>
      <w:r w:rsidRPr="00303F2D">
        <w:rPr>
          <w:rFonts w:cs="Times New Roman"/>
          <w:szCs w:val="24"/>
        </w:rPr>
        <w:t xml:space="preserve">______. Debt Maturity and the Effects of Growth Opportunities and Liquidity Risk on Leverage. </w:t>
      </w:r>
      <w:r w:rsidRPr="00303F2D">
        <w:rPr>
          <w:rFonts w:cs="Times New Roman"/>
          <w:b/>
          <w:szCs w:val="24"/>
        </w:rPr>
        <w:t>The Review of Financial Studies</w:t>
      </w:r>
      <w:r w:rsidRPr="00303F2D">
        <w:rPr>
          <w:rFonts w:cs="Times New Roman"/>
          <w:szCs w:val="24"/>
        </w:rPr>
        <w:t>, v. 16, n. 1, p. 209-236, 2003.</w:t>
      </w:r>
    </w:p>
    <w:p w:rsidR="009E28C9" w:rsidRPr="00303F2D" w:rsidRDefault="009E28C9" w:rsidP="009E28C9">
      <w:pPr>
        <w:ind w:left="284" w:hanging="284"/>
        <w:rPr>
          <w:rFonts w:cs="Times New Roman"/>
          <w:szCs w:val="24"/>
        </w:rPr>
      </w:pPr>
      <w:r w:rsidRPr="00303F2D">
        <w:rPr>
          <w:rFonts w:cs="Times New Roman"/>
          <w:szCs w:val="24"/>
        </w:rPr>
        <w:t xml:space="preserve">KAYO, Eduardo Kazuo. </w:t>
      </w:r>
      <w:r w:rsidRPr="00303F2D">
        <w:rPr>
          <w:rFonts w:cs="Times New Roman"/>
          <w:b/>
          <w:szCs w:val="24"/>
        </w:rPr>
        <w:t>A Estrutura de Capital e o Risco das Empresas Tangível e Intangível-Intensivas: Uma Contribuição ao Estudo da Valoração de Empresas</w:t>
      </w:r>
      <w:r w:rsidRPr="00303F2D">
        <w:rPr>
          <w:rFonts w:cs="Times New Roman"/>
          <w:szCs w:val="24"/>
        </w:rPr>
        <w:t>. Tese (Doutorado em Administração) - Faculdade de Economia, Administração e Contabilidade da Universidade de São Paulo. São Paulo, 2002.</w:t>
      </w:r>
    </w:p>
    <w:p w:rsidR="009E28C9" w:rsidRPr="00303F2D" w:rsidRDefault="009E28C9" w:rsidP="009E28C9">
      <w:pPr>
        <w:ind w:left="284" w:hanging="284"/>
        <w:rPr>
          <w:rFonts w:cs="Times New Roman"/>
          <w:szCs w:val="24"/>
        </w:rPr>
      </w:pPr>
      <w:r w:rsidRPr="00303F2D">
        <w:rPr>
          <w:rFonts w:cs="Times New Roman"/>
          <w:szCs w:val="24"/>
        </w:rPr>
        <w:t xml:space="preserve">KAYO, Eduardo Kazuo; FAMÁ, Rubens. Teoria de Agência e Crescimento: Evidências Empíricas dos Efeitos Positivos e Negativos do Endividamento. </w:t>
      </w:r>
      <w:r w:rsidRPr="00303F2D">
        <w:rPr>
          <w:rFonts w:cs="Times New Roman"/>
          <w:b/>
          <w:szCs w:val="24"/>
        </w:rPr>
        <w:t>Caderno de Pesquisas em Administração</w:t>
      </w:r>
      <w:r w:rsidRPr="00303F2D">
        <w:rPr>
          <w:rFonts w:cs="Times New Roman"/>
          <w:szCs w:val="24"/>
        </w:rPr>
        <w:t>, v. 2, n. 5, p.1-8, 1997.</w:t>
      </w:r>
    </w:p>
    <w:p w:rsidR="009E28C9" w:rsidRPr="00303F2D" w:rsidRDefault="009E28C9" w:rsidP="009E28C9">
      <w:pPr>
        <w:ind w:left="284" w:hanging="284"/>
        <w:rPr>
          <w:rFonts w:cs="Times New Roman"/>
          <w:szCs w:val="24"/>
        </w:rPr>
      </w:pPr>
      <w:r w:rsidRPr="00303F2D">
        <w:rPr>
          <w:rFonts w:cs="Times New Roman"/>
          <w:caps/>
          <w:szCs w:val="24"/>
        </w:rPr>
        <w:t>Krishnaswami</w:t>
      </w:r>
      <w:r w:rsidRPr="00303F2D">
        <w:rPr>
          <w:rFonts w:cs="Times New Roman"/>
          <w:szCs w:val="24"/>
        </w:rPr>
        <w:t xml:space="preserve">, S.; </w:t>
      </w:r>
      <w:r w:rsidRPr="00303F2D">
        <w:rPr>
          <w:rFonts w:cs="Times New Roman"/>
          <w:caps/>
          <w:szCs w:val="24"/>
        </w:rPr>
        <w:t>Spindt</w:t>
      </w:r>
      <w:r w:rsidRPr="00303F2D">
        <w:rPr>
          <w:rFonts w:cs="Times New Roman"/>
          <w:szCs w:val="24"/>
        </w:rPr>
        <w:t xml:space="preserve">, P. A.; </w:t>
      </w:r>
      <w:r w:rsidRPr="00303F2D">
        <w:rPr>
          <w:rFonts w:cs="Times New Roman"/>
          <w:caps/>
          <w:szCs w:val="24"/>
        </w:rPr>
        <w:t>Subramanian</w:t>
      </w:r>
      <w:r w:rsidRPr="00303F2D">
        <w:rPr>
          <w:rFonts w:cs="Times New Roman"/>
          <w:szCs w:val="24"/>
        </w:rPr>
        <w:t xml:space="preserve">, V. Information Asymmetry, Monitoring, and the Placement Structure of Corporate Debt. </w:t>
      </w:r>
      <w:r w:rsidRPr="00303F2D">
        <w:rPr>
          <w:rFonts w:cs="Times New Roman"/>
          <w:b/>
          <w:szCs w:val="24"/>
        </w:rPr>
        <w:t>Journal of Financial Economics</w:t>
      </w:r>
      <w:r w:rsidRPr="00303F2D">
        <w:rPr>
          <w:rFonts w:cs="Times New Roman"/>
          <w:szCs w:val="24"/>
        </w:rPr>
        <w:t>, v. 51, n. 3, p. 407-434. 1999.</w:t>
      </w:r>
    </w:p>
    <w:p w:rsidR="009E28C9" w:rsidRPr="00303F2D" w:rsidRDefault="009E28C9" w:rsidP="009E28C9">
      <w:pPr>
        <w:ind w:left="284" w:hanging="284"/>
        <w:rPr>
          <w:rFonts w:cs="Times New Roman"/>
          <w:szCs w:val="24"/>
        </w:rPr>
      </w:pPr>
      <w:r w:rsidRPr="00303F2D">
        <w:rPr>
          <w:rFonts w:cs="Times New Roman"/>
          <w:szCs w:val="24"/>
        </w:rPr>
        <w:t xml:space="preserve">MAS-COLLEL, Andreu, WHINSTON, Michael D.; GREEN, Jerry R. </w:t>
      </w:r>
      <w:r w:rsidRPr="00303F2D">
        <w:rPr>
          <w:rFonts w:cs="Times New Roman"/>
          <w:b/>
          <w:szCs w:val="24"/>
        </w:rPr>
        <w:t>Microeconomic Theory</w:t>
      </w:r>
      <w:r w:rsidRPr="00303F2D">
        <w:rPr>
          <w:rFonts w:cs="Times New Roman"/>
          <w:szCs w:val="24"/>
        </w:rPr>
        <w:t>. Oxford: Oxford University Press, 1996.</w:t>
      </w:r>
    </w:p>
    <w:p w:rsidR="009E28C9" w:rsidRPr="00303F2D" w:rsidRDefault="009E28C9" w:rsidP="009E28C9">
      <w:pPr>
        <w:ind w:left="284" w:hanging="284"/>
        <w:rPr>
          <w:rFonts w:cs="Times New Roman"/>
          <w:szCs w:val="24"/>
        </w:rPr>
      </w:pPr>
      <w:r w:rsidRPr="00303F2D">
        <w:rPr>
          <w:rFonts w:cs="Times New Roman"/>
          <w:szCs w:val="24"/>
        </w:rPr>
        <w:lastRenderedPageBreak/>
        <w:t xml:space="preserve">MODIGLIANI, Franco; MILLER, Merton H. The cost of capital, corporation finance and the theory of investment. </w:t>
      </w:r>
      <w:r w:rsidRPr="00303F2D">
        <w:rPr>
          <w:rFonts w:cs="Times New Roman"/>
          <w:b/>
          <w:szCs w:val="24"/>
        </w:rPr>
        <w:t>The American Economic Review</w:t>
      </w:r>
      <w:r w:rsidRPr="00303F2D">
        <w:rPr>
          <w:rFonts w:cs="Times New Roman"/>
          <w:szCs w:val="24"/>
        </w:rPr>
        <w:t>, v. 48, n. 3, p. 261-297, 1958.</w:t>
      </w:r>
    </w:p>
    <w:p w:rsidR="009E28C9" w:rsidRPr="00303F2D" w:rsidRDefault="009E28C9" w:rsidP="009E28C9">
      <w:pPr>
        <w:ind w:left="284" w:hanging="284"/>
        <w:rPr>
          <w:rFonts w:cs="Times New Roman"/>
          <w:szCs w:val="24"/>
        </w:rPr>
      </w:pPr>
      <w:r w:rsidRPr="00303F2D">
        <w:rPr>
          <w:rFonts w:cs="Times New Roman"/>
          <w:szCs w:val="24"/>
        </w:rPr>
        <w:t xml:space="preserve">______. Corporate income taxes and the cost of capital: a correction. </w:t>
      </w:r>
      <w:r w:rsidRPr="00303F2D">
        <w:rPr>
          <w:rFonts w:cs="Times New Roman"/>
          <w:b/>
          <w:szCs w:val="24"/>
        </w:rPr>
        <w:t>The American Economic Review</w:t>
      </w:r>
      <w:r w:rsidRPr="00303F2D">
        <w:rPr>
          <w:rFonts w:cs="Times New Roman"/>
          <w:szCs w:val="24"/>
        </w:rPr>
        <w:t>, v. 53, n. 3, p. 433-443, 1963.</w:t>
      </w:r>
    </w:p>
    <w:p w:rsidR="009E28C9" w:rsidRPr="00303F2D" w:rsidRDefault="009E28C9" w:rsidP="009E28C9">
      <w:pPr>
        <w:ind w:left="284" w:hanging="284"/>
        <w:rPr>
          <w:rFonts w:cs="Times New Roman"/>
          <w:szCs w:val="24"/>
        </w:rPr>
      </w:pPr>
      <w:r w:rsidRPr="00303F2D">
        <w:rPr>
          <w:rFonts w:cs="Times New Roman"/>
          <w:szCs w:val="24"/>
        </w:rPr>
        <w:t xml:space="preserve">MYERS, Stewart C. MAJLUF, Nicholas S. Corporate Financing and Investment Decisions When Firms Have Information That Investor Do Not Have. </w:t>
      </w:r>
      <w:r w:rsidRPr="00303F2D">
        <w:rPr>
          <w:rFonts w:cs="Times New Roman"/>
          <w:b/>
          <w:szCs w:val="24"/>
        </w:rPr>
        <w:t>Journal of Financial Economics</w:t>
      </w:r>
      <w:r w:rsidRPr="00303F2D">
        <w:rPr>
          <w:rFonts w:cs="Times New Roman"/>
          <w:szCs w:val="24"/>
        </w:rPr>
        <w:t>, v. 13, n. 2, p. 187-221, 1984.</w:t>
      </w:r>
    </w:p>
    <w:p w:rsidR="00F87322" w:rsidRDefault="00F87322" w:rsidP="00F87322">
      <w:pPr>
        <w:ind w:left="284" w:hanging="284"/>
        <w:rPr>
          <w:rFonts w:cs="Times New Roman"/>
          <w:szCs w:val="24"/>
        </w:rPr>
      </w:pPr>
      <w:r w:rsidRPr="00303F2D">
        <w:rPr>
          <w:rFonts w:cs="Times New Roman"/>
          <w:szCs w:val="24"/>
        </w:rPr>
        <w:t xml:space="preserve">PEROBELLI, Fernanda F. C.; FAMÁ, Rubens. Fatores Determinantes da Estrutura de Capital para Empresas Latino-Americanas. </w:t>
      </w:r>
      <w:r w:rsidRPr="00303F2D">
        <w:rPr>
          <w:rFonts w:cs="Times New Roman"/>
          <w:b/>
          <w:szCs w:val="24"/>
        </w:rPr>
        <w:t>Revista de Administração Contemporânea</w:t>
      </w:r>
      <w:r w:rsidRPr="00303F2D">
        <w:rPr>
          <w:rFonts w:cs="Times New Roman"/>
          <w:szCs w:val="24"/>
        </w:rPr>
        <w:t>, v. 7, n. 1, p. 9-35, 2003.</w:t>
      </w:r>
    </w:p>
    <w:p w:rsidR="009E28C9" w:rsidRPr="00303F2D" w:rsidRDefault="009E28C9" w:rsidP="009E28C9">
      <w:pPr>
        <w:ind w:left="284" w:hanging="284"/>
        <w:rPr>
          <w:rFonts w:cs="Times New Roman"/>
          <w:szCs w:val="24"/>
        </w:rPr>
      </w:pPr>
      <w:r w:rsidRPr="00303F2D">
        <w:rPr>
          <w:rFonts w:cs="Times New Roman"/>
          <w:szCs w:val="24"/>
        </w:rPr>
        <w:t xml:space="preserve">RAJAN, Raghuram G.; ZINGALES, Luigi. What Do We Know About Capital Structure? Some Evidence From International Data. </w:t>
      </w:r>
      <w:r w:rsidRPr="00303F2D">
        <w:rPr>
          <w:rFonts w:cs="Times New Roman"/>
          <w:b/>
          <w:szCs w:val="24"/>
        </w:rPr>
        <w:t>Journal of Finance</w:t>
      </w:r>
      <w:r w:rsidRPr="00303F2D">
        <w:rPr>
          <w:rFonts w:cs="Times New Roman"/>
          <w:szCs w:val="24"/>
        </w:rPr>
        <w:t>, v. 50, n. 5, p.1421-1460, 1995.</w:t>
      </w:r>
    </w:p>
    <w:p w:rsidR="009E28C9" w:rsidRPr="00303F2D" w:rsidRDefault="009E28C9" w:rsidP="009E28C9">
      <w:pPr>
        <w:ind w:left="284" w:hanging="284"/>
        <w:rPr>
          <w:rFonts w:cs="Times New Roman"/>
          <w:szCs w:val="24"/>
        </w:rPr>
      </w:pPr>
      <w:r w:rsidRPr="00303F2D">
        <w:rPr>
          <w:rFonts w:cs="Times New Roman"/>
          <w:caps/>
          <w:szCs w:val="24"/>
        </w:rPr>
        <w:t>Terra</w:t>
      </w:r>
      <w:r w:rsidRPr="00303F2D">
        <w:rPr>
          <w:rFonts w:cs="Times New Roman"/>
          <w:szCs w:val="24"/>
        </w:rPr>
        <w:t xml:space="preserve">, P. R. S. </w:t>
      </w:r>
      <w:r w:rsidRPr="00303F2D">
        <w:rPr>
          <w:rFonts w:cs="Times New Roman"/>
          <w:b/>
          <w:szCs w:val="24"/>
        </w:rPr>
        <w:t>Determinants of Corporate Debt Maturity in Latin America</w:t>
      </w:r>
      <w:r w:rsidRPr="00303F2D">
        <w:rPr>
          <w:rFonts w:cs="Times New Roman"/>
          <w:szCs w:val="24"/>
        </w:rPr>
        <w:t>. Working paper. 2005.</w:t>
      </w:r>
    </w:p>
    <w:p w:rsidR="009E28C9" w:rsidRPr="00303F2D" w:rsidRDefault="009E28C9" w:rsidP="009E28C9">
      <w:pPr>
        <w:ind w:left="284" w:hanging="284"/>
        <w:rPr>
          <w:rFonts w:cs="Times New Roman"/>
          <w:szCs w:val="24"/>
        </w:rPr>
      </w:pPr>
      <w:r w:rsidRPr="00303F2D">
        <w:rPr>
          <w:rFonts w:cs="Times New Roman"/>
          <w:caps/>
          <w:szCs w:val="24"/>
        </w:rPr>
        <w:t>Terra</w:t>
      </w:r>
      <w:r w:rsidRPr="00303F2D">
        <w:rPr>
          <w:rFonts w:cs="Times New Roman"/>
          <w:szCs w:val="24"/>
        </w:rPr>
        <w:t xml:space="preserve">, P. R. S.; </w:t>
      </w:r>
      <w:r w:rsidRPr="00303F2D">
        <w:rPr>
          <w:rFonts w:cs="Times New Roman"/>
          <w:caps/>
          <w:szCs w:val="24"/>
        </w:rPr>
        <w:t>Mateus</w:t>
      </w:r>
      <w:r w:rsidRPr="00303F2D">
        <w:rPr>
          <w:rFonts w:cs="Times New Roman"/>
          <w:szCs w:val="24"/>
        </w:rPr>
        <w:t xml:space="preserve">, C. The Joint Determination of Capital Structure and Debt Maturity: Empirical Evidence from Latin America and Eastern Europe. In: Encontro Brasileiro de Finanças, V, São Paulo, </w:t>
      </w:r>
      <w:r w:rsidRPr="00303F2D">
        <w:rPr>
          <w:rFonts w:cs="Times New Roman"/>
          <w:b/>
          <w:szCs w:val="24"/>
        </w:rPr>
        <w:t>Anais...</w:t>
      </w:r>
      <w:r w:rsidRPr="00303F2D">
        <w:rPr>
          <w:rFonts w:cs="Times New Roman"/>
          <w:szCs w:val="24"/>
        </w:rPr>
        <w:t xml:space="preserve"> São Paulo. 2005.</w:t>
      </w:r>
    </w:p>
    <w:p w:rsidR="009E28C9" w:rsidRPr="00303F2D" w:rsidRDefault="009E28C9" w:rsidP="009E28C9">
      <w:pPr>
        <w:ind w:left="284" w:hanging="284"/>
        <w:rPr>
          <w:rFonts w:cs="Times New Roman"/>
          <w:szCs w:val="24"/>
        </w:rPr>
      </w:pPr>
      <w:r w:rsidRPr="00303F2D">
        <w:rPr>
          <w:rFonts w:cs="Times New Roman"/>
          <w:szCs w:val="24"/>
        </w:rPr>
        <w:t xml:space="preserve">TITMAN, Sheridan; WESSELS, Roberto. The Determinants Of Capital Structure Choice. </w:t>
      </w:r>
      <w:r w:rsidRPr="00303F2D">
        <w:rPr>
          <w:rFonts w:cs="Times New Roman"/>
          <w:b/>
          <w:szCs w:val="24"/>
        </w:rPr>
        <w:t>Journal of Finance</w:t>
      </w:r>
      <w:r w:rsidRPr="00303F2D">
        <w:rPr>
          <w:rFonts w:cs="Times New Roman"/>
          <w:szCs w:val="24"/>
        </w:rPr>
        <w:t>,  v. 43, n. 1, p. 1-20, 1988.</w:t>
      </w:r>
    </w:p>
    <w:p w:rsidR="009E28C9" w:rsidRPr="00303F2D" w:rsidRDefault="009E28C9" w:rsidP="009E28C9">
      <w:pPr>
        <w:ind w:left="284" w:hanging="284"/>
        <w:rPr>
          <w:rFonts w:cs="Times New Roman"/>
          <w:szCs w:val="24"/>
        </w:rPr>
      </w:pPr>
      <w:r w:rsidRPr="00303F2D">
        <w:rPr>
          <w:rFonts w:cs="Times New Roman"/>
          <w:szCs w:val="24"/>
        </w:rPr>
        <w:t xml:space="preserve">WARNER, Jerold B. Bankruptcy Costs: Some Evidence. </w:t>
      </w:r>
      <w:r w:rsidRPr="00303F2D">
        <w:rPr>
          <w:rFonts w:cs="Times New Roman"/>
          <w:b/>
          <w:szCs w:val="24"/>
        </w:rPr>
        <w:t>Journal of Finance</w:t>
      </w:r>
      <w:r w:rsidRPr="00303F2D">
        <w:rPr>
          <w:rFonts w:cs="Times New Roman"/>
          <w:szCs w:val="24"/>
        </w:rPr>
        <w:t>, v. 32, n. 2, p. 337-347, 1977.</w:t>
      </w:r>
    </w:p>
    <w:p w:rsidR="009E28C9" w:rsidRPr="00303F2D" w:rsidRDefault="009E28C9" w:rsidP="009E28C9">
      <w:pPr>
        <w:ind w:left="284" w:hanging="284"/>
        <w:rPr>
          <w:rFonts w:cs="Times New Roman"/>
          <w:szCs w:val="24"/>
        </w:rPr>
      </w:pPr>
      <w:r w:rsidRPr="00303F2D">
        <w:rPr>
          <w:rFonts w:cs="Times New Roman"/>
          <w:caps/>
          <w:szCs w:val="24"/>
        </w:rPr>
        <w:t>Wooldridge</w:t>
      </w:r>
      <w:r w:rsidRPr="00303F2D">
        <w:rPr>
          <w:rFonts w:cs="Times New Roman"/>
          <w:szCs w:val="24"/>
        </w:rPr>
        <w:t xml:space="preserve">, J.M. </w:t>
      </w:r>
      <w:r w:rsidRPr="00303F2D">
        <w:rPr>
          <w:rFonts w:cs="Times New Roman"/>
          <w:b/>
          <w:szCs w:val="24"/>
        </w:rPr>
        <w:t>Econometric Analysis of Cross-Section and Panel Data</w:t>
      </w:r>
      <w:r w:rsidRPr="00303F2D">
        <w:rPr>
          <w:rFonts w:cs="Times New Roman"/>
          <w:szCs w:val="24"/>
        </w:rPr>
        <w:t>. Cambridge: The MIT Press, 2002</w:t>
      </w:r>
    </w:p>
    <w:p w:rsidR="00A300A4" w:rsidRPr="00303F2D" w:rsidRDefault="009E28C9" w:rsidP="00A300A4">
      <w:pPr>
        <w:ind w:left="284" w:hanging="284"/>
        <w:rPr>
          <w:rFonts w:cs="Times New Roman"/>
          <w:szCs w:val="24"/>
        </w:rPr>
      </w:pPr>
      <w:r w:rsidRPr="00303F2D">
        <w:rPr>
          <w:rFonts w:cs="Times New Roman"/>
          <w:caps/>
          <w:szCs w:val="24"/>
        </w:rPr>
        <w:t>Zellner</w:t>
      </w:r>
      <w:r w:rsidRPr="00303F2D">
        <w:rPr>
          <w:rFonts w:cs="Times New Roman"/>
          <w:szCs w:val="24"/>
        </w:rPr>
        <w:t xml:space="preserve">, Arnold; </w:t>
      </w:r>
      <w:r w:rsidRPr="00303F2D">
        <w:rPr>
          <w:rFonts w:cs="Times New Roman"/>
          <w:caps/>
          <w:szCs w:val="24"/>
        </w:rPr>
        <w:t>Theil,</w:t>
      </w:r>
      <w:r w:rsidRPr="00303F2D">
        <w:rPr>
          <w:rFonts w:cs="Times New Roman"/>
          <w:szCs w:val="24"/>
        </w:rPr>
        <w:t xml:space="preserve"> H. Three Stage Least Squares: Simultaneous Estimation of  Simultaneous Equations. </w:t>
      </w:r>
      <w:r w:rsidRPr="00303F2D">
        <w:rPr>
          <w:rFonts w:cs="Times New Roman"/>
          <w:b/>
          <w:szCs w:val="24"/>
        </w:rPr>
        <w:t>Econometrica</w:t>
      </w:r>
      <w:r w:rsidRPr="00303F2D">
        <w:rPr>
          <w:rFonts w:cs="Times New Roman"/>
          <w:szCs w:val="24"/>
        </w:rPr>
        <w:t>, v. 30, n. 1, p. 63–68, 1962.</w:t>
      </w:r>
    </w:p>
    <w:sectPr w:rsidR="00A300A4" w:rsidRPr="00303F2D" w:rsidSect="003E04D7">
      <w:headerReference w:type="even" r:id="rId174"/>
      <w:headerReference w:type="default" r:id="rId175"/>
      <w:pgSz w:w="11907" w:h="16840" w:code="9"/>
      <w:pgMar w:top="1134" w:right="851" w:bottom="1134"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D1C" w:rsidRDefault="00690D1C" w:rsidP="009A78CA">
      <w:r>
        <w:separator/>
      </w:r>
    </w:p>
  </w:endnote>
  <w:endnote w:type="continuationSeparator" w:id="1">
    <w:p w:rsidR="00690D1C" w:rsidRDefault="00690D1C" w:rsidP="009A78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unga">
    <w:panose1 w:val="00000400000000000000"/>
    <w:charset w:val="00"/>
    <w:family w:val="auto"/>
    <w:pitch w:val="variable"/>
    <w:sig w:usb0="004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74" w:rsidRDefault="00A5557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74" w:rsidRDefault="00A5557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74" w:rsidRDefault="00A555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D1C" w:rsidRDefault="00690D1C" w:rsidP="009A78CA">
      <w:r>
        <w:separator/>
      </w:r>
    </w:p>
  </w:footnote>
  <w:footnote w:type="continuationSeparator" w:id="1">
    <w:p w:rsidR="00690D1C" w:rsidRDefault="00690D1C" w:rsidP="009A78CA">
      <w:r>
        <w:continuationSeparator/>
      </w:r>
    </w:p>
  </w:footnote>
  <w:footnote w:id="2">
    <w:p w:rsidR="00A55574" w:rsidRPr="00A55574" w:rsidRDefault="00A55574" w:rsidP="00A55574">
      <w:pPr>
        <w:pStyle w:val="NotadeRodap"/>
      </w:pPr>
      <w:r w:rsidRPr="00A55574">
        <w:rPr>
          <w:rStyle w:val="Refdenotaderodap"/>
          <w:vertAlign w:val="baseline"/>
        </w:rPr>
        <w:footnoteRef/>
      </w:r>
      <w:r w:rsidRPr="00A55574">
        <w:t xml:space="preserve"> Para maiores detalhes ver Baxter (1967); Kim (1978); Bradley, Jarrel e Kim (1984); Frank e Goyal (2003b); Warner (1977); Ang, Chua e McConnell (1982); Titman (1984).</w:t>
      </w:r>
    </w:p>
  </w:footnote>
  <w:footnote w:id="3">
    <w:p w:rsidR="00A55574" w:rsidRPr="00A55574" w:rsidRDefault="00A55574" w:rsidP="00A55574">
      <w:pPr>
        <w:pStyle w:val="NotadeRodap"/>
      </w:pPr>
      <w:r w:rsidRPr="00A55574">
        <w:rPr>
          <w:rStyle w:val="Refdenotaderodap"/>
          <w:vertAlign w:val="baseline"/>
        </w:rPr>
        <w:footnoteRef/>
      </w:r>
      <w:r w:rsidRPr="00A55574">
        <w:t xml:space="preserve"> Ver Miller (1977); Abreu (2002); DeAngelo e Masulis (1980); Perobelli e Famá (2003).</w:t>
      </w:r>
    </w:p>
  </w:footnote>
  <w:footnote w:id="4">
    <w:p w:rsidR="00A55574" w:rsidRPr="00A55574" w:rsidRDefault="00A55574" w:rsidP="00A55574">
      <w:pPr>
        <w:pStyle w:val="NotadeRodap"/>
      </w:pPr>
      <w:r w:rsidRPr="00A55574">
        <w:rPr>
          <w:rStyle w:val="Refdenotaderodap"/>
          <w:vertAlign w:val="baseline"/>
        </w:rPr>
        <w:footnoteRef/>
      </w:r>
      <w:r w:rsidRPr="00A55574">
        <w:t xml:space="preserve"> Ver Jensen e Meckling (1976); Harris e Raviv (1991); Jensen (1986); Black e Scholes (1973); McConnell e Servaes (1995);  Kayo e Famá (1997); Black (2000); Myers e Majluf (1984).</w:t>
      </w:r>
    </w:p>
  </w:footnote>
  <w:footnote w:id="5">
    <w:p w:rsidR="00A55574" w:rsidRPr="00A55574" w:rsidRDefault="00A55574" w:rsidP="00A55574">
      <w:pPr>
        <w:pStyle w:val="NotadeRodap"/>
      </w:pPr>
      <w:r w:rsidRPr="00A55574">
        <w:rPr>
          <w:rStyle w:val="Refdenotaderodap"/>
          <w:vertAlign w:val="baseline"/>
        </w:rPr>
        <w:footnoteRef/>
      </w:r>
      <w:r w:rsidRPr="00A55574">
        <w:t xml:space="preserve"> Ver Schimitt (2004); Ross (1977); Myers (1984); Frank e Goyal (2003b); Shyam-Sunder e Myers (1999).</w:t>
      </w:r>
    </w:p>
  </w:footnote>
  <w:footnote w:id="6">
    <w:p w:rsidR="00A55574" w:rsidRPr="00A55574" w:rsidRDefault="00A55574" w:rsidP="00A55574">
      <w:pPr>
        <w:pStyle w:val="NotadeRodap"/>
      </w:pPr>
      <w:r w:rsidRPr="00A55574">
        <w:rPr>
          <w:rStyle w:val="Refdenotaderodap"/>
          <w:vertAlign w:val="baseline"/>
        </w:rPr>
        <w:footnoteRef/>
      </w:r>
      <w:r w:rsidRPr="00A55574">
        <w:t xml:space="preserve"> A microeconometria aborda a teoria e aplicações de métodos de análise em microdados em geral, que podem ser indivíduos, famílias, empresas, municípios, países, etc. Microdados podem ser agrupados na forma de uma seção cruzada (cross section), se referindo ao mesmo ponto no tempo, ou na forma longitudinal (painel de dados ou dados combinados), acompanhando cada uma das unidades da observação durante vários períodos de tempo.</w:t>
      </w:r>
    </w:p>
  </w:footnote>
  <w:footnote w:id="7">
    <w:p w:rsidR="00A55574" w:rsidRPr="00A55574" w:rsidRDefault="00A55574" w:rsidP="00A55574">
      <w:pPr>
        <w:pStyle w:val="NotadeRodap"/>
      </w:pPr>
      <w:r w:rsidRPr="00A55574">
        <w:rPr>
          <w:rStyle w:val="Refdenotaderodap"/>
          <w:vertAlign w:val="baseline"/>
        </w:rPr>
        <w:footnoteRef/>
      </w:r>
      <w:r w:rsidRPr="00A55574">
        <w:t xml:space="preserve"> Para saber mais sobre a metodologia de dados em painel ver Wooldridge (2002); Klevmarken (1989); Baltagi (2005); Hsiao (2003); Blundell (1988); Klevmarken (1989).</w:t>
      </w:r>
    </w:p>
  </w:footnote>
  <w:footnote w:id="8">
    <w:p w:rsidR="00A55574" w:rsidRPr="00A55574" w:rsidRDefault="00A55574" w:rsidP="00A55574">
      <w:pPr>
        <w:pStyle w:val="NotadeRodap"/>
      </w:pPr>
      <w:r w:rsidRPr="00A55574">
        <w:rPr>
          <w:rStyle w:val="Refdenotaderodap"/>
          <w:vertAlign w:val="baseline"/>
        </w:rPr>
        <w:footnoteRef/>
      </w:r>
      <w:r w:rsidRPr="00A55574">
        <w:t xml:space="preserve"> Maiores detalhes em Greene (2003).</w:t>
      </w:r>
    </w:p>
  </w:footnote>
  <w:footnote w:id="9">
    <w:p w:rsidR="00A55574" w:rsidRPr="00A55574" w:rsidRDefault="00A55574" w:rsidP="00A55574">
      <w:pPr>
        <w:pStyle w:val="NotadeRodap"/>
      </w:pPr>
      <w:r w:rsidRPr="00A55574">
        <w:rPr>
          <w:rStyle w:val="Refdenotaderodap"/>
          <w:vertAlign w:val="baseline"/>
        </w:rPr>
        <w:footnoteRef/>
      </w:r>
      <w:r w:rsidRPr="00A55574">
        <w:t xml:space="preserve"> Para maiores detalhes sobre painéis não balanceados e problemas de seleção ver </w:t>
      </w:r>
      <w:r w:rsidRPr="00A55574">
        <w:rPr>
          <w:szCs w:val="18"/>
        </w:rPr>
        <w:t>Wooldridge (2002).</w:t>
      </w:r>
    </w:p>
  </w:footnote>
  <w:footnote w:id="10">
    <w:p w:rsidR="00A55574" w:rsidRPr="00A55574" w:rsidRDefault="00A55574" w:rsidP="00A55574">
      <w:pPr>
        <w:pStyle w:val="NotadeRodap"/>
      </w:pPr>
      <w:r w:rsidRPr="00A55574">
        <w:rPr>
          <w:rStyle w:val="Refdenotaderodap"/>
          <w:vertAlign w:val="baseline"/>
        </w:rPr>
        <w:footnoteRef/>
      </w:r>
      <w:r w:rsidRPr="00A55574">
        <w:t xml:space="preserve"> O Índice Bovespa (Ibovespa) é um dos mais importantes indicadores de desempenho médio das cotações das ações negociadas na Bolsa de Valores de São Paulo e é formado pelas ações com maior volume negociado nos últimos meses. Seu valor representa a quantia, em moeda corrente, de uma carteira teórica de ações, constituída em 2 de janeiro de 1968, a partir de uma aplicação hipotética.</w:t>
      </w:r>
    </w:p>
  </w:footnote>
  <w:footnote w:id="11">
    <w:p w:rsidR="00A55574" w:rsidRPr="00A55574" w:rsidRDefault="00A55574" w:rsidP="00A55574">
      <w:pPr>
        <w:pStyle w:val="NotadeRodap"/>
      </w:pPr>
      <w:r w:rsidRPr="00A55574">
        <w:rPr>
          <w:rStyle w:val="Refdenotaderodap"/>
          <w:vertAlign w:val="baseline"/>
        </w:rPr>
        <w:footnoteRef/>
      </w:r>
      <w:r w:rsidRPr="00A55574">
        <w:t xml:space="preserve"> Kayo e Famá (1997) afirmam que os custos de agência do capital próprio guardam estreita relação com o fluxo de caixa livre. Assim, quanto maior a lucratividade da empresa e o fluxo de caixa livre, mais discricionário seria o comportamento do gestor e, portanto, o uso de dívidas poderia ser um atenuante de tal problema (JENSEN, 1986). Contudo, autores como Fama e French (2002), Rajan e Zingales (1995) e outros encontram relação negativa entre o endividamento e a rentabilidade da empresa, em consonância com a Pecking Order e em oposição à teoria do trade-off.</w:t>
      </w:r>
    </w:p>
  </w:footnote>
  <w:footnote w:id="12">
    <w:p w:rsidR="00A55574" w:rsidRPr="00A55574" w:rsidRDefault="00A55574" w:rsidP="00A55574">
      <w:pPr>
        <w:pStyle w:val="NotadeRodap"/>
      </w:pPr>
      <w:r w:rsidRPr="00A55574">
        <w:rPr>
          <w:rStyle w:val="Refdenotaderodap"/>
          <w:vertAlign w:val="baseline"/>
        </w:rPr>
        <w:footnoteRef/>
      </w:r>
      <w:r w:rsidRPr="00A55574">
        <w:t xml:space="preserve"> Tratando-se da abordagem da fonte dos recursos, deve-se considerar que as empresas brasileiras possuem duas principais formas de acesso a crédito, o mercado de colocação privada de dívida e o de ofertas públicas de títulos de dívida.</w:t>
      </w:r>
    </w:p>
  </w:footnote>
  <w:footnote w:id="13">
    <w:p w:rsidR="00A55574" w:rsidRPr="00A55574" w:rsidRDefault="00A55574" w:rsidP="00A55574">
      <w:pPr>
        <w:pStyle w:val="NotadeRodap"/>
      </w:pPr>
      <w:r w:rsidRPr="00A55574">
        <w:rPr>
          <w:rStyle w:val="Refdenotaderodap"/>
          <w:vertAlign w:val="baseline"/>
        </w:rPr>
        <w:footnoteRef/>
      </w:r>
      <w:r w:rsidRPr="00A55574">
        <w:t xml:space="preserve"> Adaptado de Terra (2005), que define o nível de alavancagem como sendo a razão entre o montante de dívidas de longo prazo e o patrimônio líquido da empresa.</w:t>
      </w:r>
    </w:p>
  </w:footnote>
  <w:footnote w:id="14">
    <w:p w:rsidR="00A55574" w:rsidRPr="00DF051F" w:rsidRDefault="00A55574" w:rsidP="00DF051F">
      <w:pPr>
        <w:pStyle w:val="NotadeRodap"/>
      </w:pPr>
      <w:r w:rsidRPr="00DF051F">
        <w:rPr>
          <w:rStyle w:val="Refdenotaderodap"/>
          <w:vertAlign w:val="baseline"/>
        </w:rPr>
        <w:footnoteRef/>
      </w:r>
      <w:r w:rsidRPr="00DF051F">
        <w:t xml:space="preserve"> Os sinais esperados relativos à maturidade se referem, respectivamente, à variável MAT1 (dívida de longo prazo) e a MAT2 (dívida de curto prazo). Da mesma forma, os sinais esperados para a fonte de financiamento se referem a FIN1 (dívida pública) e a FIN2 (dívida privada).</w:t>
      </w:r>
    </w:p>
  </w:footnote>
  <w:footnote w:id="15">
    <w:p w:rsidR="00A55574" w:rsidRPr="00DF051F" w:rsidRDefault="00A55574" w:rsidP="00DF051F">
      <w:pPr>
        <w:pStyle w:val="NotadeRodap"/>
      </w:pPr>
      <w:r w:rsidRPr="00DF051F">
        <w:rPr>
          <w:rStyle w:val="Refdenotaderodap"/>
          <w:vertAlign w:val="baseline"/>
        </w:rPr>
        <w:footnoteRef/>
      </w:r>
      <w:r w:rsidRPr="00DF051F">
        <w:t xml:space="preserve"> O sinal “-” indica que ainda não foi encontrada base na literatura para prever o comportamento da respectiva variável.</w:t>
      </w:r>
    </w:p>
  </w:footnote>
  <w:footnote w:id="16">
    <w:p w:rsidR="00A55574" w:rsidRPr="00DF051F" w:rsidRDefault="00A55574" w:rsidP="00DF051F">
      <w:pPr>
        <w:pStyle w:val="NotadeRodap"/>
      </w:pPr>
      <w:r w:rsidRPr="00DF051F">
        <w:rPr>
          <w:rStyle w:val="Refdenotaderodap"/>
          <w:vertAlign w:val="baseline"/>
        </w:rPr>
        <w:footnoteRef/>
      </w:r>
      <w:r w:rsidRPr="00DF051F">
        <w:t xml:space="preserve"> Embora as três sejam indicadores de uma mesma característica da firma, existem peculiaridades que as distinguem, principalmente TAM2, das demais. Por exemplo, considerar as receitas sem considerar a estrutura de custos impede a verificação do volume de financiamento próprio e de ativos adicionado à empresa a cada exercício.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74" w:rsidRDefault="00A5557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74" w:rsidRDefault="00A55574">
    <w:pPr>
      <w:pStyle w:val="Cabealho"/>
      <w:jc w:val="right"/>
    </w:pPr>
  </w:p>
  <w:p w:rsidR="00A55574" w:rsidRDefault="00A5557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74" w:rsidRDefault="00A55574">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9649"/>
      <w:docPartObj>
        <w:docPartGallery w:val="Page Numbers (Top of Page)"/>
        <w:docPartUnique/>
      </w:docPartObj>
    </w:sdtPr>
    <w:sdtContent>
      <w:p w:rsidR="00A55574" w:rsidRDefault="00A55574">
        <w:pPr>
          <w:pStyle w:val="Cabealho"/>
          <w:jc w:val="right"/>
        </w:pPr>
        <w:fldSimple w:instr=" PAGE   \* MERGEFORMAT ">
          <w:r w:rsidR="00DF051F">
            <w:rPr>
              <w:noProof/>
            </w:rPr>
            <w:t>1</w:t>
          </w:r>
        </w:fldSimple>
      </w:p>
    </w:sdtContent>
  </w:sdt>
  <w:p w:rsidR="00A55574" w:rsidRDefault="00A55574" w:rsidP="00642E84">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74" w:rsidRDefault="00A55574" w:rsidP="009A78C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74" w:rsidRDefault="00A55574">
    <w:pPr>
      <w:pStyle w:val="Cabealho"/>
      <w:jc w:val="right"/>
    </w:pPr>
    <w:fldSimple w:instr=" PAGE   \* MERGEFORMAT ">
      <w:r w:rsidR="00DF051F">
        <w:rPr>
          <w:noProof/>
        </w:rPr>
        <w:t>19</w:t>
      </w:r>
    </w:fldSimple>
  </w:p>
  <w:p w:rsidR="00A55574" w:rsidRDefault="00A55574" w:rsidP="00642E8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D8B03E"/>
    <w:lvl w:ilvl="0">
      <w:start w:val="1"/>
      <w:numFmt w:val="decimal"/>
      <w:lvlText w:val="%1."/>
      <w:lvlJc w:val="left"/>
      <w:pPr>
        <w:tabs>
          <w:tab w:val="num" w:pos="1492"/>
        </w:tabs>
        <w:ind w:left="1492" w:hanging="360"/>
      </w:pPr>
    </w:lvl>
  </w:abstractNum>
  <w:abstractNum w:abstractNumId="1">
    <w:nsid w:val="FFFFFF7D"/>
    <w:multiLevelType w:val="singleLevel"/>
    <w:tmpl w:val="D5C22362"/>
    <w:lvl w:ilvl="0">
      <w:start w:val="1"/>
      <w:numFmt w:val="decimal"/>
      <w:lvlText w:val="%1."/>
      <w:lvlJc w:val="left"/>
      <w:pPr>
        <w:tabs>
          <w:tab w:val="num" w:pos="1209"/>
        </w:tabs>
        <w:ind w:left="1209" w:hanging="360"/>
      </w:pPr>
    </w:lvl>
  </w:abstractNum>
  <w:abstractNum w:abstractNumId="2">
    <w:nsid w:val="FFFFFF7E"/>
    <w:multiLevelType w:val="singleLevel"/>
    <w:tmpl w:val="A0CC2272"/>
    <w:lvl w:ilvl="0">
      <w:start w:val="1"/>
      <w:numFmt w:val="decimal"/>
      <w:lvlText w:val="%1."/>
      <w:lvlJc w:val="left"/>
      <w:pPr>
        <w:tabs>
          <w:tab w:val="num" w:pos="926"/>
        </w:tabs>
        <w:ind w:left="926" w:hanging="360"/>
      </w:pPr>
    </w:lvl>
  </w:abstractNum>
  <w:abstractNum w:abstractNumId="3">
    <w:nsid w:val="FFFFFF7F"/>
    <w:multiLevelType w:val="singleLevel"/>
    <w:tmpl w:val="BB80C1CC"/>
    <w:lvl w:ilvl="0">
      <w:start w:val="1"/>
      <w:numFmt w:val="decimal"/>
      <w:lvlText w:val="%1."/>
      <w:lvlJc w:val="left"/>
      <w:pPr>
        <w:tabs>
          <w:tab w:val="num" w:pos="643"/>
        </w:tabs>
        <w:ind w:left="643" w:hanging="360"/>
      </w:pPr>
    </w:lvl>
  </w:abstractNum>
  <w:abstractNum w:abstractNumId="4">
    <w:nsid w:val="FFFFFF80"/>
    <w:multiLevelType w:val="singleLevel"/>
    <w:tmpl w:val="00AE86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9007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3AEA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E635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904076"/>
    <w:lvl w:ilvl="0">
      <w:start w:val="1"/>
      <w:numFmt w:val="decimal"/>
      <w:lvlText w:val="%1."/>
      <w:lvlJc w:val="left"/>
      <w:pPr>
        <w:tabs>
          <w:tab w:val="num" w:pos="360"/>
        </w:tabs>
        <w:ind w:left="360" w:hanging="360"/>
      </w:pPr>
    </w:lvl>
  </w:abstractNum>
  <w:abstractNum w:abstractNumId="9">
    <w:nsid w:val="FFFFFF89"/>
    <w:multiLevelType w:val="singleLevel"/>
    <w:tmpl w:val="13F266FE"/>
    <w:lvl w:ilvl="0">
      <w:start w:val="1"/>
      <w:numFmt w:val="bullet"/>
      <w:lvlText w:val=""/>
      <w:lvlJc w:val="left"/>
      <w:pPr>
        <w:tabs>
          <w:tab w:val="num" w:pos="360"/>
        </w:tabs>
        <w:ind w:left="360" w:hanging="360"/>
      </w:pPr>
      <w:rPr>
        <w:rFonts w:ascii="Symbol" w:hAnsi="Symbol" w:hint="default"/>
      </w:rPr>
    </w:lvl>
  </w:abstractNum>
  <w:abstractNum w:abstractNumId="10">
    <w:nsid w:val="192C610F"/>
    <w:multiLevelType w:val="hybridMultilevel"/>
    <w:tmpl w:val="6A12ACF4"/>
    <w:lvl w:ilvl="0" w:tplc="DE121C2C">
      <w:start w:val="1"/>
      <w:numFmt w:val="lowerRoman"/>
      <w:lvlText w:val="%1)"/>
      <w:lvlJc w:val="right"/>
      <w:pPr>
        <w:tabs>
          <w:tab w:val="num" w:pos="432"/>
        </w:tabs>
        <w:ind w:left="432" w:hanging="72"/>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EE96C8A"/>
    <w:multiLevelType w:val="multilevel"/>
    <w:tmpl w:val="6B783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1974F0"/>
    <w:multiLevelType w:val="hybridMultilevel"/>
    <w:tmpl w:val="E60E55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D2F6666"/>
    <w:multiLevelType w:val="hybridMultilevel"/>
    <w:tmpl w:val="5066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6E69A5"/>
    <w:multiLevelType w:val="multilevel"/>
    <w:tmpl w:val="BA34E4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F307362"/>
    <w:multiLevelType w:val="hybridMultilevel"/>
    <w:tmpl w:val="AE209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FC95DB2"/>
    <w:multiLevelType w:val="multilevel"/>
    <w:tmpl w:val="6A12ACF4"/>
    <w:lvl w:ilvl="0">
      <w:start w:val="1"/>
      <w:numFmt w:val="lowerRoman"/>
      <w:lvlText w:val="%1)"/>
      <w:lvlJc w:val="right"/>
      <w:pPr>
        <w:tabs>
          <w:tab w:val="num" w:pos="432"/>
        </w:tabs>
        <w:ind w:left="432"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B25115"/>
    <w:multiLevelType w:val="hybridMultilevel"/>
    <w:tmpl w:val="666CC16E"/>
    <w:lvl w:ilvl="0" w:tplc="5A8AEB24">
      <w:start w:val="1"/>
      <w:numFmt w:val="lowerRoman"/>
      <w:lvlText w:val="%1)"/>
      <w:lvlJc w:val="right"/>
      <w:pPr>
        <w:tabs>
          <w:tab w:val="num" w:pos="432"/>
        </w:tabs>
        <w:ind w:left="432" w:hanging="72"/>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6"/>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activeWritingStyle w:appName="MSWord" w:lang="pt-BR" w:vendorID="1" w:dllVersion="513" w:checkStyle="1"/>
  <w:stylePaneFormatFilter w:val="1F08"/>
  <w:defaultTabStop w:val="708"/>
  <w:hyphenationZone w:val="425"/>
  <w:drawingGridHorizontalSpacing w:val="120"/>
  <w:displayHorizontalDrawingGridEvery w:val="2"/>
  <w:characterSpacingControl w:val="doNotCompress"/>
  <w:hdrShapeDefaults>
    <o:shapedefaults v:ext="edit" spidmax="96258">
      <o:colormru v:ext="edit" colors="#6f6c00"/>
      <o:colormenu v:ext="edit" fillcolor="none"/>
    </o:shapedefaults>
  </w:hdrShapeDefaults>
  <w:footnotePr>
    <w:footnote w:id="0"/>
    <w:footnote w:id="1"/>
  </w:footnotePr>
  <w:endnotePr>
    <w:pos w:val="sectEnd"/>
    <w:endnote w:id="0"/>
    <w:endnote w:id="1"/>
  </w:endnotePr>
  <w:compat/>
  <w:rsids>
    <w:rsidRoot w:val="00BE1A43"/>
    <w:rsid w:val="000004DA"/>
    <w:rsid w:val="00000AFD"/>
    <w:rsid w:val="00001023"/>
    <w:rsid w:val="00002EED"/>
    <w:rsid w:val="000038AC"/>
    <w:rsid w:val="00006E9F"/>
    <w:rsid w:val="000075E8"/>
    <w:rsid w:val="0001068E"/>
    <w:rsid w:val="0001122C"/>
    <w:rsid w:val="00011A28"/>
    <w:rsid w:val="000122DA"/>
    <w:rsid w:val="00012602"/>
    <w:rsid w:val="00016DBD"/>
    <w:rsid w:val="00017C4F"/>
    <w:rsid w:val="0002017C"/>
    <w:rsid w:val="00020C45"/>
    <w:rsid w:val="00020D37"/>
    <w:rsid w:val="00026368"/>
    <w:rsid w:val="000265AB"/>
    <w:rsid w:val="000277A8"/>
    <w:rsid w:val="00027C7A"/>
    <w:rsid w:val="0003063F"/>
    <w:rsid w:val="000318EA"/>
    <w:rsid w:val="000335BF"/>
    <w:rsid w:val="00033B51"/>
    <w:rsid w:val="0003499A"/>
    <w:rsid w:val="00034A37"/>
    <w:rsid w:val="00035367"/>
    <w:rsid w:val="00035A7D"/>
    <w:rsid w:val="00035B7A"/>
    <w:rsid w:val="000363DC"/>
    <w:rsid w:val="00040654"/>
    <w:rsid w:val="00042FE7"/>
    <w:rsid w:val="00044661"/>
    <w:rsid w:val="000446F2"/>
    <w:rsid w:val="000451AE"/>
    <w:rsid w:val="000454B2"/>
    <w:rsid w:val="0004567E"/>
    <w:rsid w:val="000510A1"/>
    <w:rsid w:val="0005329A"/>
    <w:rsid w:val="00053974"/>
    <w:rsid w:val="00054AB4"/>
    <w:rsid w:val="00055F95"/>
    <w:rsid w:val="00063561"/>
    <w:rsid w:val="00064F6D"/>
    <w:rsid w:val="000660C5"/>
    <w:rsid w:val="000660E3"/>
    <w:rsid w:val="00066313"/>
    <w:rsid w:val="00066D76"/>
    <w:rsid w:val="000672EB"/>
    <w:rsid w:val="00077066"/>
    <w:rsid w:val="000770D8"/>
    <w:rsid w:val="00077978"/>
    <w:rsid w:val="00081E7B"/>
    <w:rsid w:val="00082AB6"/>
    <w:rsid w:val="00082F4B"/>
    <w:rsid w:val="0008355E"/>
    <w:rsid w:val="00083B9A"/>
    <w:rsid w:val="00085836"/>
    <w:rsid w:val="00087463"/>
    <w:rsid w:val="000912D3"/>
    <w:rsid w:val="00092AF2"/>
    <w:rsid w:val="00093CD1"/>
    <w:rsid w:val="00095599"/>
    <w:rsid w:val="00096961"/>
    <w:rsid w:val="0009757F"/>
    <w:rsid w:val="000A2231"/>
    <w:rsid w:val="000A2DD2"/>
    <w:rsid w:val="000A6000"/>
    <w:rsid w:val="000A7052"/>
    <w:rsid w:val="000A76E7"/>
    <w:rsid w:val="000B13F4"/>
    <w:rsid w:val="000B1729"/>
    <w:rsid w:val="000B237C"/>
    <w:rsid w:val="000B386E"/>
    <w:rsid w:val="000B4292"/>
    <w:rsid w:val="000B4974"/>
    <w:rsid w:val="000B7C31"/>
    <w:rsid w:val="000B7DC2"/>
    <w:rsid w:val="000C2BE3"/>
    <w:rsid w:val="000C2D03"/>
    <w:rsid w:val="000C3F15"/>
    <w:rsid w:val="000C51BC"/>
    <w:rsid w:val="000C7634"/>
    <w:rsid w:val="000C7E46"/>
    <w:rsid w:val="000D1352"/>
    <w:rsid w:val="000D208B"/>
    <w:rsid w:val="000D6AB4"/>
    <w:rsid w:val="000D72B1"/>
    <w:rsid w:val="000E03C9"/>
    <w:rsid w:val="000E0E58"/>
    <w:rsid w:val="000E10E5"/>
    <w:rsid w:val="000E1B20"/>
    <w:rsid w:val="000E1E1B"/>
    <w:rsid w:val="000E30E5"/>
    <w:rsid w:val="000E363E"/>
    <w:rsid w:val="000E3C24"/>
    <w:rsid w:val="000E4C21"/>
    <w:rsid w:val="000E4FCB"/>
    <w:rsid w:val="000E714D"/>
    <w:rsid w:val="000E7233"/>
    <w:rsid w:val="000F0562"/>
    <w:rsid w:val="000F06E4"/>
    <w:rsid w:val="000F0BA5"/>
    <w:rsid w:val="000F146A"/>
    <w:rsid w:val="000F21A0"/>
    <w:rsid w:val="000F36C8"/>
    <w:rsid w:val="000F5D6E"/>
    <w:rsid w:val="000F6A32"/>
    <w:rsid w:val="000F6BAE"/>
    <w:rsid w:val="000F7A6C"/>
    <w:rsid w:val="00101404"/>
    <w:rsid w:val="00101EF5"/>
    <w:rsid w:val="0010306B"/>
    <w:rsid w:val="001038A0"/>
    <w:rsid w:val="0010417C"/>
    <w:rsid w:val="001061B8"/>
    <w:rsid w:val="00106400"/>
    <w:rsid w:val="00106C77"/>
    <w:rsid w:val="0010796F"/>
    <w:rsid w:val="00111A19"/>
    <w:rsid w:val="001125A9"/>
    <w:rsid w:val="00112C03"/>
    <w:rsid w:val="001201C2"/>
    <w:rsid w:val="00120AF6"/>
    <w:rsid w:val="00121D5F"/>
    <w:rsid w:val="00122CCF"/>
    <w:rsid w:val="00122E9E"/>
    <w:rsid w:val="00123DD4"/>
    <w:rsid w:val="00124CBE"/>
    <w:rsid w:val="001268CA"/>
    <w:rsid w:val="001324E5"/>
    <w:rsid w:val="00132CC6"/>
    <w:rsid w:val="00132D21"/>
    <w:rsid w:val="00133DB4"/>
    <w:rsid w:val="00135693"/>
    <w:rsid w:val="00140372"/>
    <w:rsid w:val="0014070A"/>
    <w:rsid w:val="00140BA7"/>
    <w:rsid w:val="00140F5E"/>
    <w:rsid w:val="001439ED"/>
    <w:rsid w:val="00145258"/>
    <w:rsid w:val="001452C3"/>
    <w:rsid w:val="00145611"/>
    <w:rsid w:val="00146222"/>
    <w:rsid w:val="00147C58"/>
    <w:rsid w:val="00150185"/>
    <w:rsid w:val="0015018B"/>
    <w:rsid w:val="001501B6"/>
    <w:rsid w:val="00150432"/>
    <w:rsid w:val="00150D6A"/>
    <w:rsid w:val="00152917"/>
    <w:rsid w:val="00156E40"/>
    <w:rsid w:val="00157565"/>
    <w:rsid w:val="00157FB2"/>
    <w:rsid w:val="00161225"/>
    <w:rsid w:val="001619E7"/>
    <w:rsid w:val="00161C5C"/>
    <w:rsid w:val="00163833"/>
    <w:rsid w:val="0016650F"/>
    <w:rsid w:val="00166B88"/>
    <w:rsid w:val="00166C4B"/>
    <w:rsid w:val="001675D6"/>
    <w:rsid w:val="00167857"/>
    <w:rsid w:val="00175AE7"/>
    <w:rsid w:val="0018093B"/>
    <w:rsid w:val="00181720"/>
    <w:rsid w:val="0018199A"/>
    <w:rsid w:val="00181C84"/>
    <w:rsid w:val="00182BED"/>
    <w:rsid w:val="00183B75"/>
    <w:rsid w:val="00186755"/>
    <w:rsid w:val="001869D0"/>
    <w:rsid w:val="00190FD5"/>
    <w:rsid w:val="00191250"/>
    <w:rsid w:val="00191380"/>
    <w:rsid w:val="001927C2"/>
    <w:rsid w:val="00193767"/>
    <w:rsid w:val="00193BD0"/>
    <w:rsid w:val="00196A44"/>
    <w:rsid w:val="00196CB7"/>
    <w:rsid w:val="001A524E"/>
    <w:rsid w:val="001A5542"/>
    <w:rsid w:val="001A607F"/>
    <w:rsid w:val="001A61AC"/>
    <w:rsid w:val="001A745E"/>
    <w:rsid w:val="001A7721"/>
    <w:rsid w:val="001A7E02"/>
    <w:rsid w:val="001B24F5"/>
    <w:rsid w:val="001B6BB5"/>
    <w:rsid w:val="001B7DD4"/>
    <w:rsid w:val="001C043F"/>
    <w:rsid w:val="001C0469"/>
    <w:rsid w:val="001C62A5"/>
    <w:rsid w:val="001C637D"/>
    <w:rsid w:val="001D2E56"/>
    <w:rsid w:val="001D38AF"/>
    <w:rsid w:val="001D5D72"/>
    <w:rsid w:val="001D6716"/>
    <w:rsid w:val="001E025D"/>
    <w:rsid w:val="001E3651"/>
    <w:rsid w:val="001E58FE"/>
    <w:rsid w:val="001E6197"/>
    <w:rsid w:val="001E7E57"/>
    <w:rsid w:val="001E7F96"/>
    <w:rsid w:val="001F0D37"/>
    <w:rsid w:val="001F1206"/>
    <w:rsid w:val="001F1BD3"/>
    <w:rsid w:val="001F203B"/>
    <w:rsid w:val="001F425B"/>
    <w:rsid w:val="001F71BE"/>
    <w:rsid w:val="001F75ED"/>
    <w:rsid w:val="00201015"/>
    <w:rsid w:val="0020339C"/>
    <w:rsid w:val="00203A67"/>
    <w:rsid w:val="00203AF9"/>
    <w:rsid w:val="0020724D"/>
    <w:rsid w:val="00211B74"/>
    <w:rsid w:val="0021223B"/>
    <w:rsid w:val="00213130"/>
    <w:rsid w:val="002133AC"/>
    <w:rsid w:val="002156CD"/>
    <w:rsid w:val="00215FFF"/>
    <w:rsid w:val="00217741"/>
    <w:rsid w:val="00217A0B"/>
    <w:rsid w:val="00221A32"/>
    <w:rsid w:val="0022247B"/>
    <w:rsid w:val="00223A3D"/>
    <w:rsid w:val="00226969"/>
    <w:rsid w:val="002276BC"/>
    <w:rsid w:val="00227CBC"/>
    <w:rsid w:val="00227D92"/>
    <w:rsid w:val="00230473"/>
    <w:rsid w:val="00230D85"/>
    <w:rsid w:val="002312DF"/>
    <w:rsid w:val="00232C44"/>
    <w:rsid w:val="00233502"/>
    <w:rsid w:val="00235F78"/>
    <w:rsid w:val="00236199"/>
    <w:rsid w:val="002404C6"/>
    <w:rsid w:val="0024177B"/>
    <w:rsid w:val="0024273B"/>
    <w:rsid w:val="00245C4D"/>
    <w:rsid w:val="00246E8C"/>
    <w:rsid w:val="002475E0"/>
    <w:rsid w:val="002479AF"/>
    <w:rsid w:val="00247CD8"/>
    <w:rsid w:val="00250A9B"/>
    <w:rsid w:val="00251641"/>
    <w:rsid w:val="00251999"/>
    <w:rsid w:val="002520EE"/>
    <w:rsid w:val="0025346F"/>
    <w:rsid w:val="002543BC"/>
    <w:rsid w:val="0025440C"/>
    <w:rsid w:val="00255BD2"/>
    <w:rsid w:val="00256A66"/>
    <w:rsid w:val="00256A91"/>
    <w:rsid w:val="00256B72"/>
    <w:rsid w:val="00263AB0"/>
    <w:rsid w:val="00271088"/>
    <w:rsid w:val="00271D82"/>
    <w:rsid w:val="00272993"/>
    <w:rsid w:val="002734B0"/>
    <w:rsid w:val="0027476D"/>
    <w:rsid w:val="00275BE9"/>
    <w:rsid w:val="00277F48"/>
    <w:rsid w:val="00280340"/>
    <w:rsid w:val="002810D8"/>
    <w:rsid w:val="00281BD1"/>
    <w:rsid w:val="0028265E"/>
    <w:rsid w:val="0028440C"/>
    <w:rsid w:val="0028498C"/>
    <w:rsid w:val="002860FD"/>
    <w:rsid w:val="00286648"/>
    <w:rsid w:val="0028749C"/>
    <w:rsid w:val="0029475A"/>
    <w:rsid w:val="002949F3"/>
    <w:rsid w:val="00295E4F"/>
    <w:rsid w:val="00297B8B"/>
    <w:rsid w:val="002A0DC1"/>
    <w:rsid w:val="002A30D2"/>
    <w:rsid w:val="002A3D43"/>
    <w:rsid w:val="002A4583"/>
    <w:rsid w:val="002A48BF"/>
    <w:rsid w:val="002A4B3A"/>
    <w:rsid w:val="002A5402"/>
    <w:rsid w:val="002A6F94"/>
    <w:rsid w:val="002A7E2D"/>
    <w:rsid w:val="002B263B"/>
    <w:rsid w:val="002B3244"/>
    <w:rsid w:val="002B6D17"/>
    <w:rsid w:val="002B7214"/>
    <w:rsid w:val="002C1615"/>
    <w:rsid w:val="002C169E"/>
    <w:rsid w:val="002C4417"/>
    <w:rsid w:val="002C588C"/>
    <w:rsid w:val="002C717B"/>
    <w:rsid w:val="002D1062"/>
    <w:rsid w:val="002D1DEC"/>
    <w:rsid w:val="002D23A2"/>
    <w:rsid w:val="002D24BC"/>
    <w:rsid w:val="002D2E55"/>
    <w:rsid w:val="002D3DD5"/>
    <w:rsid w:val="002D4110"/>
    <w:rsid w:val="002D4222"/>
    <w:rsid w:val="002D48B7"/>
    <w:rsid w:val="002D598B"/>
    <w:rsid w:val="002D5CB0"/>
    <w:rsid w:val="002D690D"/>
    <w:rsid w:val="002E0C9D"/>
    <w:rsid w:val="002E1286"/>
    <w:rsid w:val="002E19B6"/>
    <w:rsid w:val="002E2713"/>
    <w:rsid w:val="002E57C9"/>
    <w:rsid w:val="002E5A0E"/>
    <w:rsid w:val="002F076B"/>
    <w:rsid w:val="002F14F4"/>
    <w:rsid w:val="002F4B8C"/>
    <w:rsid w:val="002F6D69"/>
    <w:rsid w:val="00303203"/>
    <w:rsid w:val="00303552"/>
    <w:rsid w:val="00303F2D"/>
    <w:rsid w:val="00304C23"/>
    <w:rsid w:val="00305357"/>
    <w:rsid w:val="00305915"/>
    <w:rsid w:val="00311D66"/>
    <w:rsid w:val="003126B1"/>
    <w:rsid w:val="00312AB5"/>
    <w:rsid w:val="0031469C"/>
    <w:rsid w:val="00314757"/>
    <w:rsid w:val="003169E3"/>
    <w:rsid w:val="003171FA"/>
    <w:rsid w:val="00320A55"/>
    <w:rsid w:val="00321828"/>
    <w:rsid w:val="0032219B"/>
    <w:rsid w:val="00322658"/>
    <w:rsid w:val="0032325B"/>
    <w:rsid w:val="0032513D"/>
    <w:rsid w:val="003258E9"/>
    <w:rsid w:val="00327C4B"/>
    <w:rsid w:val="00330B5D"/>
    <w:rsid w:val="0033104D"/>
    <w:rsid w:val="0033189B"/>
    <w:rsid w:val="003346FF"/>
    <w:rsid w:val="00334AFD"/>
    <w:rsid w:val="00334B01"/>
    <w:rsid w:val="0033596E"/>
    <w:rsid w:val="00335FDD"/>
    <w:rsid w:val="00336CB4"/>
    <w:rsid w:val="003401CD"/>
    <w:rsid w:val="003406EF"/>
    <w:rsid w:val="00340F85"/>
    <w:rsid w:val="003410D4"/>
    <w:rsid w:val="00341516"/>
    <w:rsid w:val="00341F7C"/>
    <w:rsid w:val="00343056"/>
    <w:rsid w:val="00343A0E"/>
    <w:rsid w:val="00345229"/>
    <w:rsid w:val="00345C3B"/>
    <w:rsid w:val="00347341"/>
    <w:rsid w:val="0034756B"/>
    <w:rsid w:val="003503B7"/>
    <w:rsid w:val="0035060B"/>
    <w:rsid w:val="00352885"/>
    <w:rsid w:val="003544B3"/>
    <w:rsid w:val="0035655E"/>
    <w:rsid w:val="003579C2"/>
    <w:rsid w:val="00363CB4"/>
    <w:rsid w:val="00364C76"/>
    <w:rsid w:val="00365C48"/>
    <w:rsid w:val="00366636"/>
    <w:rsid w:val="00367346"/>
    <w:rsid w:val="00367D8B"/>
    <w:rsid w:val="0037556A"/>
    <w:rsid w:val="0037635E"/>
    <w:rsid w:val="00376CC1"/>
    <w:rsid w:val="003778C3"/>
    <w:rsid w:val="00377A21"/>
    <w:rsid w:val="00382902"/>
    <w:rsid w:val="00383339"/>
    <w:rsid w:val="003847C4"/>
    <w:rsid w:val="00384BE0"/>
    <w:rsid w:val="0038546B"/>
    <w:rsid w:val="00386CA9"/>
    <w:rsid w:val="00387033"/>
    <w:rsid w:val="003905E7"/>
    <w:rsid w:val="00390EB0"/>
    <w:rsid w:val="00391F20"/>
    <w:rsid w:val="00393A9B"/>
    <w:rsid w:val="003947EA"/>
    <w:rsid w:val="00394A03"/>
    <w:rsid w:val="00394F8D"/>
    <w:rsid w:val="00396564"/>
    <w:rsid w:val="00396707"/>
    <w:rsid w:val="00396DF7"/>
    <w:rsid w:val="00397892"/>
    <w:rsid w:val="003A1548"/>
    <w:rsid w:val="003A17DA"/>
    <w:rsid w:val="003A1A55"/>
    <w:rsid w:val="003A1B05"/>
    <w:rsid w:val="003A2ACF"/>
    <w:rsid w:val="003A38D6"/>
    <w:rsid w:val="003A5481"/>
    <w:rsid w:val="003A696B"/>
    <w:rsid w:val="003A76DB"/>
    <w:rsid w:val="003B1ED2"/>
    <w:rsid w:val="003B23E7"/>
    <w:rsid w:val="003B5021"/>
    <w:rsid w:val="003B5220"/>
    <w:rsid w:val="003B5270"/>
    <w:rsid w:val="003B732B"/>
    <w:rsid w:val="003B7488"/>
    <w:rsid w:val="003B7FC6"/>
    <w:rsid w:val="003C2276"/>
    <w:rsid w:val="003C22B0"/>
    <w:rsid w:val="003C2438"/>
    <w:rsid w:val="003C4888"/>
    <w:rsid w:val="003C5F16"/>
    <w:rsid w:val="003C6EB5"/>
    <w:rsid w:val="003C7666"/>
    <w:rsid w:val="003D2540"/>
    <w:rsid w:val="003D284F"/>
    <w:rsid w:val="003D2BE3"/>
    <w:rsid w:val="003D6AC7"/>
    <w:rsid w:val="003D79AB"/>
    <w:rsid w:val="003D7D24"/>
    <w:rsid w:val="003E04D7"/>
    <w:rsid w:val="003E0D53"/>
    <w:rsid w:val="003E363B"/>
    <w:rsid w:val="003E4007"/>
    <w:rsid w:val="003E49B3"/>
    <w:rsid w:val="003E67EB"/>
    <w:rsid w:val="003F28DA"/>
    <w:rsid w:val="003F3793"/>
    <w:rsid w:val="003F3C1D"/>
    <w:rsid w:val="003F421F"/>
    <w:rsid w:val="003F7C00"/>
    <w:rsid w:val="00404614"/>
    <w:rsid w:val="00404692"/>
    <w:rsid w:val="0040528D"/>
    <w:rsid w:val="0040543A"/>
    <w:rsid w:val="00405A84"/>
    <w:rsid w:val="004070AC"/>
    <w:rsid w:val="0041075F"/>
    <w:rsid w:val="00411E94"/>
    <w:rsid w:val="00413215"/>
    <w:rsid w:val="00413C94"/>
    <w:rsid w:val="004143D7"/>
    <w:rsid w:val="00416713"/>
    <w:rsid w:val="0042063E"/>
    <w:rsid w:val="00420726"/>
    <w:rsid w:val="00420D4B"/>
    <w:rsid w:val="004210B8"/>
    <w:rsid w:val="00422006"/>
    <w:rsid w:val="004220FA"/>
    <w:rsid w:val="00422235"/>
    <w:rsid w:val="00423468"/>
    <w:rsid w:val="00424270"/>
    <w:rsid w:val="00426E58"/>
    <w:rsid w:val="004273A3"/>
    <w:rsid w:val="004307B2"/>
    <w:rsid w:val="00431A9E"/>
    <w:rsid w:val="004325D1"/>
    <w:rsid w:val="00432762"/>
    <w:rsid w:val="004328C3"/>
    <w:rsid w:val="00433185"/>
    <w:rsid w:val="00434F67"/>
    <w:rsid w:val="00436649"/>
    <w:rsid w:val="00436FA8"/>
    <w:rsid w:val="00437358"/>
    <w:rsid w:val="004408F8"/>
    <w:rsid w:val="004409E5"/>
    <w:rsid w:val="00440B19"/>
    <w:rsid w:val="004426B8"/>
    <w:rsid w:val="004438E4"/>
    <w:rsid w:val="00444C60"/>
    <w:rsid w:val="00451938"/>
    <w:rsid w:val="00453935"/>
    <w:rsid w:val="00453E15"/>
    <w:rsid w:val="0045576C"/>
    <w:rsid w:val="00457008"/>
    <w:rsid w:val="00460C26"/>
    <w:rsid w:val="00461ED5"/>
    <w:rsid w:val="00463153"/>
    <w:rsid w:val="00464DB4"/>
    <w:rsid w:val="0046521F"/>
    <w:rsid w:val="00465272"/>
    <w:rsid w:val="0046575E"/>
    <w:rsid w:val="00465908"/>
    <w:rsid w:val="00466890"/>
    <w:rsid w:val="004708B1"/>
    <w:rsid w:val="00472D05"/>
    <w:rsid w:val="004746BF"/>
    <w:rsid w:val="004771CA"/>
    <w:rsid w:val="00477828"/>
    <w:rsid w:val="00480305"/>
    <w:rsid w:val="00482846"/>
    <w:rsid w:val="004829E4"/>
    <w:rsid w:val="00483CB6"/>
    <w:rsid w:val="00485BBE"/>
    <w:rsid w:val="00487BFE"/>
    <w:rsid w:val="00490BB1"/>
    <w:rsid w:val="00492735"/>
    <w:rsid w:val="00492970"/>
    <w:rsid w:val="00494454"/>
    <w:rsid w:val="00494FD4"/>
    <w:rsid w:val="00496065"/>
    <w:rsid w:val="00496C13"/>
    <w:rsid w:val="004A0A24"/>
    <w:rsid w:val="004A2115"/>
    <w:rsid w:val="004A48EF"/>
    <w:rsid w:val="004A5261"/>
    <w:rsid w:val="004A6E11"/>
    <w:rsid w:val="004A7A2B"/>
    <w:rsid w:val="004B0444"/>
    <w:rsid w:val="004B0C8E"/>
    <w:rsid w:val="004B181E"/>
    <w:rsid w:val="004B41B8"/>
    <w:rsid w:val="004B59AF"/>
    <w:rsid w:val="004B5C28"/>
    <w:rsid w:val="004B75BB"/>
    <w:rsid w:val="004C0296"/>
    <w:rsid w:val="004C2CF6"/>
    <w:rsid w:val="004C48FC"/>
    <w:rsid w:val="004C5439"/>
    <w:rsid w:val="004C59BC"/>
    <w:rsid w:val="004C68E1"/>
    <w:rsid w:val="004D11B5"/>
    <w:rsid w:val="004D1AE0"/>
    <w:rsid w:val="004D2AED"/>
    <w:rsid w:val="004D3453"/>
    <w:rsid w:val="004D3DA7"/>
    <w:rsid w:val="004D43E2"/>
    <w:rsid w:val="004D4C61"/>
    <w:rsid w:val="004D68B9"/>
    <w:rsid w:val="004D7227"/>
    <w:rsid w:val="004D7E75"/>
    <w:rsid w:val="004E068C"/>
    <w:rsid w:val="004E256B"/>
    <w:rsid w:val="004E2685"/>
    <w:rsid w:val="004F2338"/>
    <w:rsid w:val="004F357E"/>
    <w:rsid w:val="004F6CFD"/>
    <w:rsid w:val="0050064F"/>
    <w:rsid w:val="00500896"/>
    <w:rsid w:val="00504831"/>
    <w:rsid w:val="00505685"/>
    <w:rsid w:val="00506DE9"/>
    <w:rsid w:val="0050770A"/>
    <w:rsid w:val="00507A18"/>
    <w:rsid w:val="0051064F"/>
    <w:rsid w:val="005117DD"/>
    <w:rsid w:val="00511C28"/>
    <w:rsid w:val="00513AD8"/>
    <w:rsid w:val="00514777"/>
    <w:rsid w:val="00515961"/>
    <w:rsid w:val="00516F2D"/>
    <w:rsid w:val="00520460"/>
    <w:rsid w:val="00526B4C"/>
    <w:rsid w:val="005272B4"/>
    <w:rsid w:val="00530AE9"/>
    <w:rsid w:val="00530FF5"/>
    <w:rsid w:val="0053115A"/>
    <w:rsid w:val="00532F04"/>
    <w:rsid w:val="005368B6"/>
    <w:rsid w:val="005429DA"/>
    <w:rsid w:val="00543620"/>
    <w:rsid w:val="00544CAC"/>
    <w:rsid w:val="005466E5"/>
    <w:rsid w:val="0054749A"/>
    <w:rsid w:val="005505CB"/>
    <w:rsid w:val="0055406C"/>
    <w:rsid w:val="00554846"/>
    <w:rsid w:val="00562BDB"/>
    <w:rsid w:val="00564263"/>
    <w:rsid w:val="00565794"/>
    <w:rsid w:val="00565A33"/>
    <w:rsid w:val="00566684"/>
    <w:rsid w:val="005723FF"/>
    <w:rsid w:val="00572EBE"/>
    <w:rsid w:val="0057360C"/>
    <w:rsid w:val="0057402D"/>
    <w:rsid w:val="00575154"/>
    <w:rsid w:val="005753D3"/>
    <w:rsid w:val="00576AAD"/>
    <w:rsid w:val="00577AB4"/>
    <w:rsid w:val="005800DB"/>
    <w:rsid w:val="00580186"/>
    <w:rsid w:val="005802B6"/>
    <w:rsid w:val="00580AD5"/>
    <w:rsid w:val="00581BBC"/>
    <w:rsid w:val="00583B2A"/>
    <w:rsid w:val="00584F52"/>
    <w:rsid w:val="005866DD"/>
    <w:rsid w:val="00591326"/>
    <w:rsid w:val="00592E07"/>
    <w:rsid w:val="00593F80"/>
    <w:rsid w:val="00594C70"/>
    <w:rsid w:val="005952F6"/>
    <w:rsid w:val="005967AA"/>
    <w:rsid w:val="00596D75"/>
    <w:rsid w:val="00597372"/>
    <w:rsid w:val="005A03C0"/>
    <w:rsid w:val="005A1668"/>
    <w:rsid w:val="005A21F0"/>
    <w:rsid w:val="005A2AE8"/>
    <w:rsid w:val="005A2E01"/>
    <w:rsid w:val="005A3259"/>
    <w:rsid w:val="005A5A6F"/>
    <w:rsid w:val="005A5ED1"/>
    <w:rsid w:val="005A6816"/>
    <w:rsid w:val="005A7A71"/>
    <w:rsid w:val="005B1DA5"/>
    <w:rsid w:val="005B2EBE"/>
    <w:rsid w:val="005B3490"/>
    <w:rsid w:val="005B390F"/>
    <w:rsid w:val="005B4872"/>
    <w:rsid w:val="005B6985"/>
    <w:rsid w:val="005B79E6"/>
    <w:rsid w:val="005C1B7E"/>
    <w:rsid w:val="005C1DC1"/>
    <w:rsid w:val="005C2AA4"/>
    <w:rsid w:val="005C3175"/>
    <w:rsid w:val="005C4EE9"/>
    <w:rsid w:val="005C5795"/>
    <w:rsid w:val="005C60FE"/>
    <w:rsid w:val="005C6B22"/>
    <w:rsid w:val="005C6CBC"/>
    <w:rsid w:val="005D026F"/>
    <w:rsid w:val="005D0FDE"/>
    <w:rsid w:val="005D2329"/>
    <w:rsid w:val="005D2E04"/>
    <w:rsid w:val="005D34E8"/>
    <w:rsid w:val="005D5B58"/>
    <w:rsid w:val="005D5EB4"/>
    <w:rsid w:val="005E106B"/>
    <w:rsid w:val="005E107E"/>
    <w:rsid w:val="005E13AB"/>
    <w:rsid w:val="005E1FFF"/>
    <w:rsid w:val="005E3536"/>
    <w:rsid w:val="005E39FE"/>
    <w:rsid w:val="005E3F1D"/>
    <w:rsid w:val="005E50A5"/>
    <w:rsid w:val="005E6966"/>
    <w:rsid w:val="005F132D"/>
    <w:rsid w:val="005F19B1"/>
    <w:rsid w:val="005F1B58"/>
    <w:rsid w:val="005F2EC7"/>
    <w:rsid w:val="005F4A19"/>
    <w:rsid w:val="005F675F"/>
    <w:rsid w:val="0060018B"/>
    <w:rsid w:val="00601ABE"/>
    <w:rsid w:val="00603397"/>
    <w:rsid w:val="006038C4"/>
    <w:rsid w:val="00603AA2"/>
    <w:rsid w:val="00604592"/>
    <w:rsid w:val="00604E8D"/>
    <w:rsid w:val="006057D6"/>
    <w:rsid w:val="00611484"/>
    <w:rsid w:val="00614E86"/>
    <w:rsid w:val="00615E7C"/>
    <w:rsid w:val="006160B3"/>
    <w:rsid w:val="00617462"/>
    <w:rsid w:val="006177CC"/>
    <w:rsid w:val="006212AF"/>
    <w:rsid w:val="00621BB4"/>
    <w:rsid w:val="00621CA7"/>
    <w:rsid w:val="00622C56"/>
    <w:rsid w:val="00624438"/>
    <w:rsid w:val="006255AC"/>
    <w:rsid w:val="00626763"/>
    <w:rsid w:val="00630838"/>
    <w:rsid w:val="00633163"/>
    <w:rsid w:val="00633604"/>
    <w:rsid w:val="00633A4D"/>
    <w:rsid w:val="00634EBC"/>
    <w:rsid w:val="00636E82"/>
    <w:rsid w:val="00637F3A"/>
    <w:rsid w:val="00641562"/>
    <w:rsid w:val="00642E84"/>
    <w:rsid w:val="00643F50"/>
    <w:rsid w:val="006444D5"/>
    <w:rsid w:val="0064522D"/>
    <w:rsid w:val="0065014E"/>
    <w:rsid w:val="00650E35"/>
    <w:rsid w:val="006510C1"/>
    <w:rsid w:val="00651C9A"/>
    <w:rsid w:val="00651D33"/>
    <w:rsid w:val="00652942"/>
    <w:rsid w:val="00655B49"/>
    <w:rsid w:val="006563B6"/>
    <w:rsid w:val="00656A83"/>
    <w:rsid w:val="00656DA6"/>
    <w:rsid w:val="00657C2C"/>
    <w:rsid w:val="00660B7A"/>
    <w:rsid w:val="00662A62"/>
    <w:rsid w:val="00665C73"/>
    <w:rsid w:val="00665E00"/>
    <w:rsid w:val="00667332"/>
    <w:rsid w:val="006733B2"/>
    <w:rsid w:val="006751E5"/>
    <w:rsid w:val="006752FA"/>
    <w:rsid w:val="0067703A"/>
    <w:rsid w:val="0068172D"/>
    <w:rsid w:val="00681904"/>
    <w:rsid w:val="00681FE0"/>
    <w:rsid w:val="00683643"/>
    <w:rsid w:val="00683A7A"/>
    <w:rsid w:val="00683B84"/>
    <w:rsid w:val="00685A6B"/>
    <w:rsid w:val="0068623F"/>
    <w:rsid w:val="00686317"/>
    <w:rsid w:val="0068731C"/>
    <w:rsid w:val="00687FA1"/>
    <w:rsid w:val="00690D1C"/>
    <w:rsid w:val="006916F9"/>
    <w:rsid w:val="00693043"/>
    <w:rsid w:val="0069364D"/>
    <w:rsid w:val="00694593"/>
    <w:rsid w:val="00695096"/>
    <w:rsid w:val="006961D2"/>
    <w:rsid w:val="00697830"/>
    <w:rsid w:val="00697F51"/>
    <w:rsid w:val="006A0AC8"/>
    <w:rsid w:val="006A233B"/>
    <w:rsid w:val="006A2697"/>
    <w:rsid w:val="006A2B56"/>
    <w:rsid w:val="006A36EE"/>
    <w:rsid w:val="006A5041"/>
    <w:rsid w:val="006B0295"/>
    <w:rsid w:val="006B1497"/>
    <w:rsid w:val="006B2A77"/>
    <w:rsid w:val="006B2B8A"/>
    <w:rsid w:val="006B3513"/>
    <w:rsid w:val="006B3AC5"/>
    <w:rsid w:val="006B46D5"/>
    <w:rsid w:val="006B5586"/>
    <w:rsid w:val="006B598A"/>
    <w:rsid w:val="006B5A85"/>
    <w:rsid w:val="006B6F84"/>
    <w:rsid w:val="006C00E0"/>
    <w:rsid w:val="006C01AF"/>
    <w:rsid w:val="006C0BE8"/>
    <w:rsid w:val="006C0C4C"/>
    <w:rsid w:val="006C0F22"/>
    <w:rsid w:val="006C2C86"/>
    <w:rsid w:val="006C2CF7"/>
    <w:rsid w:val="006C2EC5"/>
    <w:rsid w:val="006C32A4"/>
    <w:rsid w:val="006C3DE5"/>
    <w:rsid w:val="006C4F30"/>
    <w:rsid w:val="006D0284"/>
    <w:rsid w:val="006D0386"/>
    <w:rsid w:val="006D0777"/>
    <w:rsid w:val="006D1B8D"/>
    <w:rsid w:val="006D1F53"/>
    <w:rsid w:val="006D3C79"/>
    <w:rsid w:val="006D4BE0"/>
    <w:rsid w:val="006D72E0"/>
    <w:rsid w:val="006D7B78"/>
    <w:rsid w:val="006E0FC1"/>
    <w:rsid w:val="006E1675"/>
    <w:rsid w:val="006E1ED5"/>
    <w:rsid w:val="006E233E"/>
    <w:rsid w:val="006E24DA"/>
    <w:rsid w:val="006E2D53"/>
    <w:rsid w:val="006E4467"/>
    <w:rsid w:val="006E71CC"/>
    <w:rsid w:val="006E7239"/>
    <w:rsid w:val="006E7F58"/>
    <w:rsid w:val="006F1663"/>
    <w:rsid w:val="006F242F"/>
    <w:rsid w:val="006F2909"/>
    <w:rsid w:val="006F4E9B"/>
    <w:rsid w:val="006F65B9"/>
    <w:rsid w:val="006F6D1A"/>
    <w:rsid w:val="0070009F"/>
    <w:rsid w:val="007018C6"/>
    <w:rsid w:val="007045D1"/>
    <w:rsid w:val="0070600E"/>
    <w:rsid w:val="00706042"/>
    <w:rsid w:val="00707DBF"/>
    <w:rsid w:val="00710074"/>
    <w:rsid w:val="007100B2"/>
    <w:rsid w:val="0071115D"/>
    <w:rsid w:val="00712EC2"/>
    <w:rsid w:val="0071316D"/>
    <w:rsid w:val="00713647"/>
    <w:rsid w:val="007151E4"/>
    <w:rsid w:val="0071559D"/>
    <w:rsid w:val="007166C1"/>
    <w:rsid w:val="00724326"/>
    <w:rsid w:val="00724D55"/>
    <w:rsid w:val="0072666D"/>
    <w:rsid w:val="00726CD8"/>
    <w:rsid w:val="0072743E"/>
    <w:rsid w:val="00727787"/>
    <w:rsid w:val="007303D7"/>
    <w:rsid w:val="00730E56"/>
    <w:rsid w:val="00731854"/>
    <w:rsid w:val="00732BD9"/>
    <w:rsid w:val="007336DA"/>
    <w:rsid w:val="00733BDF"/>
    <w:rsid w:val="00734342"/>
    <w:rsid w:val="00736BB9"/>
    <w:rsid w:val="007402B0"/>
    <w:rsid w:val="00740851"/>
    <w:rsid w:val="00740C58"/>
    <w:rsid w:val="00740CC8"/>
    <w:rsid w:val="00740DEE"/>
    <w:rsid w:val="007413A6"/>
    <w:rsid w:val="00742D00"/>
    <w:rsid w:val="007442C3"/>
    <w:rsid w:val="007446A8"/>
    <w:rsid w:val="00745639"/>
    <w:rsid w:val="007457ED"/>
    <w:rsid w:val="007463AF"/>
    <w:rsid w:val="00750D88"/>
    <w:rsid w:val="0075170B"/>
    <w:rsid w:val="007534FA"/>
    <w:rsid w:val="00753614"/>
    <w:rsid w:val="0075561A"/>
    <w:rsid w:val="0076047C"/>
    <w:rsid w:val="00761D4A"/>
    <w:rsid w:val="00762136"/>
    <w:rsid w:val="0076327B"/>
    <w:rsid w:val="007637B6"/>
    <w:rsid w:val="00765682"/>
    <w:rsid w:val="007668A7"/>
    <w:rsid w:val="00766A53"/>
    <w:rsid w:val="007704B2"/>
    <w:rsid w:val="00772A13"/>
    <w:rsid w:val="0077425D"/>
    <w:rsid w:val="007759B6"/>
    <w:rsid w:val="00776076"/>
    <w:rsid w:val="0077738B"/>
    <w:rsid w:val="00777E9C"/>
    <w:rsid w:val="0078084A"/>
    <w:rsid w:val="00783DD5"/>
    <w:rsid w:val="007852DF"/>
    <w:rsid w:val="0078594F"/>
    <w:rsid w:val="00785F9B"/>
    <w:rsid w:val="00786010"/>
    <w:rsid w:val="00786596"/>
    <w:rsid w:val="007866C7"/>
    <w:rsid w:val="00787502"/>
    <w:rsid w:val="0078765E"/>
    <w:rsid w:val="00787A36"/>
    <w:rsid w:val="00790F0F"/>
    <w:rsid w:val="00791A72"/>
    <w:rsid w:val="007949C8"/>
    <w:rsid w:val="00794AA0"/>
    <w:rsid w:val="00794B0E"/>
    <w:rsid w:val="0079502B"/>
    <w:rsid w:val="00796111"/>
    <w:rsid w:val="007967A0"/>
    <w:rsid w:val="007A05F9"/>
    <w:rsid w:val="007A06B0"/>
    <w:rsid w:val="007A13F9"/>
    <w:rsid w:val="007A161C"/>
    <w:rsid w:val="007A25B1"/>
    <w:rsid w:val="007A2BAD"/>
    <w:rsid w:val="007A2C6D"/>
    <w:rsid w:val="007A3AA3"/>
    <w:rsid w:val="007A3C18"/>
    <w:rsid w:val="007A4530"/>
    <w:rsid w:val="007A7540"/>
    <w:rsid w:val="007B310D"/>
    <w:rsid w:val="007B3C5E"/>
    <w:rsid w:val="007B51D9"/>
    <w:rsid w:val="007B5804"/>
    <w:rsid w:val="007B6AB6"/>
    <w:rsid w:val="007B78BD"/>
    <w:rsid w:val="007C0A04"/>
    <w:rsid w:val="007C4610"/>
    <w:rsid w:val="007C6F04"/>
    <w:rsid w:val="007C77CC"/>
    <w:rsid w:val="007D01C1"/>
    <w:rsid w:val="007D0E97"/>
    <w:rsid w:val="007D1237"/>
    <w:rsid w:val="007D22C1"/>
    <w:rsid w:val="007D2AEC"/>
    <w:rsid w:val="007D2E06"/>
    <w:rsid w:val="007D4261"/>
    <w:rsid w:val="007D4E92"/>
    <w:rsid w:val="007D562D"/>
    <w:rsid w:val="007D587F"/>
    <w:rsid w:val="007D6CD6"/>
    <w:rsid w:val="007D71A2"/>
    <w:rsid w:val="007E04FB"/>
    <w:rsid w:val="007E06FC"/>
    <w:rsid w:val="007E1E8C"/>
    <w:rsid w:val="007E2D81"/>
    <w:rsid w:val="007E7A4B"/>
    <w:rsid w:val="007F094F"/>
    <w:rsid w:val="007F1372"/>
    <w:rsid w:val="007F19F6"/>
    <w:rsid w:val="007F1F90"/>
    <w:rsid w:val="007F47F4"/>
    <w:rsid w:val="007F761A"/>
    <w:rsid w:val="00801ADC"/>
    <w:rsid w:val="00804403"/>
    <w:rsid w:val="00804C15"/>
    <w:rsid w:val="00807008"/>
    <w:rsid w:val="00814B7B"/>
    <w:rsid w:val="0081524A"/>
    <w:rsid w:val="0081647B"/>
    <w:rsid w:val="0081669E"/>
    <w:rsid w:val="0082000D"/>
    <w:rsid w:val="00821C5C"/>
    <w:rsid w:val="0082217E"/>
    <w:rsid w:val="00823A64"/>
    <w:rsid w:val="00823AE4"/>
    <w:rsid w:val="00823FF1"/>
    <w:rsid w:val="008250F9"/>
    <w:rsid w:val="008264E2"/>
    <w:rsid w:val="00826983"/>
    <w:rsid w:val="00827BEB"/>
    <w:rsid w:val="00830568"/>
    <w:rsid w:val="00831C9C"/>
    <w:rsid w:val="00832F2E"/>
    <w:rsid w:val="008355B6"/>
    <w:rsid w:val="00836307"/>
    <w:rsid w:val="00837BC8"/>
    <w:rsid w:val="00837D65"/>
    <w:rsid w:val="00841AE8"/>
    <w:rsid w:val="00841B08"/>
    <w:rsid w:val="00841B65"/>
    <w:rsid w:val="0084245E"/>
    <w:rsid w:val="00844864"/>
    <w:rsid w:val="00846279"/>
    <w:rsid w:val="00846EF8"/>
    <w:rsid w:val="00847B22"/>
    <w:rsid w:val="008510EF"/>
    <w:rsid w:val="008514B9"/>
    <w:rsid w:val="008519E7"/>
    <w:rsid w:val="0085368F"/>
    <w:rsid w:val="00853A52"/>
    <w:rsid w:val="008552A6"/>
    <w:rsid w:val="00855ADF"/>
    <w:rsid w:val="00856288"/>
    <w:rsid w:val="00856EBC"/>
    <w:rsid w:val="00857361"/>
    <w:rsid w:val="00861828"/>
    <w:rsid w:val="008624A3"/>
    <w:rsid w:val="00863131"/>
    <w:rsid w:val="00863582"/>
    <w:rsid w:val="00863633"/>
    <w:rsid w:val="00863843"/>
    <w:rsid w:val="00863A64"/>
    <w:rsid w:val="008643DD"/>
    <w:rsid w:val="008643FC"/>
    <w:rsid w:val="00864445"/>
    <w:rsid w:val="00866C05"/>
    <w:rsid w:val="00867704"/>
    <w:rsid w:val="00870719"/>
    <w:rsid w:val="00870FB6"/>
    <w:rsid w:val="0087266F"/>
    <w:rsid w:val="00872B76"/>
    <w:rsid w:val="00872F17"/>
    <w:rsid w:val="00873577"/>
    <w:rsid w:val="008745C7"/>
    <w:rsid w:val="00874B2E"/>
    <w:rsid w:val="00875099"/>
    <w:rsid w:val="0087616F"/>
    <w:rsid w:val="00877438"/>
    <w:rsid w:val="0087799C"/>
    <w:rsid w:val="008801DA"/>
    <w:rsid w:val="0088034B"/>
    <w:rsid w:val="008807F0"/>
    <w:rsid w:val="00880B0C"/>
    <w:rsid w:val="008841D7"/>
    <w:rsid w:val="0089087B"/>
    <w:rsid w:val="008911E6"/>
    <w:rsid w:val="00891998"/>
    <w:rsid w:val="00891A16"/>
    <w:rsid w:val="00891AC4"/>
    <w:rsid w:val="00891ACF"/>
    <w:rsid w:val="0089522F"/>
    <w:rsid w:val="008A1264"/>
    <w:rsid w:val="008A2118"/>
    <w:rsid w:val="008A218C"/>
    <w:rsid w:val="008A2BFB"/>
    <w:rsid w:val="008A2FCE"/>
    <w:rsid w:val="008A3120"/>
    <w:rsid w:val="008A32C3"/>
    <w:rsid w:val="008A4802"/>
    <w:rsid w:val="008A57CD"/>
    <w:rsid w:val="008A6B28"/>
    <w:rsid w:val="008B01D9"/>
    <w:rsid w:val="008B40C8"/>
    <w:rsid w:val="008B6ABA"/>
    <w:rsid w:val="008B6D74"/>
    <w:rsid w:val="008B6DCE"/>
    <w:rsid w:val="008B72B9"/>
    <w:rsid w:val="008B789D"/>
    <w:rsid w:val="008C15EB"/>
    <w:rsid w:val="008C3809"/>
    <w:rsid w:val="008C3D84"/>
    <w:rsid w:val="008C48BC"/>
    <w:rsid w:val="008C4FB1"/>
    <w:rsid w:val="008D084A"/>
    <w:rsid w:val="008D0A91"/>
    <w:rsid w:val="008D2D09"/>
    <w:rsid w:val="008D48F0"/>
    <w:rsid w:val="008D7C19"/>
    <w:rsid w:val="008E0A34"/>
    <w:rsid w:val="008E1B2D"/>
    <w:rsid w:val="008E1B4B"/>
    <w:rsid w:val="008E1C12"/>
    <w:rsid w:val="008E3FF1"/>
    <w:rsid w:val="008E4443"/>
    <w:rsid w:val="008E4DC8"/>
    <w:rsid w:val="008E6C06"/>
    <w:rsid w:val="008E6CEA"/>
    <w:rsid w:val="008F0163"/>
    <w:rsid w:val="008F125C"/>
    <w:rsid w:val="008F2086"/>
    <w:rsid w:val="008F3130"/>
    <w:rsid w:val="008F33C5"/>
    <w:rsid w:val="008F34C8"/>
    <w:rsid w:val="008F3BC1"/>
    <w:rsid w:val="008F3C93"/>
    <w:rsid w:val="008F6120"/>
    <w:rsid w:val="008F672E"/>
    <w:rsid w:val="008F6732"/>
    <w:rsid w:val="0090100B"/>
    <w:rsid w:val="00901D46"/>
    <w:rsid w:val="009029B3"/>
    <w:rsid w:val="00902D3B"/>
    <w:rsid w:val="009050C6"/>
    <w:rsid w:val="0090581C"/>
    <w:rsid w:val="0090615F"/>
    <w:rsid w:val="00906FAF"/>
    <w:rsid w:val="00915436"/>
    <w:rsid w:val="00916846"/>
    <w:rsid w:val="00916919"/>
    <w:rsid w:val="00916A9B"/>
    <w:rsid w:val="00917A24"/>
    <w:rsid w:val="0092063E"/>
    <w:rsid w:val="009207D5"/>
    <w:rsid w:val="00924460"/>
    <w:rsid w:val="00924586"/>
    <w:rsid w:val="00924DC5"/>
    <w:rsid w:val="00925270"/>
    <w:rsid w:val="00926BF0"/>
    <w:rsid w:val="00926FA6"/>
    <w:rsid w:val="00927198"/>
    <w:rsid w:val="0093081E"/>
    <w:rsid w:val="0093187F"/>
    <w:rsid w:val="0093223A"/>
    <w:rsid w:val="0093223F"/>
    <w:rsid w:val="0093341E"/>
    <w:rsid w:val="00933FE8"/>
    <w:rsid w:val="0093428A"/>
    <w:rsid w:val="00934787"/>
    <w:rsid w:val="00934D87"/>
    <w:rsid w:val="0093519A"/>
    <w:rsid w:val="00935A9B"/>
    <w:rsid w:val="0093635C"/>
    <w:rsid w:val="00942353"/>
    <w:rsid w:val="009427D7"/>
    <w:rsid w:val="009461D2"/>
    <w:rsid w:val="0094661D"/>
    <w:rsid w:val="00950F17"/>
    <w:rsid w:val="00951D68"/>
    <w:rsid w:val="0095340F"/>
    <w:rsid w:val="00954496"/>
    <w:rsid w:val="00955CA4"/>
    <w:rsid w:val="0096012A"/>
    <w:rsid w:val="00962170"/>
    <w:rsid w:val="00963DD7"/>
    <w:rsid w:val="00964668"/>
    <w:rsid w:val="00964D8D"/>
    <w:rsid w:val="00965D6D"/>
    <w:rsid w:val="0097005E"/>
    <w:rsid w:val="00971F95"/>
    <w:rsid w:val="00972C36"/>
    <w:rsid w:val="00973AD7"/>
    <w:rsid w:val="00974737"/>
    <w:rsid w:val="00975A2C"/>
    <w:rsid w:val="00977782"/>
    <w:rsid w:val="00981DEB"/>
    <w:rsid w:val="0098350B"/>
    <w:rsid w:val="00985C8C"/>
    <w:rsid w:val="009869EB"/>
    <w:rsid w:val="00986E02"/>
    <w:rsid w:val="0098762A"/>
    <w:rsid w:val="00987B6C"/>
    <w:rsid w:val="00994592"/>
    <w:rsid w:val="009A07C2"/>
    <w:rsid w:val="009A2A18"/>
    <w:rsid w:val="009A2E87"/>
    <w:rsid w:val="009A3420"/>
    <w:rsid w:val="009A7101"/>
    <w:rsid w:val="009A78CA"/>
    <w:rsid w:val="009B0305"/>
    <w:rsid w:val="009B1B5A"/>
    <w:rsid w:val="009B1FC1"/>
    <w:rsid w:val="009B233B"/>
    <w:rsid w:val="009B24F0"/>
    <w:rsid w:val="009B323D"/>
    <w:rsid w:val="009B3FAE"/>
    <w:rsid w:val="009B44F7"/>
    <w:rsid w:val="009B5945"/>
    <w:rsid w:val="009B6999"/>
    <w:rsid w:val="009B725E"/>
    <w:rsid w:val="009C0E2B"/>
    <w:rsid w:val="009C1AC7"/>
    <w:rsid w:val="009C2B07"/>
    <w:rsid w:val="009C4CB4"/>
    <w:rsid w:val="009C4D8B"/>
    <w:rsid w:val="009C57B0"/>
    <w:rsid w:val="009C7E5C"/>
    <w:rsid w:val="009D0754"/>
    <w:rsid w:val="009D1008"/>
    <w:rsid w:val="009D1FE4"/>
    <w:rsid w:val="009D345C"/>
    <w:rsid w:val="009D4D48"/>
    <w:rsid w:val="009D56FB"/>
    <w:rsid w:val="009D7901"/>
    <w:rsid w:val="009E0E19"/>
    <w:rsid w:val="009E27FE"/>
    <w:rsid w:val="009E28C9"/>
    <w:rsid w:val="009E692E"/>
    <w:rsid w:val="009F125D"/>
    <w:rsid w:val="009F3934"/>
    <w:rsid w:val="009F45A9"/>
    <w:rsid w:val="009F4F73"/>
    <w:rsid w:val="009F7E46"/>
    <w:rsid w:val="00A00ED6"/>
    <w:rsid w:val="00A01092"/>
    <w:rsid w:val="00A03BF5"/>
    <w:rsid w:val="00A0421A"/>
    <w:rsid w:val="00A04A22"/>
    <w:rsid w:val="00A078FF"/>
    <w:rsid w:val="00A10B96"/>
    <w:rsid w:val="00A20365"/>
    <w:rsid w:val="00A20891"/>
    <w:rsid w:val="00A2268B"/>
    <w:rsid w:val="00A237F2"/>
    <w:rsid w:val="00A26EB8"/>
    <w:rsid w:val="00A27294"/>
    <w:rsid w:val="00A30077"/>
    <w:rsid w:val="00A300A4"/>
    <w:rsid w:val="00A314BF"/>
    <w:rsid w:val="00A315BD"/>
    <w:rsid w:val="00A34638"/>
    <w:rsid w:val="00A355AC"/>
    <w:rsid w:val="00A35650"/>
    <w:rsid w:val="00A36948"/>
    <w:rsid w:val="00A40A3E"/>
    <w:rsid w:val="00A416D7"/>
    <w:rsid w:val="00A4248A"/>
    <w:rsid w:val="00A42769"/>
    <w:rsid w:val="00A46BDF"/>
    <w:rsid w:val="00A46DCA"/>
    <w:rsid w:val="00A477D2"/>
    <w:rsid w:val="00A50F40"/>
    <w:rsid w:val="00A52445"/>
    <w:rsid w:val="00A55574"/>
    <w:rsid w:val="00A609D6"/>
    <w:rsid w:val="00A60D88"/>
    <w:rsid w:val="00A61F8E"/>
    <w:rsid w:val="00A63219"/>
    <w:rsid w:val="00A640FC"/>
    <w:rsid w:val="00A648BB"/>
    <w:rsid w:val="00A66209"/>
    <w:rsid w:val="00A66693"/>
    <w:rsid w:val="00A72CD7"/>
    <w:rsid w:val="00A7381B"/>
    <w:rsid w:val="00A75845"/>
    <w:rsid w:val="00A75FA2"/>
    <w:rsid w:val="00A776E7"/>
    <w:rsid w:val="00A8140A"/>
    <w:rsid w:val="00A8248D"/>
    <w:rsid w:val="00A82C02"/>
    <w:rsid w:val="00A8427F"/>
    <w:rsid w:val="00A870A4"/>
    <w:rsid w:val="00A87351"/>
    <w:rsid w:val="00A87E94"/>
    <w:rsid w:val="00A90427"/>
    <w:rsid w:val="00A9142B"/>
    <w:rsid w:val="00A91641"/>
    <w:rsid w:val="00A92019"/>
    <w:rsid w:val="00A9305C"/>
    <w:rsid w:val="00A937D7"/>
    <w:rsid w:val="00A93D10"/>
    <w:rsid w:val="00A9467B"/>
    <w:rsid w:val="00A964ED"/>
    <w:rsid w:val="00A978DA"/>
    <w:rsid w:val="00AA0499"/>
    <w:rsid w:val="00AA0D4C"/>
    <w:rsid w:val="00AA325E"/>
    <w:rsid w:val="00AA362C"/>
    <w:rsid w:val="00AA36E6"/>
    <w:rsid w:val="00AA3BED"/>
    <w:rsid w:val="00AA548D"/>
    <w:rsid w:val="00AA6424"/>
    <w:rsid w:val="00AB11AB"/>
    <w:rsid w:val="00AB2FEE"/>
    <w:rsid w:val="00AB330E"/>
    <w:rsid w:val="00AB41B4"/>
    <w:rsid w:val="00AB586C"/>
    <w:rsid w:val="00AB59F3"/>
    <w:rsid w:val="00AB5C46"/>
    <w:rsid w:val="00AB6250"/>
    <w:rsid w:val="00AB6299"/>
    <w:rsid w:val="00AB7BAD"/>
    <w:rsid w:val="00AB7E32"/>
    <w:rsid w:val="00AC00EE"/>
    <w:rsid w:val="00AC0D0C"/>
    <w:rsid w:val="00AC29F6"/>
    <w:rsid w:val="00AC2DE8"/>
    <w:rsid w:val="00AC3EEE"/>
    <w:rsid w:val="00AC60AD"/>
    <w:rsid w:val="00AC60B2"/>
    <w:rsid w:val="00AC6331"/>
    <w:rsid w:val="00AC75ED"/>
    <w:rsid w:val="00AC7996"/>
    <w:rsid w:val="00AD0341"/>
    <w:rsid w:val="00AD075D"/>
    <w:rsid w:val="00AD0766"/>
    <w:rsid w:val="00AD0E77"/>
    <w:rsid w:val="00AD148B"/>
    <w:rsid w:val="00AD1595"/>
    <w:rsid w:val="00AD1E73"/>
    <w:rsid w:val="00AD2E8C"/>
    <w:rsid w:val="00AD3803"/>
    <w:rsid w:val="00AD4CE5"/>
    <w:rsid w:val="00AE152C"/>
    <w:rsid w:val="00AE24E7"/>
    <w:rsid w:val="00AE2755"/>
    <w:rsid w:val="00AE4233"/>
    <w:rsid w:val="00AE5A16"/>
    <w:rsid w:val="00AE5D89"/>
    <w:rsid w:val="00AE658D"/>
    <w:rsid w:val="00AE6A9F"/>
    <w:rsid w:val="00AF14D9"/>
    <w:rsid w:val="00AF156B"/>
    <w:rsid w:val="00AF1CAA"/>
    <w:rsid w:val="00AF3B90"/>
    <w:rsid w:val="00AF5059"/>
    <w:rsid w:val="00AF614F"/>
    <w:rsid w:val="00AF6C36"/>
    <w:rsid w:val="00AF6FA3"/>
    <w:rsid w:val="00AF7779"/>
    <w:rsid w:val="00B03C47"/>
    <w:rsid w:val="00B042B2"/>
    <w:rsid w:val="00B04D5B"/>
    <w:rsid w:val="00B05E05"/>
    <w:rsid w:val="00B10474"/>
    <w:rsid w:val="00B134CB"/>
    <w:rsid w:val="00B13C2C"/>
    <w:rsid w:val="00B16D1D"/>
    <w:rsid w:val="00B17755"/>
    <w:rsid w:val="00B2192C"/>
    <w:rsid w:val="00B2342D"/>
    <w:rsid w:val="00B241E3"/>
    <w:rsid w:val="00B248B4"/>
    <w:rsid w:val="00B24B67"/>
    <w:rsid w:val="00B25422"/>
    <w:rsid w:val="00B27443"/>
    <w:rsid w:val="00B274AD"/>
    <w:rsid w:val="00B301CF"/>
    <w:rsid w:val="00B3072F"/>
    <w:rsid w:val="00B30B6F"/>
    <w:rsid w:val="00B3151D"/>
    <w:rsid w:val="00B323F6"/>
    <w:rsid w:val="00B3278D"/>
    <w:rsid w:val="00B328BE"/>
    <w:rsid w:val="00B35042"/>
    <w:rsid w:val="00B35A0A"/>
    <w:rsid w:val="00B35A35"/>
    <w:rsid w:val="00B35BD0"/>
    <w:rsid w:val="00B365C8"/>
    <w:rsid w:val="00B37253"/>
    <w:rsid w:val="00B40265"/>
    <w:rsid w:val="00B41DC3"/>
    <w:rsid w:val="00B44B5C"/>
    <w:rsid w:val="00B461AB"/>
    <w:rsid w:val="00B46341"/>
    <w:rsid w:val="00B46F49"/>
    <w:rsid w:val="00B501AB"/>
    <w:rsid w:val="00B50C83"/>
    <w:rsid w:val="00B51B21"/>
    <w:rsid w:val="00B51D9B"/>
    <w:rsid w:val="00B52B36"/>
    <w:rsid w:val="00B52E2E"/>
    <w:rsid w:val="00B54E36"/>
    <w:rsid w:val="00B55EE2"/>
    <w:rsid w:val="00B560AC"/>
    <w:rsid w:val="00B56991"/>
    <w:rsid w:val="00B60453"/>
    <w:rsid w:val="00B61881"/>
    <w:rsid w:val="00B6190A"/>
    <w:rsid w:val="00B64E36"/>
    <w:rsid w:val="00B66926"/>
    <w:rsid w:val="00B727ED"/>
    <w:rsid w:val="00B7587B"/>
    <w:rsid w:val="00B80392"/>
    <w:rsid w:val="00B8064C"/>
    <w:rsid w:val="00B8151D"/>
    <w:rsid w:val="00B82524"/>
    <w:rsid w:val="00B86322"/>
    <w:rsid w:val="00B8727E"/>
    <w:rsid w:val="00B91D87"/>
    <w:rsid w:val="00B91F31"/>
    <w:rsid w:val="00B93D8F"/>
    <w:rsid w:val="00B94039"/>
    <w:rsid w:val="00B94760"/>
    <w:rsid w:val="00B96EFC"/>
    <w:rsid w:val="00B97AC5"/>
    <w:rsid w:val="00B97BB4"/>
    <w:rsid w:val="00B97D79"/>
    <w:rsid w:val="00BA094C"/>
    <w:rsid w:val="00BA1381"/>
    <w:rsid w:val="00BA2FE3"/>
    <w:rsid w:val="00BA3061"/>
    <w:rsid w:val="00BA3496"/>
    <w:rsid w:val="00BA36B6"/>
    <w:rsid w:val="00BA41E9"/>
    <w:rsid w:val="00BA5775"/>
    <w:rsid w:val="00BA6238"/>
    <w:rsid w:val="00BA6C98"/>
    <w:rsid w:val="00BB140B"/>
    <w:rsid w:val="00BB1BAA"/>
    <w:rsid w:val="00BB3AB8"/>
    <w:rsid w:val="00BB51E7"/>
    <w:rsid w:val="00BB5D95"/>
    <w:rsid w:val="00BC4DD5"/>
    <w:rsid w:val="00BC5A0C"/>
    <w:rsid w:val="00BD08E6"/>
    <w:rsid w:val="00BD0EA3"/>
    <w:rsid w:val="00BD125B"/>
    <w:rsid w:val="00BD2A80"/>
    <w:rsid w:val="00BD3254"/>
    <w:rsid w:val="00BD3D28"/>
    <w:rsid w:val="00BD59E2"/>
    <w:rsid w:val="00BD699D"/>
    <w:rsid w:val="00BD7465"/>
    <w:rsid w:val="00BD7642"/>
    <w:rsid w:val="00BD791F"/>
    <w:rsid w:val="00BE00F8"/>
    <w:rsid w:val="00BE0D29"/>
    <w:rsid w:val="00BE0F8D"/>
    <w:rsid w:val="00BE1A43"/>
    <w:rsid w:val="00BE2E9D"/>
    <w:rsid w:val="00BE46B2"/>
    <w:rsid w:val="00BE521B"/>
    <w:rsid w:val="00BE6DF3"/>
    <w:rsid w:val="00BE6E15"/>
    <w:rsid w:val="00BE7507"/>
    <w:rsid w:val="00BF0D10"/>
    <w:rsid w:val="00BF257F"/>
    <w:rsid w:val="00BF2C90"/>
    <w:rsid w:val="00BF3774"/>
    <w:rsid w:val="00BF4EA6"/>
    <w:rsid w:val="00C00483"/>
    <w:rsid w:val="00C01835"/>
    <w:rsid w:val="00C02954"/>
    <w:rsid w:val="00C03461"/>
    <w:rsid w:val="00C035CB"/>
    <w:rsid w:val="00C037FB"/>
    <w:rsid w:val="00C04255"/>
    <w:rsid w:val="00C063F8"/>
    <w:rsid w:val="00C064E4"/>
    <w:rsid w:val="00C07293"/>
    <w:rsid w:val="00C07299"/>
    <w:rsid w:val="00C10FB8"/>
    <w:rsid w:val="00C114A1"/>
    <w:rsid w:val="00C134CC"/>
    <w:rsid w:val="00C134ED"/>
    <w:rsid w:val="00C13C98"/>
    <w:rsid w:val="00C14372"/>
    <w:rsid w:val="00C17D11"/>
    <w:rsid w:val="00C20743"/>
    <w:rsid w:val="00C21D9D"/>
    <w:rsid w:val="00C22960"/>
    <w:rsid w:val="00C24E9F"/>
    <w:rsid w:val="00C2668B"/>
    <w:rsid w:val="00C2782E"/>
    <w:rsid w:val="00C30AF2"/>
    <w:rsid w:val="00C32B03"/>
    <w:rsid w:val="00C3369A"/>
    <w:rsid w:val="00C351E8"/>
    <w:rsid w:val="00C36654"/>
    <w:rsid w:val="00C36F5C"/>
    <w:rsid w:val="00C36FB3"/>
    <w:rsid w:val="00C3767E"/>
    <w:rsid w:val="00C40460"/>
    <w:rsid w:val="00C42589"/>
    <w:rsid w:val="00C43D6A"/>
    <w:rsid w:val="00C43F1C"/>
    <w:rsid w:val="00C44A20"/>
    <w:rsid w:val="00C44E95"/>
    <w:rsid w:val="00C47004"/>
    <w:rsid w:val="00C47B6F"/>
    <w:rsid w:val="00C5046F"/>
    <w:rsid w:val="00C50E3B"/>
    <w:rsid w:val="00C52801"/>
    <w:rsid w:val="00C52C2C"/>
    <w:rsid w:val="00C53507"/>
    <w:rsid w:val="00C53D4D"/>
    <w:rsid w:val="00C54814"/>
    <w:rsid w:val="00C554B2"/>
    <w:rsid w:val="00C575CE"/>
    <w:rsid w:val="00C5774C"/>
    <w:rsid w:val="00C605AC"/>
    <w:rsid w:val="00C61081"/>
    <w:rsid w:val="00C62432"/>
    <w:rsid w:val="00C653A7"/>
    <w:rsid w:val="00C702A6"/>
    <w:rsid w:val="00C70E4B"/>
    <w:rsid w:val="00C72ABA"/>
    <w:rsid w:val="00C72BDD"/>
    <w:rsid w:val="00C72FCC"/>
    <w:rsid w:val="00C74C8E"/>
    <w:rsid w:val="00C75031"/>
    <w:rsid w:val="00C847CE"/>
    <w:rsid w:val="00C87B4C"/>
    <w:rsid w:val="00C915E5"/>
    <w:rsid w:val="00C933CA"/>
    <w:rsid w:val="00C941A9"/>
    <w:rsid w:val="00CA0D44"/>
    <w:rsid w:val="00CA16B8"/>
    <w:rsid w:val="00CA1E70"/>
    <w:rsid w:val="00CA1F83"/>
    <w:rsid w:val="00CA286A"/>
    <w:rsid w:val="00CA3851"/>
    <w:rsid w:val="00CA389D"/>
    <w:rsid w:val="00CA4C89"/>
    <w:rsid w:val="00CA7202"/>
    <w:rsid w:val="00CA76AB"/>
    <w:rsid w:val="00CB050E"/>
    <w:rsid w:val="00CB207E"/>
    <w:rsid w:val="00CB3646"/>
    <w:rsid w:val="00CB4D83"/>
    <w:rsid w:val="00CB7A85"/>
    <w:rsid w:val="00CB7EEC"/>
    <w:rsid w:val="00CC0567"/>
    <w:rsid w:val="00CC1926"/>
    <w:rsid w:val="00CC2D3C"/>
    <w:rsid w:val="00CC33B1"/>
    <w:rsid w:val="00CC4091"/>
    <w:rsid w:val="00CC4444"/>
    <w:rsid w:val="00CC512A"/>
    <w:rsid w:val="00CC56FF"/>
    <w:rsid w:val="00CC5EAA"/>
    <w:rsid w:val="00CC67C8"/>
    <w:rsid w:val="00CC6E77"/>
    <w:rsid w:val="00CC7761"/>
    <w:rsid w:val="00CD00C4"/>
    <w:rsid w:val="00CD0BDE"/>
    <w:rsid w:val="00CD1E40"/>
    <w:rsid w:val="00CD2EB7"/>
    <w:rsid w:val="00CD4038"/>
    <w:rsid w:val="00CD40C2"/>
    <w:rsid w:val="00CD46DE"/>
    <w:rsid w:val="00CD4AFC"/>
    <w:rsid w:val="00CD6C46"/>
    <w:rsid w:val="00CD6EA0"/>
    <w:rsid w:val="00CE21F9"/>
    <w:rsid w:val="00CE3FC6"/>
    <w:rsid w:val="00CE4165"/>
    <w:rsid w:val="00CE4807"/>
    <w:rsid w:val="00CE5DCD"/>
    <w:rsid w:val="00CE5F1B"/>
    <w:rsid w:val="00CE5F6B"/>
    <w:rsid w:val="00CE6075"/>
    <w:rsid w:val="00CF0BF4"/>
    <w:rsid w:val="00CF2189"/>
    <w:rsid w:val="00CF6967"/>
    <w:rsid w:val="00CF784D"/>
    <w:rsid w:val="00D0542D"/>
    <w:rsid w:val="00D05FA5"/>
    <w:rsid w:val="00D076FF"/>
    <w:rsid w:val="00D0786B"/>
    <w:rsid w:val="00D100B1"/>
    <w:rsid w:val="00D10D33"/>
    <w:rsid w:val="00D12559"/>
    <w:rsid w:val="00D15157"/>
    <w:rsid w:val="00D1555C"/>
    <w:rsid w:val="00D15CD9"/>
    <w:rsid w:val="00D203D1"/>
    <w:rsid w:val="00D20466"/>
    <w:rsid w:val="00D2073C"/>
    <w:rsid w:val="00D20BAC"/>
    <w:rsid w:val="00D2272C"/>
    <w:rsid w:val="00D227B1"/>
    <w:rsid w:val="00D244C6"/>
    <w:rsid w:val="00D24500"/>
    <w:rsid w:val="00D24692"/>
    <w:rsid w:val="00D24C87"/>
    <w:rsid w:val="00D24FD7"/>
    <w:rsid w:val="00D25074"/>
    <w:rsid w:val="00D256CA"/>
    <w:rsid w:val="00D2677C"/>
    <w:rsid w:val="00D27022"/>
    <w:rsid w:val="00D27EAC"/>
    <w:rsid w:val="00D27EF7"/>
    <w:rsid w:val="00D32AB4"/>
    <w:rsid w:val="00D334EA"/>
    <w:rsid w:val="00D3425D"/>
    <w:rsid w:val="00D40FC8"/>
    <w:rsid w:val="00D418B3"/>
    <w:rsid w:val="00D42AC0"/>
    <w:rsid w:val="00D43FA3"/>
    <w:rsid w:val="00D44560"/>
    <w:rsid w:val="00D4524E"/>
    <w:rsid w:val="00D45D2A"/>
    <w:rsid w:val="00D4723D"/>
    <w:rsid w:val="00D50A15"/>
    <w:rsid w:val="00D5156C"/>
    <w:rsid w:val="00D5470A"/>
    <w:rsid w:val="00D5505E"/>
    <w:rsid w:val="00D55830"/>
    <w:rsid w:val="00D5796C"/>
    <w:rsid w:val="00D6031E"/>
    <w:rsid w:val="00D621C6"/>
    <w:rsid w:val="00D6270C"/>
    <w:rsid w:val="00D63F50"/>
    <w:rsid w:val="00D671F3"/>
    <w:rsid w:val="00D70A16"/>
    <w:rsid w:val="00D71FFC"/>
    <w:rsid w:val="00D7557E"/>
    <w:rsid w:val="00D759BF"/>
    <w:rsid w:val="00D75F0D"/>
    <w:rsid w:val="00D77030"/>
    <w:rsid w:val="00D80988"/>
    <w:rsid w:val="00D81B88"/>
    <w:rsid w:val="00D830F8"/>
    <w:rsid w:val="00D849CA"/>
    <w:rsid w:val="00D87D09"/>
    <w:rsid w:val="00D907F4"/>
    <w:rsid w:val="00D92638"/>
    <w:rsid w:val="00D92763"/>
    <w:rsid w:val="00D9280E"/>
    <w:rsid w:val="00D943DE"/>
    <w:rsid w:val="00D94C47"/>
    <w:rsid w:val="00D95563"/>
    <w:rsid w:val="00D968D4"/>
    <w:rsid w:val="00D96991"/>
    <w:rsid w:val="00D96D0D"/>
    <w:rsid w:val="00D97B54"/>
    <w:rsid w:val="00D97F13"/>
    <w:rsid w:val="00DA139E"/>
    <w:rsid w:val="00DA6B1A"/>
    <w:rsid w:val="00DA7925"/>
    <w:rsid w:val="00DB1E38"/>
    <w:rsid w:val="00DB22C6"/>
    <w:rsid w:val="00DB333C"/>
    <w:rsid w:val="00DB46EC"/>
    <w:rsid w:val="00DB59A9"/>
    <w:rsid w:val="00DB6282"/>
    <w:rsid w:val="00DC0CB0"/>
    <w:rsid w:val="00DC0FB0"/>
    <w:rsid w:val="00DC1E8D"/>
    <w:rsid w:val="00DC1EE0"/>
    <w:rsid w:val="00DC3578"/>
    <w:rsid w:val="00DC4152"/>
    <w:rsid w:val="00DC44CD"/>
    <w:rsid w:val="00DC6BFB"/>
    <w:rsid w:val="00DC7FD4"/>
    <w:rsid w:val="00DD0571"/>
    <w:rsid w:val="00DD0D48"/>
    <w:rsid w:val="00DD2001"/>
    <w:rsid w:val="00DD28B6"/>
    <w:rsid w:val="00DD3037"/>
    <w:rsid w:val="00DD30C4"/>
    <w:rsid w:val="00DD5C60"/>
    <w:rsid w:val="00DD792B"/>
    <w:rsid w:val="00DD7B95"/>
    <w:rsid w:val="00DE09DB"/>
    <w:rsid w:val="00DE203F"/>
    <w:rsid w:val="00DE2AC0"/>
    <w:rsid w:val="00DE439F"/>
    <w:rsid w:val="00DE48A0"/>
    <w:rsid w:val="00DE6D78"/>
    <w:rsid w:val="00DE791C"/>
    <w:rsid w:val="00DF051F"/>
    <w:rsid w:val="00DF08CA"/>
    <w:rsid w:val="00DF15CC"/>
    <w:rsid w:val="00DF2506"/>
    <w:rsid w:val="00DF2C99"/>
    <w:rsid w:val="00DF2D44"/>
    <w:rsid w:val="00DF35BD"/>
    <w:rsid w:val="00DF4669"/>
    <w:rsid w:val="00DF639C"/>
    <w:rsid w:val="00DF69DD"/>
    <w:rsid w:val="00DF7E50"/>
    <w:rsid w:val="00E003F6"/>
    <w:rsid w:val="00E01516"/>
    <w:rsid w:val="00E03486"/>
    <w:rsid w:val="00E05D1D"/>
    <w:rsid w:val="00E06062"/>
    <w:rsid w:val="00E063CF"/>
    <w:rsid w:val="00E06F3E"/>
    <w:rsid w:val="00E11627"/>
    <w:rsid w:val="00E1183B"/>
    <w:rsid w:val="00E11A1D"/>
    <w:rsid w:val="00E11A68"/>
    <w:rsid w:val="00E11BA6"/>
    <w:rsid w:val="00E1214A"/>
    <w:rsid w:val="00E12684"/>
    <w:rsid w:val="00E12945"/>
    <w:rsid w:val="00E12950"/>
    <w:rsid w:val="00E13537"/>
    <w:rsid w:val="00E14E7F"/>
    <w:rsid w:val="00E16827"/>
    <w:rsid w:val="00E1688C"/>
    <w:rsid w:val="00E16D43"/>
    <w:rsid w:val="00E17829"/>
    <w:rsid w:val="00E20AC1"/>
    <w:rsid w:val="00E22938"/>
    <w:rsid w:val="00E23271"/>
    <w:rsid w:val="00E238DD"/>
    <w:rsid w:val="00E23A2B"/>
    <w:rsid w:val="00E23F5E"/>
    <w:rsid w:val="00E26B4C"/>
    <w:rsid w:val="00E27F6F"/>
    <w:rsid w:val="00E30CE5"/>
    <w:rsid w:val="00E30EB3"/>
    <w:rsid w:val="00E30FB1"/>
    <w:rsid w:val="00E31D94"/>
    <w:rsid w:val="00E31FAB"/>
    <w:rsid w:val="00E32225"/>
    <w:rsid w:val="00E32361"/>
    <w:rsid w:val="00E348AE"/>
    <w:rsid w:val="00E34B68"/>
    <w:rsid w:val="00E35BFA"/>
    <w:rsid w:val="00E362A0"/>
    <w:rsid w:val="00E368F3"/>
    <w:rsid w:val="00E3698D"/>
    <w:rsid w:val="00E37ABE"/>
    <w:rsid w:val="00E37E00"/>
    <w:rsid w:val="00E37FC6"/>
    <w:rsid w:val="00E40C18"/>
    <w:rsid w:val="00E42004"/>
    <w:rsid w:val="00E42A6A"/>
    <w:rsid w:val="00E42E10"/>
    <w:rsid w:val="00E440C6"/>
    <w:rsid w:val="00E4413C"/>
    <w:rsid w:val="00E47258"/>
    <w:rsid w:val="00E501B9"/>
    <w:rsid w:val="00E50605"/>
    <w:rsid w:val="00E5072B"/>
    <w:rsid w:val="00E510B4"/>
    <w:rsid w:val="00E52F37"/>
    <w:rsid w:val="00E537E0"/>
    <w:rsid w:val="00E541FA"/>
    <w:rsid w:val="00E54523"/>
    <w:rsid w:val="00E54C65"/>
    <w:rsid w:val="00E60B93"/>
    <w:rsid w:val="00E62046"/>
    <w:rsid w:val="00E64197"/>
    <w:rsid w:val="00E649AC"/>
    <w:rsid w:val="00E6506B"/>
    <w:rsid w:val="00E6706D"/>
    <w:rsid w:val="00E7088F"/>
    <w:rsid w:val="00E70D19"/>
    <w:rsid w:val="00E7187A"/>
    <w:rsid w:val="00E73751"/>
    <w:rsid w:val="00E74359"/>
    <w:rsid w:val="00E74CBD"/>
    <w:rsid w:val="00E842D0"/>
    <w:rsid w:val="00E93430"/>
    <w:rsid w:val="00E954FB"/>
    <w:rsid w:val="00E97A09"/>
    <w:rsid w:val="00EA05D1"/>
    <w:rsid w:val="00EA1034"/>
    <w:rsid w:val="00EA1A40"/>
    <w:rsid w:val="00EA216D"/>
    <w:rsid w:val="00EA3E1A"/>
    <w:rsid w:val="00EA4082"/>
    <w:rsid w:val="00EA4C3C"/>
    <w:rsid w:val="00EA5181"/>
    <w:rsid w:val="00EB03BF"/>
    <w:rsid w:val="00EB106A"/>
    <w:rsid w:val="00EB1153"/>
    <w:rsid w:val="00EB24DB"/>
    <w:rsid w:val="00EB41D5"/>
    <w:rsid w:val="00EB4281"/>
    <w:rsid w:val="00EB5034"/>
    <w:rsid w:val="00EB5D15"/>
    <w:rsid w:val="00EC0B11"/>
    <w:rsid w:val="00EC1604"/>
    <w:rsid w:val="00EC31D2"/>
    <w:rsid w:val="00EC5156"/>
    <w:rsid w:val="00EC615A"/>
    <w:rsid w:val="00EC6423"/>
    <w:rsid w:val="00EC6D8E"/>
    <w:rsid w:val="00EC7E53"/>
    <w:rsid w:val="00ED256D"/>
    <w:rsid w:val="00ED2C9F"/>
    <w:rsid w:val="00ED7666"/>
    <w:rsid w:val="00ED7C2B"/>
    <w:rsid w:val="00EE0484"/>
    <w:rsid w:val="00EE1821"/>
    <w:rsid w:val="00EE2AF4"/>
    <w:rsid w:val="00EE2C7C"/>
    <w:rsid w:val="00EE36D5"/>
    <w:rsid w:val="00EE4337"/>
    <w:rsid w:val="00EE496D"/>
    <w:rsid w:val="00EE61EF"/>
    <w:rsid w:val="00EE701D"/>
    <w:rsid w:val="00EE73AE"/>
    <w:rsid w:val="00EE76C7"/>
    <w:rsid w:val="00EF2394"/>
    <w:rsid w:val="00EF313A"/>
    <w:rsid w:val="00EF617A"/>
    <w:rsid w:val="00F00B44"/>
    <w:rsid w:val="00F00D5B"/>
    <w:rsid w:val="00F01561"/>
    <w:rsid w:val="00F016BF"/>
    <w:rsid w:val="00F02B87"/>
    <w:rsid w:val="00F02BE8"/>
    <w:rsid w:val="00F02EF2"/>
    <w:rsid w:val="00F05111"/>
    <w:rsid w:val="00F064CE"/>
    <w:rsid w:val="00F1067F"/>
    <w:rsid w:val="00F11256"/>
    <w:rsid w:val="00F11956"/>
    <w:rsid w:val="00F11C4B"/>
    <w:rsid w:val="00F12311"/>
    <w:rsid w:val="00F126B7"/>
    <w:rsid w:val="00F144D2"/>
    <w:rsid w:val="00F15409"/>
    <w:rsid w:val="00F154D7"/>
    <w:rsid w:val="00F15BF9"/>
    <w:rsid w:val="00F21FEE"/>
    <w:rsid w:val="00F233D6"/>
    <w:rsid w:val="00F23932"/>
    <w:rsid w:val="00F247E9"/>
    <w:rsid w:val="00F24D65"/>
    <w:rsid w:val="00F24F97"/>
    <w:rsid w:val="00F2525D"/>
    <w:rsid w:val="00F27C7F"/>
    <w:rsid w:val="00F30E8E"/>
    <w:rsid w:val="00F311FE"/>
    <w:rsid w:val="00F3120E"/>
    <w:rsid w:val="00F32076"/>
    <w:rsid w:val="00F34E2D"/>
    <w:rsid w:val="00F35054"/>
    <w:rsid w:val="00F35D44"/>
    <w:rsid w:val="00F35F0C"/>
    <w:rsid w:val="00F41228"/>
    <w:rsid w:val="00F473CD"/>
    <w:rsid w:val="00F4772B"/>
    <w:rsid w:val="00F50565"/>
    <w:rsid w:val="00F5096F"/>
    <w:rsid w:val="00F50B15"/>
    <w:rsid w:val="00F525D2"/>
    <w:rsid w:val="00F52E60"/>
    <w:rsid w:val="00F5322A"/>
    <w:rsid w:val="00F5438E"/>
    <w:rsid w:val="00F552BA"/>
    <w:rsid w:val="00F55D2E"/>
    <w:rsid w:val="00F56D2A"/>
    <w:rsid w:val="00F575C6"/>
    <w:rsid w:val="00F57D7F"/>
    <w:rsid w:val="00F613F5"/>
    <w:rsid w:val="00F6209A"/>
    <w:rsid w:val="00F620AA"/>
    <w:rsid w:val="00F62578"/>
    <w:rsid w:val="00F634C1"/>
    <w:rsid w:val="00F63E2C"/>
    <w:rsid w:val="00F6428E"/>
    <w:rsid w:val="00F642C1"/>
    <w:rsid w:val="00F644BF"/>
    <w:rsid w:val="00F64898"/>
    <w:rsid w:val="00F651C4"/>
    <w:rsid w:val="00F65F51"/>
    <w:rsid w:val="00F66AC2"/>
    <w:rsid w:val="00F672D7"/>
    <w:rsid w:val="00F675AB"/>
    <w:rsid w:val="00F72204"/>
    <w:rsid w:val="00F73525"/>
    <w:rsid w:val="00F73FE3"/>
    <w:rsid w:val="00F75039"/>
    <w:rsid w:val="00F76940"/>
    <w:rsid w:val="00F76A3A"/>
    <w:rsid w:val="00F76CC2"/>
    <w:rsid w:val="00F82264"/>
    <w:rsid w:val="00F83104"/>
    <w:rsid w:val="00F83995"/>
    <w:rsid w:val="00F84D74"/>
    <w:rsid w:val="00F86013"/>
    <w:rsid w:val="00F863AF"/>
    <w:rsid w:val="00F87322"/>
    <w:rsid w:val="00F9071F"/>
    <w:rsid w:val="00F922F4"/>
    <w:rsid w:val="00F93B1C"/>
    <w:rsid w:val="00F9462F"/>
    <w:rsid w:val="00F94BA6"/>
    <w:rsid w:val="00F95213"/>
    <w:rsid w:val="00F9681C"/>
    <w:rsid w:val="00FA0597"/>
    <w:rsid w:val="00FA0A56"/>
    <w:rsid w:val="00FA10AC"/>
    <w:rsid w:val="00FA2EBE"/>
    <w:rsid w:val="00FA36DB"/>
    <w:rsid w:val="00FA3D28"/>
    <w:rsid w:val="00FA3D2F"/>
    <w:rsid w:val="00FA53BD"/>
    <w:rsid w:val="00FA79B1"/>
    <w:rsid w:val="00FB0057"/>
    <w:rsid w:val="00FB07FB"/>
    <w:rsid w:val="00FB10D7"/>
    <w:rsid w:val="00FB1D2E"/>
    <w:rsid w:val="00FB403E"/>
    <w:rsid w:val="00FB4877"/>
    <w:rsid w:val="00FB5276"/>
    <w:rsid w:val="00FC0DB3"/>
    <w:rsid w:val="00FC1034"/>
    <w:rsid w:val="00FC1C41"/>
    <w:rsid w:val="00FC2335"/>
    <w:rsid w:val="00FC51A0"/>
    <w:rsid w:val="00FC5E6B"/>
    <w:rsid w:val="00FC656A"/>
    <w:rsid w:val="00FC6FAD"/>
    <w:rsid w:val="00FD14F2"/>
    <w:rsid w:val="00FD166E"/>
    <w:rsid w:val="00FD1F7F"/>
    <w:rsid w:val="00FD4834"/>
    <w:rsid w:val="00FD6D7A"/>
    <w:rsid w:val="00FE09F2"/>
    <w:rsid w:val="00FE17A2"/>
    <w:rsid w:val="00FE18E0"/>
    <w:rsid w:val="00FE3820"/>
    <w:rsid w:val="00FE41C6"/>
    <w:rsid w:val="00FE54A3"/>
    <w:rsid w:val="00FE5899"/>
    <w:rsid w:val="00FE6620"/>
    <w:rsid w:val="00FE79A1"/>
    <w:rsid w:val="00FE7B51"/>
    <w:rsid w:val="00FF5F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colormru v:ext="edit" colors="#6f6c0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uiPriority="99" w:qFormat="1"/>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B5220"/>
    <w:pPr>
      <w:autoSpaceDE w:val="0"/>
      <w:autoSpaceDN w:val="0"/>
      <w:adjustRightInd w:val="0"/>
      <w:ind w:firstLine="284"/>
      <w:jc w:val="both"/>
    </w:pPr>
    <w:rPr>
      <w:rFonts w:eastAsia="Malgun Gothic" w:cs="Tunga"/>
      <w:sz w:val="24"/>
    </w:rPr>
  </w:style>
  <w:style w:type="paragraph" w:styleId="Ttulo1">
    <w:name w:val="heading 1"/>
    <w:next w:val="Normal"/>
    <w:link w:val="Ttulo1Char"/>
    <w:qFormat/>
    <w:rsid w:val="00604592"/>
    <w:pPr>
      <w:outlineLvl w:val="0"/>
    </w:pPr>
    <w:rPr>
      <w:rFonts w:eastAsia="Malgun Gothic" w:cs="Tunga"/>
      <w:b/>
      <w:bCs/>
      <w:caps/>
      <w:sz w:val="24"/>
    </w:rPr>
  </w:style>
  <w:style w:type="paragraph" w:styleId="Ttulo2">
    <w:name w:val="heading 2"/>
    <w:next w:val="Normal"/>
    <w:qFormat/>
    <w:rsid w:val="00604592"/>
    <w:pPr>
      <w:outlineLvl w:val="1"/>
    </w:pPr>
    <w:rPr>
      <w:rFonts w:eastAsia="Malgun Gothic" w:cs="Tunga"/>
      <w:b/>
      <w:sz w:val="24"/>
    </w:rPr>
  </w:style>
  <w:style w:type="paragraph" w:styleId="Ttulo3">
    <w:name w:val="heading 3"/>
    <w:next w:val="Normal"/>
    <w:qFormat/>
    <w:rsid w:val="002C1615"/>
    <w:pPr>
      <w:ind w:firstLine="426"/>
      <w:outlineLvl w:val="2"/>
    </w:pPr>
    <w:rPr>
      <w:rFonts w:ascii="Lucida Fax" w:eastAsia="Malgun Gothic" w:hAnsi="Lucida Fax" w:cs="Tunga"/>
      <w:b/>
    </w:rPr>
  </w:style>
  <w:style w:type="paragraph" w:styleId="Ttulo4">
    <w:name w:val="heading 4"/>
    <w:basedOn w:val="Ttulo3"/>
    <w:next w:val="Normal"/>
    <w:rsid w:val="00FB4877"/>
    <w:pPr>
      <w:outlineLvl w:val="3"/>
    </w:pPr>
    <w:rPr>
      <w:i/>
      <w:iCs/>
    </w:rPr>
  </w:style>
  <w:style w:type="paragraph" w:styleId="Ttulo5">
    <w:name w:val="heading 5"/>
    <w:basedOn w:val="Ttulo4"/>
    <w:next w:val="Normal"/>
    <w:rsid w:val="00383339"/>
    <w:pP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rsid w:val="000E3C24"/>
  </w:style>
  <w:style w:type="paragraph" w:customStyle="1" w:styleId="CorpodoTexto">
    <w:name w:val="Corpo do Texto"/>
    <w:basedOn w:val="Normal"/>
    <w:rsid w:val="000E3C24"/>
  </w:style>
  <w:style w:type="paragraph" w:customStyle="1" w:styleId="Recuodecorpodetexto21">
    <w:name w:val="Recuo de corpo de texto 21"/>
    <w:basedOn w:val="Normal"/>
    <w:rsid w:val="0069364D"/>
    <w:pPr>
      <w:ind w:firstLine="851"/>
    </w:pPr>
    <w:rPr>
      <w:sz w:val="26"/>
    </w:rPr>
  </w:style>
  <w:style w:type="paragraph" w:styleId="Corpodetexto">
    <w:name w:val="Body Text"/>
    <w:basedOn w:val="Normal"/>
    <w:rsid w:val="0069364D"/>
    <w:pPr>
      <w:spacing w:after="120"/>
    </w:pPr>
  </w:style>
  <w:style w:type="paragraph" w:styleId="Cabealho">
    <w:name w:val="header"/>
    <w:basedOn w:val="Normal"/>
    <w:link w:val="CabealhoChar"/>
    <w:uiPriority w:val="99"/>
    <w:rsid w:val="0069364D"/>
    <w:pPr>
      <w:tabs>
        <w:tab w:val="center" w:pos="4252"/>
        <w:tab w:val="right" w:pos="8504"/>
      </w:tabs>
    </w:pPr>
  </w:style>
  <w:style w:type="character" w:styleId="Nmerodepgina">
    <w:name w:val="page number"/>
    <w:basedOn w:val="Fontepargpadro"/>
    <w:rsid w:val="0069364D"/>
  </w:style>
  <w:style w:type="character" w:styleId="Hyperlink">
    <w:name w:val="Hyperlink"/>
    <w:basedOn w:val="Fontepargpadro"/>
    <w:uiPriority w:val="99"/>
    <w:rsid w:val="00C2668B"/>
    <w:rPr>
      <w:color w:val="0000FF"/>
      <w:u w:val="single"/>
    </w:rPr>
  </w:style>
  <w:style w:type="character" w:styleId="nfase">
    <w:name w:val="Emphasis"/>
    <w:basedOn w:val="Fontepargpadro"/>
    <w:rsid w:val="00C2668B"/>
    <w:rPr>
      <w:i/>
      <w:iCs/>
    </w:rPr>
  </w:style>
  <w:style w:type="paragraph" w:styleId="Sumrio3">
    <w:name w:val="toc 3"/>
    <w:basedOn w:val="Normal"/>
    <w:next w:val="Normal"/>
    <w:autoRedefine/>
    <w:uiPriority w:val="39"/>
    <w:rsid w:val="00C2668B"/>
    <w:pPr>
      <w:ind w:left="480"/>
    </w:pPr>
  </w:style>
  <w:style w:type="paragraph" w:styleId="Sumrio1">
    <w:name w:val="toc 1"/>
    <w:basedOn w:val="Normal"/>
    <w:next w:val="Normal"/>
    <w:autoRedefine/>
    <w:uiPriority w:val="39"/>
    <w:rsid w:val="00C2668B"/>
  </w:style>
  <w:style w:type="paragraph" w:styleId="Sumrio2">
    <w:name w:val="toc 2"/>
    <w:basedOn w:val="Normal"/>
    <w:next w:val="Normal"/>
    <w:autoRedefine/>
    <w:uiPriority w:val="39"/>
    <w:rsid w:val="00C2668B"/>
    <w:pPr>
      <w:ind w:left="240"/>
    </w:pPr>
  </w:style>
  <w:style w:type="paragraph" w:customStyle="1" w:styleId="Ttulo40">
    <w:name w:val="Título4"/>
    <w:basedOn w:val="Normal"/>
    <w:rsid w:val="00383339"/>
  </w:style>
  <w:style w:type="paragraph" w:styleId="Sumrio4">
    <w:name w:val="toc 4"/>
    <w:basedOn w:val="Normal"/>
    <w:next w:val="Normal"/>
    <w:autoRedefine/>
    <w:uiPriority w:val="39"/>
    <w:rsid w:val="00383339"/>
    <w:pPr>
      <w:ind w:left="720"/>
    </w:pPr>
  </w:style>
  <w:style w:type="paragraph" w:styleId="Rodap">
    <w:name w:val="footer"/>
    <w:basedOn w:val="Normal"/>
    <w:link w:val="RodapChar"/>
    <w:uiPriority w:val="99"/>
    <w:rsid w:val="00161C5C"/>
    <w:pPr>
      <w:tabs>
        <w:tab w:val="center" w:pos="4252"/>
        <w:tab w:val="right" w:pos="8504"/>
      </w:tabs>
    </w:pPr>
  </w:style>
  <w:style w:type="table" w:styleId="Tabelacomgrade">
    <w:name w:val="Table Grid"/>
    <w:basedOn w:val="Tabelanormal"/>
    <w:rsid w:val="00D96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har">
    <w:name w:val="Texto Char"/>
    <w:basedOn w:val="Fontepargpadro"/>
    <w:link w:val="Texto"/>
    <w:rsid w:val="00AF5059"/>
    <w:rPr>
      <w:sz w:val="24"/>
      <w:szCs w:val="24"/>
      <w:lang w:val="pt-BR" w:eastAsia="pt-BR" w:bidi="ar-SA"/>
    </w:rPr>
  </w:style>
  <w:style w:type="character" w:styleId="Refdecomentrio">
    <w:name w:val="annotation reference"/>
    <w:basedOn w:val="Fontepargpadro"/>
    <w:semiHidden/>
    <w:rsid w:val="00973AD7"/>
    <w:rPr>
      <w:sz w:val="16"/>
      <w:szCs w:val="16"/>
    </w:rPr>
  </w:style>
  <w:style w:type="paragraph" w:styleId="Textodecomentrio">
    <w:name w:val="annotation text"/>
    <w:basedOn w:val="Normal"/>
    <w:semiHidden/>
    <w:rsid w:val="00973AD7"/>
  </w:style>
  <w:style w:type="paragraph" w:styleId="Assuntodocomentrio">
    <w:name w:val="annotation subject"/>
    <w:basedOn w:val="Textodecomentrio"/>
    <w:next w:val="Textodecomentrio"/>
    <w:semiHidden/>
    <w:rsid w:val="00973AD7"/>
    <w:rPr>
      <w:b/>
      <w:bCs/>
    </w:rPr>
  </w:style>
  <w:style w:type="paragraph" w:styleId="Textodebalo">
    <w:name w:val="Balloon Text"/>
    <w:basedOn w:val="Normal"/>
    <w:semiHidden/>
    <w:rsid w:val="00973AD7"/>
    <w:rPr>
      <w:rFonts w:ascii="Tahoma" w:hAnsi="Tahoma" w:cs="Tahoma"/>
      <w:sz w:val="16"/>
      <w:szCs w:val="16"/>
    </w:rPr>
  </w:style>
  <w:style w:type="paragraph" w:styleId="Textodenotaderodap">
    <w:name w:val="footnote text"/>
    <w:basedOn w:val="Normal"/>
    <w:semiHidden/>
    <w:rsid w:val="00973AD7"/>
  </w:style>
  <w:style w:type="character" w:styleId="Refdenotaderodap">
    <w:name w:val="footnote reference"/>
    <w:basedOn w:val="Fontepargpadro"/>
    <w:semiHidden/>
    <w:rsid w:val="00973AD7"/>
    <w:rPr>
      <w:vertAlign w:val="superscript"/>
    </w:rPr>
  </w:style>
  <w:style w:type="paragraph" w:styleId="MapadoDocumento">
    <w:name w:val="Document Map"/>
    <w:basedOn w:val="Normal"/>
    <w:link w:val="MapadoDocumentoChar"/>
    <w:rsid w:val="00140F5E"/>
    <w:rPr>
      <w:rFonts w:ascii="Tahoma" w:hAnsi="Tahoma" w:cs="Tahoma"/>
      <w:sz w:val="16"/>
      <w:szCs w:val="16"/>
    </w:rPr>
  </w:style>
  <w:style w:type="character" w:customStyle="1" w:styleId="MapadoDocumentoChar">
    <w:name w:val="Mapa do Documento Char"/>
    <w:basedOn w:val="Fontepargpadro"/>
    <w:link w:val="MapadoDocumento"/>
    <w:rsid w:val="00140F5E"/>
    <w:rPr>
      <w:rFonts w:ascii="Tahoma" w:hAnsi="Tahoma" w:cs="Tahoma"/>
      <w:sz w:val="16"/>
      <w:szCs w:val="16"/>
    </w:rPr>
  </w:style>
  <w:style w:type="paragraph" w:customStyle="1" w:styleId="Ttulo10">
    <w:name w:val="Título1"/>
    <w:basedOn w:val="Ttulo1"/>
    <w:link w:val="Ttulo1Char0"/>
    <w:rsid w:val="00706042"/>
    <w:pPr>
      <w:jc w:val="center"/>
    </w:pPr>
  </w:style>
  <w:style w:type="paragraph" w:customStyle="1" w:styleId="Figura">
    <w:name w:val="Figura"/>
    <w:next w:val="Normal"/>
    <w:link w:val="FiguraChar"/>
    <w:qFormat/>
    <w:rsid w:val="00F94BA6"/>
    <w:pPr>
      <w:jc w:val="center"/>
    </w:pPr>
    <w:rPr>
      <w:rFonts w:eastAsia="Malgun Gothic" w:cs="Tunga"/>
      <w:sz w:val="24"/>
    </w:rPr>
  </w:style>
  <w:style w:type="character" w:customStyle="1" w:styleId="Ttulo1Char">
    <w:name w:val="Título 1 Char"/>
    <w:basedOn w:val="Fontepargpadro"/>
    <w:link w:val="Ttulo1"/>
    <w:rsid w:val="00604592"/>
    <w:rPr>
      <w:rFonts w:eastAsia="Malgun Gothic" w:cs="Tunga"/>
      <w:b/>
      <w:bCs/>
      <w:caps/>
      <w:sz w:val="24"/>
    </w:rPr>
  </w:style>
  <w:style w:type="character" w:customStyle="1" w:styleId="Ttulo1Char0">
    <w:name w:val="Título1 Char"/>
    <w:basedOn w:val="Ttulo1Char"/>
    <w:link w:val="Ttulo10"/>
    <w:rsid w:val="00706042"/>
    <w:rPr>
      <w:b/>
      <w:bCs/>
      <w:caps/>
    </w:rPr>
  </w:style>
  <w:style w:type="paragraph" w:customStyle="1" w:styleId="Tabela">
    <w:name w:val="Tabela"/>
    <w:basedOn w:val="Normal"/>
    <w:link w:val="TabelaChar"/>
    <w:qFormat/>
    <w:rsid w:val="00F94BA6"/>
    <w:pPr>
      <w:ind w:firstLine="0"/>
      <w:jc w:val="center"/>
    </w:pPr>
  </w:style>
  <w:style w:type="character" w:customStyle="1" w:styleId="FiguraChar">
    <w:name w:val="Figura Char"/>
    <w:basedOn w:val="TextoChar"/>
    <w:link w:val="Figura"/>
    <w:rsid w:val="00F94BA6"/>
    <w:rPr>
      <w:rFonts w:eastAsia="Malgun Gothic" w:cs="Tunga"/>
    </w:rPr>
  </w:style>
  <w:style w:type="paragraph" w:customStyle="1" w:styleId="Normalsemespao">
    <w:name w:val="Normal sem espaço"/>
    <w:basedOn w:val="Texto"/>
    <w:link w:val="NormalsemespaoChar"/>
    <w:rsid w:val="00A35650"/>
  </w:style>
  <w:style w:type="character" w:customStyle="1" w:styleId="TabelaChar">
    <w:name w:val="Tabela Char"/>
    <w:basedOn w:val="TextoChar"/>
    <w:link w:val="Tabela"/>
    <w:rsid w:val="00F94BA6"/>
    <w:rPr>
      <w:rFonts w:eastAsia="Malgun Gothic" w:cs="Tunga"/>
    </w:rPr>
  </w:style>
  <w:style w:type="character" w:customStyle="1" w:styleId="CabealhoChar">
    <w:name w:val="Cabeçalho Char"/>
    <w:basedOn w:val="Fontepargpadro"/>
    <w:link w:val="Cabealho"/>
    <w:uiPriority w:val="99"/>
    <w:rsid w:val="006752FA"/>
    <w:rPr>
      <w:sz w:val="24"/>
      <w:szCs w:val="24"/>
    </w:rPr>
  </w:style>
  <w:style w:type="character" w:customStyle="1" w:styleId="NormalsemespaoChar">
    <w:name w:val="Normal sem espaço Char"/>
    <w:basedOn w:val="TextoChar"/>
    <w:link w:val="Normalsemespao"/>
    <w:rsid w:val="00A35650"/>
  </w:style>
  <w:style w:type="character" w:customStyle="1" w:styleId="RodapChar">
    <w:name w:val="Rodapé Char"/>
    <w:basedOn w:val="Fontepargpadro"/>
    <w:link w:val="Rodap"/>
    <w:uiPriority w:val="99"/>
    <w:rsid w:val="006752FA"/>
    <w:rPr>
      <w:sz w:val="24"/>
      <w:szCs w:val="24"/>
    </w:rPr>
  </w:style>
  <w:style w:type="paragraph" w:styleId="CabealhodoSumrio">
    <w:name w:val="TOC Heading"/>
    <w:basedOn w:val="Ttulo1"/>
    <w:next w:val="Normal"/>
    <w:uiPriority w:val="39"/>
    <w:semiHidden/>
    <w:unhideWhenUsed/>
    <w:qFormat/>
    <w:rsid w:val="006B3513"/>
    <w:pPr>
      <w:keepNext/>
      <w:keepLines/>
      <w:spacing w:before="480" w:line="276" w:lineRule="auto"/>
      <w:outlineLvl w:val="9"/>
    </w:pPr>
    <w:rPr>
      <w:rFonts w:asciiTheme="majorHAnsi" w:eastAsiaTheme="majorEastAsia" w:hAnsiTheme="majorHAnsi" w:cstheme="majorBidi"/>
      <w:caps w:val="0"/>
      <w:color w:val="365F91" w:themeColor="accent1" w:themeShade="BF"/>
      <w:sz w:val="28"/>
      <w:szCs w:val="28"/>
      <w:lang w:eastAsia="en-US"/>
    </w:rPr>
  </w:style>
  <w:style w:type="paragraph" w:styleId="PargrafodaLista">
    <w:name w:val="List Paragraph"/>
    <w:basedOn w:val="Normal"/>
    <w:uiPriority w:val="34"/>
    <w:rsid w:val="00367D8B"/>
    <w:pPr>
      <w:ind w:left="720"/>
      <w:contextualSpacing/>
    </w:pPr>
  </w:style>
  <w:style w:type="paragraph" w:customStyle="1" w:styleId="Frmula">
    <w:name w:val="Fórmula"/>
    <w:basedOn w:val="Normal"/>
    <w:link w:val="FrmulaChar"/>
    <w:qFormat/>
    <w:rsid w:val="00367D8B"/>
    <w:pPr>
      <w:jc w:val="right"/>
    </w:pPr>
  </w:style>
  <w:style w:type="character" w:customStyle="1" w:styleId="FrmulaChar">
    <w:name w:val="Fórmula Char"/>
    <w:basedOn w:val="Fontepargpadro"/>
    <w:link w:val="Frmula"/>
    <w:rsid w:val="00367D8B"/>
    <w:rPr>
      <w:sz w:val="24"/>
      <w:szCs w:val="24"/>
    </w:rPr>
  </w:style>
  <w:style w:type="paragraph" w:customStyle="1" w:styleId="NotadeRodap">
    <w:name w:val="Nota de Rodapé"/>
    <w:link w:val="NotadeRodapChar"/>
    <w:qFormat/>
    <w:rsid w:val="00D5470A"/>
    <w:pPr>
      <w:spacing w:after="120"/>
    </w:pPr>
    <w:rPr>
      <w:rFonts w:eastAsia="Malgun Gothic" w:cs="Tunga"/>
      <w:sz w:val="16"/>
      <w:szCs w:val="16"/>
    </w:rPr>
  </w:style>
  <w:style w:type="character" w:customStyle="1" w:styleId="NotadeRodapChar">
    <w:name w:val="Nota de Rodapé Char"/>
    <w:basedOn w:val="Fontepargpadro"/>
    <w:link w:val="NotadeRodap"/>
    <w:rsid w:val="00D5470A"/>
    <w:rPr>
      <w:rFonts w:eastAsia="Malgun Gothic" w:cs="Tunga"/>
      <w:sz w:val="16"/>
      <w:szCs w:val="16"/>
    </w:rPr>
  </w:style>
  <w:style w:type="paragraph" w:styleId="Textodenotadefim">
    <w:name w:val="endnote text"/>
    <w:basedOn w:val="Normal"/>
    <w:link w:val="TextodenotadefimChar"/>
    <w:rsid w:val="00E42004"/>
  </w:style>
  <w:style w:type="character" w:customStyle="1" w:styleId="TextodenotadefimChar">
    <w:name w:val="Texto de nota de fim Char"/>
    <w:basedOn w:val="Fontepargpadro"/>
    <w:link w:val="Textodenotadefim"/>
    <w:rsid w:val="00E42004"/>
  </w:style>
  <w:style w:type="character" w:styleId="Refdenotadefim">
    <w:name w:val="endnote reference"/>
    <w:basedOn w:val="Fontepargpadro"/>
    <w:rsid w:val="00E42004"/>
    <w:rPr>
      <w:vertAlign w:val="superscript"/>
    </w:rPr>
  </w:style>
  <w:style w:type="character" w:styleId="TextodoEspaoReservado">
    <w:name w:val="Placeholder Text"/>
    <w:basedOn w:val="Fontepargpadro"/>
    <w:uiPriority w:val="99"/>
    <w:semiHidden/>
    <w:rsid w:val="00F2525D"/>
    <w:rPr>
      <w:color w:val="808080"/>
    </w:rPr>
  </w:style>
  <w:style w:type="paragraph" w:styleId="SemEspaamento">
    <w:name w:val="No Spacing"/>
    <w:basedOn w:val="Normal"/>
    <w:uiPriority w:val="1"/>
    <w:qFormat/>
    <w:rsid w:val="00926BF0"/>
    <w:pPr>
      <w:ind w:firstLine="0"/>
    </w:pPr>
  </w:style>
  <w:style w:type="character" w:styleId="RefernciaSutil">
    <w:name w:val="Subtle Reference"/>
    <w:uiPriority w:val="31"/>
    <w:qFormat/>
    <w:rsid w:val="0001122C"/>
  </w:style>
  <w:style w:type="character" w:styleId="RefernciaIntensa">
    <w:name w:val="Intense Reference"/>
    <w:basedOn w:val="Fontepargpadro"/>
    <w:uiPriority w:val="32"/>
    <w:rsid w:val="0001122C"/>
    <w:rPr>
      <w:b/>
      <w:bCs/>
      <w:smallCaps/>
      <w:color w:val="C0504D" w:themeColor="accent2"/>
      <w:spacing w:val="5"/>
      <w:u w:val="single"/>
    </w:rPr>
  </w:style>
  <w:style w:type="paragraph" w:styleId="Ttulo">
    <w:name w:val="Title"/>
    <w:basedOn w:val="Normal"/>
    <w:next w:val="Normal"/>
    <w:link w:val="TtuloChar"/>
    <w:uiPriority w:val="99"/>
    <w:qFormat/>
    <w:rsid w:val="00012602"/>
    <w:pPr>
      <w:ind w:firstLine="0"/>
      <w:jc w:val="left"/>
    </w:pPr>
    <w:rPr>
      <w:b/>
      <w:sz w:val="40"/>
      <w:szCs w:val="40"/>
    </w:rPr>
  </w:style>
  <w:style w:type="character" w:customStyle="1" w:styleId="TtuloChar">
    <w:name w:val="Título Char"/>
    <w:basedOn w:val="Fontepargpadro"/>
    <w:link w:val="Ttulo"/>
    <w:uiPriority w:val="99"/>
    <w:rsid w:val="00012602"/>
    <w:rPr>
      <w:rFonts w:ascii="Lucida Fax" w:eastAsia="Malgun Gothic" w:hAnsi="Lucida Fax" w:cs="Tunga"/>
      <w:b/>
      <w:sz w:val="40"/>
      <w:szCs w:val="40"/>
    </w:rPr>
  </w:style>
  <w:style w:type="paragraph" w:customStyle="1" w:styleId="Referncias">
    <w:name w:val="Referências"/>
    <w:basedOn w:val="Normal"/>
    <w:qFormat/>
    <w:rsid w:val="003B5220"/>
    <w:pPr>
      <w:autoSpaceDE/>
      <w:autoSpaceDN/>
      <w:adjustRightInd/>
      <w:ind w:left="284" w:hanging="284"/>
    </w:pPr>
    <w:rPr>
      <w:rFonts w:eastAsia="Times New Roman" w:cs="Times New Roman"/>
      <w:szCs w:val="24"/>
      <w:lang w:val="en-US"/>
    </w:rPr>
  </w:style>
  <w:style w:type="character" w:customStyle="1" w:styleId="shorttext">
    <w:name w:val="short_text"/>
    <w:basedOn w:val="Fontepargpadro"/>
    <w:rsid w:val="00AC60B2"/>
  </w:style>
</w:styles>
</file>

<file path=word/webSettings.xml><?xml version="1.0" encoding="utf-8"?>
<w:webSettings xmlns:r="http://schemas.openxmlformats.org/officeDocument/2006/relationships" xmlns:w="http://schemas.openxmlformats.org/wordprocessingml/2006/main">
  <w:divs>
    <w:div w:id="46994535">
      <w:bodyDiv w:val="1"/>
      <w:marLeft w:val="0"/>
      <w:marRight w:val="0"/>
      <w:marTop w:val="0"/>
      <w:marBottom w:val="0"/>
      <w:divBdr>
        <w:top w:val="none" w:sz="0" w:space="0" w:color="auto"/>
        <w:left w:val="none" w:sz="0" w:space="0" w:color="auto"/>
        <w:bottom w:val="none" w:sz="0" w:space="0" w:color="auto"/>
        <w:right w:val="none" w:sz="0" w:space="0" w:color="auto"/>
      </w:divBdr>
    </w:div>
    <w:div w:id="132909055">
      <w:bodyDiv w:val="1"/>
      <w:marLeft w:val="0"/>
      <w:marRight w:val="0"/>
      <w:marTop w:val="0"/>
      <w:marBottom w:val="0"/>
      <w:divBdr>
        <w:top w:val="none" w:sz="0" w:space="0" w:color="auto"/>
        <w:left w:val="none" w:sz="0" w:space="0" w:color="auto"/>
        <w:bottom w:val="none" w:sz="0" w:space="0" w:color="auto"/>
        <w:right w:val="none" w:sz="0" w:space="0" w:color="auto"/>
      </w:divBdr>
    </w:div>
    <w:div w:id="327488925">
      <w:bodyDiv w:val="1"/>
      <w:marLeft w:val="0"/>
      <w:marRight w:val="0"/>
      <w:marTop w:val="0"/>
      <w:marBottom w:val="0"/>
      <w:divBdr>
        <w:top w:val="none" w:sz="0" w:space="0" w:color="auto"/>
        <w:left w:val="none" w:sz="0" w:space="0" w:color="auto"/>
        <w:bottom w:val="none" w:sz="0" w:space="0" w:color="auto"/>
        <w:right w:val="none" w:sz="0" w:space="0" w:color="auto"/>
      </w:divBdr>
    </w:div>
    <w:div w:id="328294202">
      <w:bodyDiv w:val="1"/>
      <w:marLeft w:val="0"/>
      <w:marRight w:val="0"/>
      <w:marTop w:val="0"/>
      <w:marBottom w:val="0"/>
      <w:divBdr>
        <w:top w:val="none" w:sz="0" w:space="0" w:color="auto"/>
        <w:left w:val="none" w:sz="0" w:space="0" w:color="auto"/>
        <w:bottom w:val="none" w:sz="0" w:space="0" w:color="auto"/>
        <w:right w:val="none" w:sz="0" w:space="0" w:color="auto"/>
      </w:divBdr>
    </w:div>
    <w:div w:id="593515027">
      <w:bodyDiv w:val="1"/>
      <w:marLeft w:val="0"/>
      <w:marRight w:val="0"/>
      <w:marTop w:val="0"/>
      <w:marBottom w:val="0"/>
      <w:divBdr>
        <w:top w:val="none" w:sz="0" w:space="0" w:color="auto"/>
        <w:left w:val="none" w:sz="0" w:space="0" w:color="auto"/>
        <w:bottom w:val="none" w:sz="0" w:space="0" w:color="auto"/>
        <w:right w:val="none" w:sz="0" w:space="0" w:color="auto"/>
      </w:divBdr>
    </w:div>
    <w:div w:id="772171504">
      <w:bodyDiv w:val="1"/>
      <w:marLeft w:val="0"/>
      <w:marRight w:val="0"/>
      <w:marTop w:val="0"/>
      <w:marBottom w:val="0"/>
      <w:divBdr>
        <w:top w:val="none" w:sz="0" w:space="0" w:color="auto"/>
        <w:left w:val="none" w:sz="0" w:space="0" w:color="auto"/>
        <w:bottom w:val="none" w:sz="0" w:space="0" w:color="auto"/>
        <w:right w:val="none" w:sz="0" w:space="0" w:color="auto"/>
      </w:divBdr>
    </w:div>
    <w:div w:id="776755491">
      <w:bodyDiv w:val="1"/>
      <w:marLeft w:val="0"/>
      <w:marRight w:val="0"/>
      <w:marTop w:val="0"/>
      <w:marBottom w:val="0"/>
      <w:divBdr>
        <w:top w:val="none" w:sz="0" w:space="0" w:color="auto"/>
        <w:left w:val="none" w:sz="0" w:space="0" w:color="auto"/>
        <w:bottom w:val="none" w:sz="0" w:space="0" w:color="auto"/>
        <w:right w:val="none" w:sz="0" w:space="0" w:color="auto"/>
      </w:divBdr>
    </w:div>
    <w:div w:id="813377403">
      <w:bodyDiv w:val="1"/>
      <w:marLeft w:val="0"/>
      <w:marRight w:val="0"/>
      <w:marTop w:val="0"/>
      <w:marBottom w:val="0"/>
      <w:divBdr>
        <w:top w:val="none" w:sz="0" w:space="0" w:color="auto"/>
        <w:left w:val="none" w:sz="0" w:space="0" w:color="auto"/>
        <w:bottom w:val="none" w:sz="0" w:space="0" w:color="auto"/>
        <w:right w:val="none" w:sz="0" w:space="0" w:color="auto"/>
      </w:divBdr>
    </w:div>
    <w:div w:id="826869899">
      <w:bodyDiv w:val="1"/>
      <w:marLeft w:val="0"/>
      <w:marRight w:val="0"/>
      <w:marTop w:val="0"/>
      <w:marBottom w:val="0"/>
      <w:divBdr>
        <w:top w:val="none" w:sz="0" w:space="0" w:color="auto"/>
        <w:left w:val="none" w:sz="0" w:space="0" w:color="auto"/>
        <w:bottom w:val="none" w:sz="0" w:space="0" w:color="auto"/>
        <w:right w:val="none" w:sz="0" w:space="0" w:color="auto"/>
      </w:divBdr>
      <w:divsChild>
        <w:div w:id="490557704">
          <w:marLeft w:val="0"/>
          <w:marRight w:val="0"/>
          <w:marTop w:val="0"/>
          <w:marBottom w:val="0"/>
          <w:divBdr>
            <w:top w:val="none" w:sz="0" w:space="0" w:color="auto"/>
            <w:left w:val="none" w:sz="0" w:space="0" w:color="auto"/>
            <w:bottom w:val="none" w:sz="0" w:space="0" w:color="auto"/>
            <w:right w:val="none" w:sz="0" w:space="0" w:color="auto"/>
          </w:divBdr>
        </w:div>
      </w:divsChild>
    </w:div>
    <w:div w:id="900869173">
      <w:bodyDiv w:val="1"/>
      <w:marLeft w:val="0"/>
      <w:marRight w:val="0"/>
      <w:marTop w:val="0"/>
      <w:marBottom w:val="0"/>
      <w:divBdr>
        <w:top w:val="none" w:sz="0" w:space="0" w:color="auto"/>
        <w:left w:val="none" w:sz="0" w:space="0" w:color="auto"/>
        <w:bottom w:val="none" w:sz="0" w:space="0" w:color="auto"/>
        <w:right w:val="none" w:sz="0" w:space="0" w:color="auto"/>
      </w:divBdr>
    </w:div>
    <w:div w:id="925653811">
      <w:bodyDiv w:val="1"/>
      <w:marLeft w:val="0"/>
      <w:marRight w:val="0"/>
      <w:marTop w:val="0"/>
      <w:marBottom w:val="0"/>
      <w:divBdr>
        <w:top w:val="none" w:sz="0" w:space="0" w:color="auto"/>
        <w:left w:val="none" w:sz="0" w:space="0" w:color="auto"/>
        <w:bottom w:val="none" w:sz="0" w:space="0" w:color="auto"/>
        <w:right w:val="none" w:sz="0" w:space="0" w:color="auto"/>
      </w:divBdr>
    </w:div>
    <w:div w:id="939607738">
      <w:bodyDiv w:val="1"/>
      <w:marLeft w:val="0"/>
      <w:marRight w:val="0"/>
      <w:marTop w:val="0"/>
      <w:marBottom w:val="0"/>
      <w:divBdr>
        <w:top w:val="none" w:sz="0" w:space="0" w:color="auto"/>
        <w:left w:val="none" w:sz="0" w:space="0" w:color="auto"/>
        <w:bottom w:val="none" w:sz="0" w:space="0" w:color="auto"/>
        <w:right w:val="none" w:sz="0" w:space="0" w:color="auto"/>
      </w:divBdr>
    </w:div>
    <w:div w:id="1165128599">
      <w:bodyDiv w:val="1"/>
      <w:marLeft w:val="0"/>
      <w:marRight w:val="0"/>
      <w:marTop w:val="0"/>
      <w:marBottom w:val="0"/>
      <w:divBdr>
        <w:top w:val="none" w:sz="0" w:space="0" w:color="auto"/>
        <w:left w:val="none" w:sz="0" w:space="0" w:color="auto"/>
        <w:bottom w:val="none" w:sz="0" w:space="0" w:color="auto"/>
        <w:right w:val="none" w:sz="0" w:space="0" w:color="auto"/>
      </w:divBdr>
    </w:div>
    <w:div w:id="1246568075">
      <w:bodyDiv w:val="1"/>
      <w:marLeft w:val="0"/>
      <w:marRight w:val="0"/>
      <w:marTop w:val="0"/>
      <w:marBottom w:val="0"/>
      <w:divBdr>
        <w:top w:val="none" w:sz="0" w:space="0" w:color="auto"/>
        <w:left w:val="none" w:sz="0" w:space="0" w:color="auto"/>
        <w:bottom w:val="none" w:sz="0" w:space="0" w:color="auto"/>
        <w:right w:val="none" w:sz="0" w:space="0" w:color="auto"/>
      </w:divBdr>
    </w:div>
    <w:div w:id="1477599402">
      <w:bodyDiv w:val="1"/>
      <w:marLeft w:val="0"/>
      <w:marRight w:val="0"/>
      <w:marTop w:val="0"/>
      <w:marBottom w:val="0"/>
      <w:divBdr>
        <w:top w:val="none" w:sz="0" w:space="0" w:color="auto"/>
        <w:left w:val="none" w:sz="0" w:space="0" w:color="auto"/>
        <w:bottom w:val="none" w:sz="0" w:space="0" w:color="auto"/>
        <w:right w:val="none" w:sz="0" w:space="0" w:color="auto"/>
      </w:divBdr>
    </w:div>
    <w:div w:id="1677269345">
      <w:bodyDiv w:val="1"/>
      <w:marLeft w:val="0"/>
      <w:marRight w:val="0"/>
      <w:marTop w:val="0"/>
      <w:marBottom w:val="0"/>
      <w:divBdr>
        <w:top w:val="none" w:sz="0" w:space="0" w:color="auto"/>
        <w:left w:val="none" w:sz="0" w:space="0" w:color="auto"/>
        <w:bottom w:val="none" w:sz="0" w:space="0" w:color="auto"/>
        <w:right w:val="none" w:sz="0" w:space="0" w:color="auto"/>
      </w:divBdr>
    </w:div>
    <w:div w:id="1833719198">
      <w:bodyDiv w:val="1"/>
      <w:marLeft w:val="0"/>
      <w:marRight w:val="0"/>
      <w:marTop w:val="0"/>
      <w:marBottom w:val="0"/>
      <w:divBdr>
        <w:top w:val="none" w:sz="0" w:space="0" w:color="auto"/>
        <w:left w:val="none" w:sz="0" w:space="0" w:color="auto"/>
        <w:bottom w:val="none" w:sz="0" w:space="0" w:color="auto"/>
        <w:right w:val="none" w:sz="0" w:space="0" w:color="auto"/>
      </w:divBdr>
    </w:div>
    <w:div w:id="1883593381">
      <w:bodyDiv w:val="1"/>
      <w:marLeft w:val="0"/>
      <w:marRight w:val="0"/>
      <w:marTop w:val="0"/>
      <w:marBottom w:val="0"/>
      <w:divBdr>
        <w:top w:val="none" w:sz="0" w:space="0" w:color="auto"/>
        <w:left w:val="none" w:sz="0" w:space="0" w:color="auto"/>
        <w:bottom w:val="none" w:sz="0" w:space="0" w:color="auto"/>
        <w:right w:val="none" w:sz="0" w:space="0" w:color="auto"/>
      </w:divBdr>
    </w:div>
    <w:div w:id="20037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50.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image" Target="media/image17.wmf"/><Relationship Id="rId63" Type="http://schemas.openxmlformats.org/officeDocument/2006/relationships/oleObject" Target="embeddings/oleObject26.bin"/><Relationship Id="rId68" Type="http://schemas.openxmlformats.org/officeDocument/2006/relationships/image" Target="media/image27.wmf"/><Relationship Id="rId84"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58.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oleObject" Target="embeddings/oleObject75.bin"/><Relationship Id="rId175" Type="http://schemas.openxmlformats.org/officeDocument/2006/relationships/header" Target="header6.xml"/><Relationship Id="rId170" Type="http://schemas.openxmlformats.org/officeDocument/2006/relationships/image" Target="media/image78.emf"/><Relationship Id="rId16" Type="http://schemas.openxmlformats.org/officeDocument/2006/relationships/image" Target="media/image2.wmf"/><Relationship Id="rId107" Type="http://schemas.openxmlformats.org/officeDocument/2006/relationships/image" Target="media/image45.wmf"/><Relationship Id="rId11" Type="http://schemas.openxmlformats.org/officeDocument/2006/relationships/footer" Target="footer2.xml"/><Relationship Id="rId32" Type="http://schemas.openxmlformats.org/officeDocument/2006/relationships/oleObject" Target="embeddings/oleObject10.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3.bin"/><Relationship Id="rId74" Type="http://schemas.openxmlformats.org/officeDocument/2006/relationships/image" Target="media/image30.wmf"/><Relationship Id="rId79" Type="http://schemas.openxmlformats.org/officeDocument/2006/relationships/oleObject" Target="embeddings/oleObject34.bin"/><Relationship Id="rId102" Type="http://schemas.openxmlformats.org/officeDocument/2006/relationships/oleObject" Target="embeddings/oleObject47.bin"/><Relationship Id="rId123" Type="http://schemas.openxmlformats.org/officeDocument/2006/relationships/image" Target="media/image53.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image" Target="media/image39.wmf"/><Relationship Id="rId160" Type="http://schemas.openxmlformats.org/officeDocument/2006/relationships/image" Target="media/image71.wmf"/><Relationship Id="rId165" Type="http://schemas.openxmlformats.org/officeDocument/2006/relationships/oleObject" Target="embeddings/oleObject78.bin"/><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image" Target="media/image15.wmf"/><Relationship Id="rId48" Type="http://schemas.openxmlformats.org/officeDocument/2006/relationships/oleObject" Target="embeddings/oleObject18.bin"/><Relationship Id="rId64" Type="http://schemas.openxmlformats.org/officeDocument/2006/relationships/image" Target="media/image25.wmf"/><Relationship Id="rId69" Type="http://schemas.openxmlformats.org/officeDocument/2006/relationships/oleObject" Target="embeddings/oleObject29.bin"/><Relationship Id="rId113" Type="http://schemas.openxmlformats.org/officeDocument/2006/relationships/image" Target="media/image48.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1.wmf"/><Relationship Id="rId80" Type="http://schemas.openxmlformats.org/officeDocument/2006/relationships/image" Target="media/image33.wmf"/><Relationship Id="rId85" Type="http://schemas.openxmlformats.org/officeDocument/2006/relationships/oleObject" Target="embeddings/oleObject38.bin"/><Relationship Id="rId150" Type="http://schemas.openxmlformats.org/officeDocument/2006/relationships/oleObject" Target="embeddings/oleObject71.bin"/><Relationship Id="rId155" Type="http://schemas.openxmlformats.org/officeDocument/2006/relationships/header" Target="header4.xml"/><Relationship Id="rId171" Type="http://schemas.openxmlformats.org/officeDocument/2006/relationships/image" Target="media/image79.emf"/><Relationship Id="rId176" Type="http://schemas.openxmlformats.org/officeDocument/2006/relationships/fontTable" Target="fontTable.xml"/><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image" Target="media/image10.wmf"/><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image" Target="media/image43.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56.wmf"/><Relationship Id="rId54" Type="http://schemas.openxmlformats.org/officeDocument/2006/relationships/oleObject" Target="embeddings/oleObject21.bin"/><Relationship Id="rId70" Type="http://schemas.openxmlformats.org/officeDocument/2006/relationships/image" Target="media/image28.wmf"/><Relationship Id="rId75" Type="http://schemas.openxmlformats.org/officeDocument/2006/relationships/oleObject" Target="embeddings/oleObject32.bin"/><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4.wmf"/><Relationship Id="rId161" Type="http://schemas.openxmlformats.org/officeDocument/2006/relationships/oleObject" Target="embeddings/oleObject76.bin"/><Relationship Id="rId166" Type="http://schemas.openxmlformats.org/officeDocument/2006/relationships/image" Target="media/image74.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oleObject" Target="embeddings/oleObject8.bin"/><Relationship Id="rId49" Type="http://schemas.openxmlformats.org/officeDocument/2006/relationships/image" Target="media/image18.wmf"/><Relationship Id="rId114" Type="http://schemas.openxmlformats.org/officeDocument/2006/relationships/oleObject" Target="embeddings/oleObject53.bin"/><Relationship Id="rId119" Type="http://schemas.openxmlformats.org/officeDocument/2006/relationships/image" Target="media/image51.wmf"/><Relationship Id="rId10"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3.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2.wmf"/><Relationship Id="rId81" Type="http://schemas.openxmlformats.org/officeDocument/2006/relationships/oleObject" Target="embeddings/oleObject35.bin"/><Relationship Id="rId86" Type="http://schemas.openxmlformats.org/officeDocument/2006/relationships/image" Target="media/image35.wmf"/><Relationship Id="rId94" Type="http://schemas.openxmlformats.org/officeDocument/2006/relationships/oleObject" Target="embeddings/oleObject43.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59.wmf"/><Relationship Id="rId143" Type="http://schemas.openxmlformats.org/officeDocument/2006/relationships/image" Target="media/image63.wmf"/><Relationship Id="rId148" Type="http://schemas.openxmlformats.org/officeDocument/2006/relationships/oleObject" Target="embeddings/oleObject70.bin"/><Relationship Id="rId151" Type="http://schemas.openxmlformats.org/officeDocument/2006/relationships/image" Target="media/image67.wmf"/><Relationship Id="rId156" Type="http://schemas.openxmlformats.org/officeDocument/2006/relationships/image" Target="media/image69.wmf"/><Relationship Id="rId164" Type="http://schemas.openxmlformats.org/officeDocument/2006/relationships/image" Target="media/image73.wmf"/><Relationship Id="rId169" Type="http://schemas.openxmlformats.org/officeDocument/2006/relationships/image" Target="media/image77.emf"/><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image" Target="media/image80.emf"/><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image" Target="media/image13.wmf"/><Relationship Id="rId109" Type="http://schemas.openxmlformats.org/officeDocument/2006/relationships/image" Target="media/image46.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0.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75.e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2.bin"/><Relationship Id="rId162"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image" Target="media/image6.wmf"/><Relationship Id="rId40" Type="http://schemas.openxmlformats.org/officeDocument/2006/relationships/oleObject" Target="embeddings/oleObject14.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oleObject" Target="embeddings/oleObject74.bin"/><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2.bin"/><Relationship Id="rId173" Type="http://schemas.openxmlformats.org/officeDocument/2006/relationships/image" Target="media/image81.e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oleObject" Target="embeddings/oleObject9.bin"/><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oleObject" Target="embeddings/oleObject46.bin"/><Relationship Id="rId105" Type="http://schemas.openxmlformats.org/officeDocument/2006/relationships/image" Target="media/image44.wmf"/><Relationship Id="rId126" Type="http://schemas.openxmlformats.org/officeDocument/2006/relationships/oleObject" Target="embeddings/oleObject59.bin"/><Relationship Id="rId147" Type="http://schemas.openxmlformats.org/officeDocument/2006/relationships/image" Target="media/image65.wmf"/><Relationship Id="rId168" Type="http://schemas.openxmlformats.org/officeDocument/2006/relationships/image" Target="media/image76.emf"/><Relationship Id="rId8" Type="http://schemas.openxmlformats.org/officeDocument/2006/relationships/header" Target="header1.xml"/><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image" Target="media/image38.wmf"/><Relationship Id="rId98" Type="http://schemas.openxmlformats.org/officeDocument/2006/relationships/oleObject" Target="embeddings/oleObject45.bin"/><Relationship Id="rId121" Type="http://schemas.openxmlformats.org/officeDocument/2006/relationships/image" Target="media/image52.wmf"/><Relationship Id="rId142" Type="http://schemas.openxmlformats.org/officeDocument/2006/relationships/oleObject" Target="embeddings/oleObject67.bin"/><Relationship Id="rId163"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image" Target="media/image60.wmf"/><Relationship Id="rId158" Type="http://schemas.openxmlformats.org/officeDocument/2006/relationships/image" Target="media/image70.wmf"/><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oleObject" Target="embeddings/oleObject37.bin"/><Relationship Id="rId88" Type="http://schemas.openxmlformats.org/officeDocument/2006/relationships/image" Target="media/image36.wmf"/><Relationship Id="rId111" Type="http://schemas.openxmlformats.org/officeDocument/2006/relationships/image" Target="media/image47.wmf"/><Relationship Id="rId132" Type="http://schemas.openxmlformats.org/officeDocument/2006/relationships/oleObject" Target="embeddings/oleObject62.bin"/><Relationship Id="rId153" Type="http://schemas.openxmlformats.org/officeDocument/2006/relationships/image" Target="media/image68.wmf"/><Relationship Id="rId174" Type="http://schemas.openxmlformats.org/officeDocument/2006/relationships/header" Target="header5.xml"/><Relationship Id="rId15" Type="http://schemas.openxmlformats.org/officeDocument/2006/relationships/oleObject" Target="embeddings/oleObject1.bin"/><Relationship Id="rId36" Type="http://schemas.openxmlformats.org/officeDocument/2006/relationships/oleObject" Target="embeddings/oleObject12.bin"/><Relationship Id="rId57" Type="http://schemas.openxmlformats.org/officeDocument/2006/relationships/image" Target="media/image22.wmf"/><Relationship Id="rId106" Type="http://schemas.openxmlformats.org/officeDocument/2006/relationships/oleObject" Target="embeddings/oleObject49.bin"/><Relationship Id="rId127" Type="http://schemas.openxmlformats.org/officeDocument/2006/relationships/image" Target="media/image55.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6ECF-3258-4EA2-A63A-409F30AE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20</Pages>
  <Words>10281</Words>
  <Characters>55518</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UNIVERSIDADE FEDERAL DE JUIZ DE FORA</vt:lpstr>
    </vt:vector>
  </TitlesOfParts>
  <Company/>
  <LinksUpToDate>false</LinksUpToDate>
  <CharactersWithSpaces>65668</CharactersWithSpaces>
  <SharedDoc>false</SharedDoc>
  <HLinks>
    <vt:vector size="162" baseType="variant">
      <vt:variant>
        <vt:i4>1769531</vt:i4>
      </vt:variant>
      <vt:variant>
        <vt:i4>158</vt:i4>
      </vt:variant>
      <vt:variant>
        <vt:i4>0</vt:i4>
      </vt:variant>
      <vt:variant>
        <vt:i4>5</vt:i4>
      </vt:variant>
      <vt:variant>
        <vt:lpwstr/>
      </vt:variant>
      <vt:variant>
        <vt:lpwstr>_Toc239579730</vt:lpwstr>
      </vt:variant>
      <vt:variant>
        <vt:i4>1703995</vt:i4>
      </vt:variant>
      <vt:variant>
        <vt:i4>152</vt:i4>
      </vt:variant>
      <vt:variant>
        <vt:i4>0</vt:i4>
      </vt:variant>
      <vt:variant>
        <vt:i4>5</vt:i4>
      </vt:variant>
      <vt:variant>
        <vt:lpwstr/>
      </vt:variant>
      <vt:variant>
        <vt:lpwstr>_Toc239579729</vt:lpwstr>
      </vt:variant>
      <vt:variant>
        <vt:i4>1703995</vt:i4>
      </vt:variant>
      <vt:variant>
        <vt:i4>146</vt:i4>
      </vt:variant>
      <vt:variant>
        <vt:i4>0</vt:i4>
      </vt:variant>
      <vt:variant>
        <vt:i4>5</vt:i4>
      </vt:variant>
      <vt:variant>
        <vt:lpwstr/>
      </vt:variant>
      <vt:variant>
        <vt:lpwstr>_Toc239579728</vt:lpwstr>
      </vt:variant>
      <vt:variant>
        <vt:i4>1703995</vt:i4>
      </vt:variant>
      <vt:variant>
        <vt:i4>140</vt:i4>
      </vt:variant>
      <vt:variant>
        <vt:i4>0</vt:i4>
      </vt:variant>
      <vt:variant>
        <vt:i4>5</vt:i4>
      </vt:variant>
      <vt:variant>
        <vt:lpwstr/>
      </vt:variant>
      <vt:variant>
        <vt:lpwstr>_Toc239579727</vt:lpwstr>
      </vt:variant>
      <vt:variant>
        <vt:i4>1703995</vt:i4>
      </vt:variant>
      <vt:variant>
        <vt:i4>134</vt:i4>
      </vt:variant>
      <vt:variant>
        <vt:i4>0</vt:i4>
      </vt:variant>
      <vt:variant>
        <vt:i4>5</vt:i4>
      </vt:variant>
      <vt:variant>
        <vt:lpwstr/>
      </vt:variant>
      <vt:variant>
        <vt:lpwstr>_Toc239579726</vt:lpwstr>
      </vt:variant>
      <vt:variant>
        <vt:i4>1703995</vt:i4>
      </vt:variant>
      <vt:variant>
        <vt:i4>128</vt:i4>
      </vt:variant>
      <vt:variant>
        <vt:i4>0</vt:i4>
      </vt:variant>
      <vt:variant>
        <vt:i4>5</vt:i4>
      </vt:variant>
      <vt:variant>
        <vt:lpwstr/>
      </vt:variant>
      <vt:variant>
        <vt:lpwstr>_Toc239579725</vt:lpwstr>
      </vt:variant>
      <vt:variant>
        <vt:i4>1703995</vt:i4>
      </vt:variant>
      <vt:variant>
        <vt:i4>122</vt:i4>
      </vt:variant>
      <vt:variant>
        <vt:i4>0</vt:i4>
      </vt:variant>
      <vt:variant>
        <vt:i4>5</vt:i4>
      </vt:variant>
      <vt:variant>
        <vt:lpwstr/>
      </vt:variant>
      <vt:variant>
        <vt:lpwstr>_Toc239579724</vt:lpwstr>
      </vt:variant>
      <vt:variant>
        <vt:i4>1703995</vt:i4>
      </vt:variant>
      <vt:variant>
        <vt:i4>116</vt:i4>
      </vt:variant>
      <vt:variant>
        <vt:i4>0</vt:i4>
      </vt:variant>
      <vt:variant>
        <vt:i4>5</vt:i4>
      </vt:variant>
      <vt:variant>
        <vt:lpwstr/>
      </vt:variant>
      <vt:variant>
        <vt:lpwstr>_Toc239579723</vt:lpwstr>
      </vt:variant>
      <vt:variant>
        <vt:i4>1703995</vt:i4>
      </vt:variant>
      <vt:variant>
        <vt:i4>110</vt:i4>
      </vt:variant>
      <vt:variant>
        <vt:i4>0</vt:i4>
      </vt:variant>
      <vt:variant>
        <vt:i4>5</vt:i4>
      </vt:variant>
      <vt:variant>
        <vt:lpwstr/>
      </vt:variant>
      <vt:variant>
        <vt:lpwstr>_Toc239579722</vt:lpwstr>
      </vt:variant>
      <vt:variant>
        <vt:i4>1703995</vt:i4>
      </vt:variant>
      <vt:variant>
        <vt:i4>104</vt:i4>
      </vt:variant>
      <vt:variant>
        <vt:i4>0</vt:i4>
      </vt:variant>
      <vt:variant>
        <vt:i4>5</vt:i4>
      </vt:variant>
      <vt:variant>
        <vt:lpwstr/>
      </vt:variant>
      <vt:variant>
        <vt:lpwstr>_Toc239579721</vt:lpwstr>
      </vt:variant>
      <vt:variant>
        <vt:i4>1703995</vt:i4>
      </vt:variant>
      <vt:variant>
        <vt:i4>98</vt:i4>
      </vt:variant>
      <vt:variant>
        <vt:i4>0</vt:i4>
      </vt:variant>
      <vt:variant>
        <vt:i4>5</vt:i4>
      </vt:variant>
      <vt:variant>
        <vt:lpwstr/>
      </vt:variant>
      <vt:variant>
        <vt:lpwstr>_Toc239579720</vt:lpwstr>
      </vt:variant>
      <vt:variant>
        <vt:i4>1638459</vt:i4>
      </vt:variant>
      <vt:variant>
        <vt:i4>92</vt:i4>
      </vt:variant>
      <vt:variant>
        <vt:i4>0</vt:i4>
      </vt:variant>
      <vt:variant>
        <vt:i4>5</vt:i4>
      </vt:variant>
      <vt:variant>
        <vt:lpwstr/>
      </vt:variant>
      <vt:variant>
        <vt:lpwstr>_Toc239579719</vt:lpwstr>
      </vt:variant>
      <vt:variant>
        <vt:i4>1638459</vt:i4>
      </vt:variant>
      <vt:variant>
        <vt:i4>86</vt:i4>
      </vt:variant>
      <vt:variant>
        <vt:i4>0</vt:i4>
      </vt:variant>
      <vt:variant>
        <vt:i4>5</vt:i4>
      </vt:variant>
      <vt:variant>
        <vt:lpwstr/>
      </vt:variant>
      <vt:variant>
        <vt:lpwstr>_Toc239579718</vt:lpwstr>
      </vt:variant>
      <vt:variant>
        <vt:i4>1638459</vt:i4>
      </vt:variant>
      <vt:variant>
        <vt:i4>80</vt:i4>
      </vt:variant>
      <vt:variant>
        <vt:i4>0</vt:i4>
      </vt:variant>
      <vt:variant>
        <vt:i4>5</vt:i4>
      </vt:variant>
      <vt:variant>
        <vt:lpwstr/>
      </vt:variant>
      <vt:variant>
        <vt:lpwstr>_Toc239579717</vt:lpwstr>
      </vt:variant>
      <vt:variant>
        <vt:i4>1638459</vt:i4>
      </vt:variant>
      <vt:variant>
        <vt:i4>74</vt:i4>
      </vt:variant>
      <vt:variant>
        <vt:i4>0</vt:i4>
      </vt:variant>
      <vt:variant>
        <vt:i4>5</vt:i4>
      </vt:variant>
      <vt:variant>
        <vt:lpwstr/>
      </vt:variant>
      <vt:variant>
        <vt:lpwstr>_Toc239579716</vt:lpwstr>
      </vt:variant>
      <vt:variant>
        <vt:i4>1638459</vt:i4>
      </vt:variant>
      <vt:variant>
        <vt:i4>68</vt:i4>
      </vt:variant>
      <vt:variant>
        <vt:i4>0</vt:i4>
      </vt:variant>
      <vt:variant>
        <vt:i4>5</vt:i4>
      </vt:variant>
      <vt:variant>
        <vt:lpwstr/>
      </vt:variant>
      <vt:variant>
        <vt:lpwstr>_Toc239579715</vt:lpwstr>
      </vt:variant>
      <vt:variant>
        <vt:i4>1638459</vt:i4>
      </vt:variant>
      <vt:variant>
        <vt:i4>62</vt:i4>
      </vt:variant>
      <vt:variant>
        <vt:i4>0</vt:i4>
      </vt:variant>
      <vt:variant>
        <vt:i4>5</vt:i4>
      </vt:variant>
      <vt:variant>
        <vt:lpwstr/>
      </vt:variant>
      <vt:variant>
        <vt:lpwstr>_Toc239579714</vt:lpwstr>
      </vt:variant>
      <vt:variant>
        <vt:i4>1638459</vt:i4>
      </vt:variant>
      <vt:variant>
        <vt:i4>56</vt:i4>
      </vt:variant>
      <vt:variant>
        <vt:i4>0</vt:i4>
      </vt:variant>
      <vt:variant>
        <vt:i4>5</vt:i4>
      </vt:variant>
      <vt:variant>
        <vt:lpwstr/>
      </vt:variant>
      <vt:variant>
        <vt:lpwstr>_Toc239579713</vt:lpwstr>
      </vt:variant>
      <vt:variant>
        <vt:i4>1638459</vt:i4>
      </vt:variant>
      <vt:variant>
        <vt:i4>50</vt:i4>
      </vt:variant>
      <vt:variant>
        <vt:i4>0</vt:i4>
      </vt:variant>
      <vt:variant>
        <vt:i4>5</vt:i4>
      </vt:variant>
      <vt:variant>
        <vt:lpwstr/>
      </vt:variant>
      <vt:variant>
        <vt:lpwstr>_Toc239579712</vt:lpwstr>
      </vt:variant>
      <vt:variant>
        <vt:i4>1638459</vt:i4>
      </vt:variant>
      <vt:variant>
        <vt:i4>44</vt:i4>
      </vt:variant>
      <vt:variant>
        <vt:i4>0</vt:i4>
      </vt:variant>
      <vt:variant>
        <vt:i4>5</vt:i4>
      </vt:variant>
      <vt:variant>
        <vt:lpwstr/>
      </vt:variant>
      <vt:variant>
        <vt:lpwstr>_Toc239579711</vt:lpwstr>
      </vt:variant>
      <vt:variant>
        <vt:i4>1638459</vt:i4>
      </vt:variant>
      <vt:variant>
        <vt:i4>38</vt:i4>
      </vt:variant>
      <vt:variant>
        <vt:i4>0</vt:i4>
      </vt:variant>
      <vt:variant>
        <vt:i4>5</vt:i4>
      </vt:variant>
      <vt:variant>
        <vt:lpwstr/>
      </vt:variant>
      <vt:variant>
        <vt:lpwstr>_Toc239579710</vt:lpwstr>
      </vt:variant>
      <vt:variant>
        <vt:i4>1572923</vt:i4>
      </vt:variant>
      <vt:variant>
        <vt:i4>32</vt:i4>
      </vt:variant>
      <vt:variant>
        <vt:i4>0</vt:i4>
      </vt:variant>
      <vt:variant>
        <vt:i4>5</vt:i4>
      </vt:variant>
      <vt:variant>
        <vt:lpwstr/>
      </vt:variant>
      <vt:variant>
        <vt:lpwstr>_Toc239579709</vt:lpwstr>
      </vt:variant>
      <vt:variant>
        <vt:i4>1572923</vt:i4>
      </vt:variant>
      <vt:variant>
        <vt:i4>26</vt:i4>
      </vt:variant>
      <vt:variant>
        <vt:i4>0</vt:i4>
      </vt:variant>
      <vt:variant>
        <vt:i4>5</vt:i4>
      </vt:variant>
      <vt:variant>
        <vt:lpwstr/>
      </vt:variant>
      <vt:variant>
        <vt:lpwstr>_Toc239579708</vt:lpwstr>
      </vt:variant>
      <vt:variant>
        <vt:i4>1572923</vt:i4>
      </vt:variant>
      <vt:variant>
        <vt:i4>20</vt:i4>
      </vt:variant>
      <vt:variant>
        <vt:i4>0</vt:i4>
      </vt:variant>
      <vt:variant>
        <vt:i4>5</vt:i4>
      </vt:variant>
      <vt:variant>
        <vt:lpwstr/>
      </vt:variant>
      <vt:variant>
        <vt:lpwstr>_Toc239579707</vt:lpwstr>
      </vt:variant>
      <vt:variant>
        <vt:i4>1572923</vt:i4>
      </vt:variant>
      <vt:variant>
        <vt:i4>14</vt:i4>
      </vt:variant>
      <vt:variant>
        <vt:i4>0</vt:i4>
      </vt:variant>
      <vt:variant>
        <vt:i4>5</vt:i4>
      </vt:variant>
      <vt:variant>
        <vt:lpwstr/>
      </vt:variant>
      <vt:variant>
        <vt:lpwstr>_Toc239579706</vt:lpwstr>
      </vt:variant>
      <vt:variant>
        <vt:i4>1572923</vt:i4>
      </vt:variant>
      <vt:variant>
        <vt:i4>8</vt:i4>
      </vt:variant>
      <vt:variant>
        <vt:i4>0</vt:i4>
      </vt:variant>
      <vt:variant>
        <vt:i4>5</vt:i4>
      </vt:variant>
      <vt:variant>
        <vt:lpwstr/>
      </vt:variant>
      <vt:variant>
        <vt:lpwstr>_Toc239579705</vt:lpwstr>
      </vt:variant>
      <vt:variant>
        <vt:i4>1572923</vt:i4>
      </vt:variant>
      <vt:variant>
        <vt:i4>2</vt:i4>
      </vt:variant>
      <vt:variant>
        <vt:i4>0</vt:i4>
      </vt:variant>
      <vt:variant>
        <vt:i4>5</vt:i4>
      </vt:variant>
      <vt:variant>
        <vt:lpwstr/>
      </vt:variant>
      <vt:variant>
        <vt:lpwstr>_Toc239579704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JUIZ DE FORA</dc:title>
  <dc:creator>Filipe</dc:creator>
  <cp:lastModifiedBy>Filipe</cp:lastModifiedBy>
  <cp:revision>85</cp:revision>
  <dcterms:created xsi:type="dcterms:W3CDTF">2010-03-30T19:29:00Z</dcterms:created>
  <dcterms:modified xsi:type="dcterms:W3CDTF">2010-07-16T12:17:00Z</dcterms:modified>
</cp:coreProperties>
</file>