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39" w:rsidRPr="00682082" w:rsidRDefault="00553639" w:rsidP="003E5F82">
      <w:pPr>
        <w:autoSpaceDE w:val="0"/>
        <w:autoSpaceDN w:val="0"/>
        <w:adjustRightInd w:val="0"/>
        <w:spacing w:after="0" w:line="240" w:lineRule="auto"/>
        <w:ind w:firstLine="720"/>
        <w:jc w:val="center"/>
        <w:rPr>
          <w:rFonts w:ascii="Times New Roman" w:hAnsi="Times New Roman"/>
          <w:b/>
          <w:sz w:val="24"/>
          <w:szCs w:val="24"/>
          <w:lang w:val="pt-BR"/>
        </w:rPr>
      </w:pPr>
      <w:r w:rsidRPr="00682082">
        <w:rPr>
          <w:rFonts w:ascii="Times New Roman" w:hAnsi="Times New Roman"/>
          <w:b/>
          <w:sz w:val="24"/>
          <w:szCs w:val="24"/>
          <w:lang w:val="pt-BR"/>
        </w:rPr>
        <w:t>Exportação de Bens Primários e Apreciação do Câmbio Real: há uma ligação?</w:t>
      </w:r>
    </w:p>
    <w:p w:rsidR="00553639" w:rsidRPr="00682082" w:rsidRDefault="00553639" w:rsidP="00822B89">
      <w:pPr>
        <w:autoSpaceDE w:val="0"/>
        <w:autoSpaceDN w:val="0"/>
        <w:adjustRightInd w:val="0"/>
        <w:spacing w:after="0" w:line="240" w:lineRule="auto"/>
        <w:ind w:firstLine="720"/>
        <w:rPr>
          <w:rFonts w:ascii="Times New Roman" w:hAnsi="Times New Roman"/>
          <w:b/>
          <w:sz w:val="24"/>
          <w:szCs w:val="24"/>
          <w:lang w:val="pt-BR"/>
        </w:rPr>
      </w:pPr>
    </w:p>
    <w:p w:rsidR="00553639" w:rsidRDefault="00553639" w:rsidP="00822B89">
      <w:pPr>
        <w:autoSpaceDE w:val="0"/>
        <w:autoSpaceDN w:val="0"/>
        <w:adjustRightInd w:val="0"/>
        <w:spacing w:after="0" w:line="240" w:lineRule="auto"/>
        <w:ind w:firstLine="720"/>
        <w:jc w:val="center"/>
        <w:rPr>
          <w:rFonts w:ascii="Times New Roman" w:hAnsi="Times New Roman"/>
          <w:b/>
          <w:sz w:val="24"/>
          <w:szCs w:val="24"/>
          <w:lang w:val="pt-BR"/>
        </w:rPr>
      </w:pPr>
      <w:r w:rsidRPr="00682082">
        <w:rPr>
          <w:rFonts w:ascii="Times New Roman" w:hAnsi="Times New Roman"/>
          <w:b/>
          <w:sz w:val="24"/>
          <w:szCs w:val="24"/>
          <w:lang w:val="pt-BR"/>
        </w:rPr>
        <w:t xml:space="preserve">Nelson Marconi – Professor da EESP-FGV e da PUC-SP. </w:t>
      </w:r>
    </w:p>
    <w:p w:rsidR="00553639" w:rsidRPr="00682082" w:rsidRDefault="00553639" w:rsidP="00822B89">
      <w:pPr>
        <w:autoSpaceDE w:val="0"/>
        <w:autoSpaceDN w:val="0"/>
        <w:adjustRightInd w:val="0"/>
        <w:spacing w:after="0" w:line="240" w:lineRule="auto"/>
        <w:ind w:firstLine="720"/>
        <w:jc w:val="center"/>
        <w:rPr>
          <w:rFonts w:ascii="Times New Roman" w:hAnsi="Times New Roman"/>
          <w:b/>
          <w:sz w:val="24"/>
          <w:szCs w:val="24"/>
          <w:lang w:val="pt-BR"/>
        </w:rPr>
      </w:pPr>
      <w:r w:rsidRPr="00682082">
        <w:rPr>
          <w:rFonts w:ascii="Times New Roman" w:hAnsi="Times New Roman"/>
          <w:b/>
          <w:sz w:val="24"/>
          <w:szCs w:val="24"/>
          <w:lang w:val="pt-BR"/>
        </w:rPr>
        <w:t>E-mail: Nelson.marconi@fgv.br</w:t>
      </w:r>
    </w:p>
    <w:p w:rsidR="00553639" w:rsidRDefault="00553639" w:rsidP="00F8597D">
      <w:pPr>
        <w:autoSpaceDE w:val="0"/>
        <w:autoSpaceDN w:val="0"/>
        <w:adjustRightInd w:val="0"/>
        <w:spacing w:after="0" w:line="240" w:lineRule="auto"/>
        <w:ind w:firstLine="720"/>
        <w:jc w:val="center"/>
        <w:rPr>
          <w:rFonts w:ascii="Times New Roman" w:hAnsi="Times New Roman"/>
          <w:b/>
          <w:sz w:val="24"/>
          <w:szCs w:val="24"/>
          <w:lang w:val="pt-BR"/>
        </w:rPr>
      </w:pPr>
      <w:r w:rsidRPr="00682082">
        <w:rPr>
          <w:rFonts w:ascii="Times New Roman" w:hAnsi="Times New Roman"/>
          <w:b/>
          <w:sz w:val="24"/>
          <w:szCs w:val="24"/>
          <w:lang w:val="pt-BR"/>
        </w:rPr>
        <w:t xml:space="preserve">Marcos Rocha – Professor da PUC-SP e Doutorando pela EESP-FGV. </w:t>
      </w:r>
    </w:p>
    <w:p w:rsidR="00553639" w:rsidRPr="00682082" w:rsidRDefault="00553639" w:rsidP="00F8597D">
      <w:pPr>
        <w:autoSpaceDE w:val="0"/>
        <w:autoSpaceDN w:val="0"/>
        <w:adjustRightInd w:val="0"/>
        <w:spacing w:after="0" w:line="240" w:lineRule="auto"/>
        <w:ind w:firstLine="720"/>
        <w:jc w:val="center"/>
        <w:rPr>
          <w:rFonts w:ascii="Times New Roman" w:hAnsi="Times New Roman"/>
          <w:b/>
          <w:sz w:val="24"/>
          <w:szCs w:val="24"/>
          <w:lang w:val="pt-BR"/>
        </w:rPr>
      </w:pPr>
      <w:r w:rsidRPr="00682082">
        <w:rPr>
          <w:rFonts w:ascii="Times New Roman" w:hAnsi="Times New Roman"/>
          <w:b/>
          <w:sz w:val="24"/>
          <w:szCs w:val="24"/>
          <w:lang w:val="pt-BR"/>
        </w:rPr>
        <w:t>Email: marcosrocha@gvmail.br</w:t>
      </w:r>
    </w:p>
    <w:p w:rsidR="00553639" w:rsidRPr="00682082" w:rsidRDefault="00553639" w:rsidP="00822B89">
      <w:pPr>
        <w:autoSpaceDE w:val="0"/>
        <w:autoSpaceDN w:val="0"/>
        <w:adjustRightInd w:val="0"/>
        <w:spacing w:after="0" w:line="240" w:lineRule="auto"/>
        <w:ind w:firstLine="720"/>
        <w:jc w:val="center"/>
        <w:rPr>
          <w:rFonts w:ascii="Times New Roman" w:hAnsi="Times New Roman"/>
          <w:b/>
          <w:sz w:val="24"/>
          <w:szCs w:val="24"/>
          <w:lang w:val="pt-BR"/>
        </w:rPr>
      </w:pPr>
    </w:p>
    <w:p w:rsidR="00553639" w:rsidRDefault="00553639" w:rsidP="00AC0466">
      <w:pPr>
        <w:pStyle w:val="BodyText"/>
        <w:spacing w:after="0" w:line="240" w:lineRule="auto"/>
        <w:jc w:val="both"/>
        <w:rPr>
          <w:szCs w:val="24"/>
        </w:rPr>
      </w:pPr>
      <w:r>
        <w:rPr>
          <w:szCs w:val="24"/>
        </w:rPr>
        <w:t>RESUMO</w:t>
      </w:r>
    </w:p>
    <w:p w:rsidR="00553639" w:rsidRDefault="00553639" w:rsidP="00AC0466">
      <w:pPr>
        <w:pStyle w:val="BodyText"/>
        <w:spacing w:after="0" w:line="240" w:lineRule="auto"/>
        <w:jc w:val="both"/>
        <w:rPr>
          <w:szCs w:val="24"/>
        </w:rPr>
      </w:pPr>
      <w:r w:rsidRPr="00635FFF">
        <w:t>A taxa real de câmbio (TCR) pode ser considerada o preço relativo mais importante da macroeconomia, dadas as ramificações de influência que ela tem sobre inúmeros outros preços agregados</w:t>
      </w:r>
      <w:r>
        <w:t xml:space="preserve">, e pode se encontrar sobrevalorizada, dentre outros fatores, como sintoma de um processo de doença holandesa. Assim, buscando comprovar esta última afirmação, investigamos neste trabalho se há uma relação entre concentração de exportações de </w:t>
      </w:r>
      <w:r>
        <w:rPr>
          <w:i/>
        </w:rPr>
        <w:t xml:space="preserve">commodities </w:t>
      </w:r>
      <w:r>
        <w:t xml:space="preserve">e apreciação da taxa de câmbio real. Para isso, </w:t>
      </w:r>
      <w:r w:rsidRPr="00635FFF">
        <w:rPr>
          <w:szCs w:val="24"/>
        </w:rPr>
        <w:t xml:space="preserve">construímos a partir </w:t>
      </w:r>
      <w:r>
        <w:rPr>
          <w:szCs w:val="24"/>
        </w:rPr>
        <w:t>de um painel cointegrado para 102</w:t>
      </w:r>
      <w:r w:rsidRPr="00635FFF">
        <w:rPr>
          <w:szCs w:val="24"/>
        </w:rPr>
        <w:t xml:space="preserve"> países, um </w:t>
      </w:r>
      <w:r>
        <w:rPr>
          <w:szCs w:val="24"/>
        </w:rPr>
        <w:t xml:space="preserve">índice de desalinhamento da TCR, com o intuito de relacioná-lo ao tipo de pauta de exportação dos países. Primeiramente foram feitos testes para definir os determinantes da taxa real de longo prazo e, posteriormente, para identificar aqueles que concorrem para a sua sobre-apreciação. Os resultados demonstram que uma pauta de exportações concentrada em produtos primários contribui para apreciar a taxa real de câmbio, enquanto uma pauta com maior participação de manufaturados não exerce o mesmo efeito, o que é condizente com os efeitos esperados nos modelos teóricos de doença holandesa. </w:t>
      </w:r>
    </w:p>
    <w:p w:rsidR="00553639" w:rsidRDefault="00553639" w:rsidP="00822B89">
      <w:pPr>
        <w:autoSpaceDE w:val="0"/>
        <w:autoSpaceDN w:val="0"/>
        <w:adjustRightInd w:val="0"/>
        <w:spacing w:after="0" w:line="240" w:lineRule="auto"/>
        <w:ind w:firstLine="720"/>
        <w:jc w:val="both"/>
        <w:rPr>
          <w:rFonts w:ascii="Times New Roman" w:hAnsi="Times New Roman"/>
          <w:sz w:val="24"/>
          <w:szCs w:val="24"/>
          <w:lang w:val="pt-BR"/>
        </w:rPr>
      </w:pPr>
    </w:p>
    <w:p w:rsidR="00553639" w:rsidRDefault="00553639" w:rsidP="00822B89">
      <w:pPr>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ABSTRACT</w:t>
      </w:r>
    </w:p>
    <w:p w:rsidR="00553639" w:rsidRPr="00AC0466" w:rsidRDefault="00553639" w:rsidP="00822B89">
      <w:pPr>
        <w:autoSpaceDE w:val="0"/>
        <w:autoSpaceDN w:val="0"/>
        <w:adjustRightInd w:val="0"/>
        <w:spacing w:after="0" w:line="240" w:lineRule="auto"/>
        <w:ind w:firstLine="720"/>
        <w:jc w:val="both"/>
        <w:rPr>
          <w:rFonts w:ascii="Times New Roman" w:hAnsi="Times New Roman"/>
          <w:sz w:val="24"/>
          <w:szCs w:val="24"/>
        </w:rPr>
      </w:pPr>
      <w:r w:rsidRPr="00AC0466">
        <w:rPr>
          <w:rFonts w:ascii="Times New Roman" w:hAnsi="Times New Roman"/>
          <w:bCs/>
          <w:sz w:val="24"/>
          <w:szCs w:val="24"/>
        </w:rPr>
        <w:t>The real exchange rate (RER) can be considered the most important relative price of macroeconomics, given the ramifications of the influence it has on numerous other aggregate prices, and can be found to be overvalued, among other factors, as a symptom of a Dutch disease process. In order to prove this point, this study investigates whether there is a relationship between the concentration of commodity exports and the appreciation of real exchange rate. For this, we construct an index of RER misalignment from a cointegrated panel of 102 countries, in order to relate it to the type of each country export basket. At first tests were undertaken to define the determinants of long-term real rate and, subsequently, to identify those that contribute to its over-valuation. Results show that an export basket focused on primary products contributes to appreciate the real exchange rate, while an export basket with a higher share of manufactured products does not have the same effect, what is consistent with the expected effects on the theoretical models of Dutch disease.</w:t>
      </w:r>
    </w:p>
    <w:p w:rsidR="00553639" w:rsidRDefault="00553639" w:rsidP="00822B89">
      <w:pPr>
        <w:autoSpaceDE w:val="0"/>
        <w:autoSpaceDN w:val="0"/>
        <w:adjustRightInd w:val="0"/>
        <w:spacing w:after="0" w:line="240" w:lineRule="auto"/>
        <w:ind w:firstLine="720"/>
        <w:jc w:val="both"/>
        <w:rPr>
          <w:rFonts w:ascii="Times New Roman" w:hAnsi="Times New Roman"/>
          <w:sz w:val="24"/>
          <w:szCs w:val="24"/>
          <w:lang w:val="pt-BR"/>
        </w:rPr>
      </w:pPr>
    </w:p>
    <w:p w:rsidR="00553639" w:rsidRDefault="00553639" w:rsidP="00EB08E4">
      <w:pPr>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JEL: F10; F32; F41</w:t>
      </w:r>
    </w:p>
    <w:p w:rsidR="00553639" w:rsidRDefault="00553639" w:rsidP="00EB08E4">
      <w:pPr>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Palavras-chave</w:t>
      </w:r>
    </w:p>
    <w:p w:rsidR="00553639" w:rsidRDefault="00553639" w:rsidP="00EB08E4">
      <w:pPr>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Taxa real de câmbio; exportações; doença holandesa</w:t>
      </w:r>
    </w:p>
    <w:p w:rsidR="00553639" w:rsidRDefault="00553639" w:rsidP="00822B89">
      <w:pPr>
        <w:autoSpaceDE w:val="0"/>
        <w:autoSpaceDN w:val="0"/>
        <w:adjustRightInd w:val="0"/>
        <w:spacing w:after="0" w:line="240" w:lineRule="auto"/>
        <w:ind w:firstLine="720"/>
        <w:jc w:val="both"/>
        <w:rPr>
          <w:rFonts w:ascii="Times New Roman" w:hAnsi="Times New Roman"/>
          <w:sz w:val="24"/>
          <w:szCs w:val="24"/>
          <w:lang w:val="pt-BR"/>
        </w:rPr>
      </w:pPr>
    </w:p>
    <w:p w:rsidR="00553639" w:rsidRDefault="00553639" w:rsidP="00822B89">
      <w:pPr>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JEL:</w:t>
      </w:r>
    </w:p>
    <w:p w:rsidR="00553639" w:rsidRDefault="00553639" w:rsidP="00822B89">
      <w:pPr>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Key-Words</w:t>
      </w:r>
    </w:p>
    <w:p w:rsidR="00553639" w:rsidRDefault="00553639" w:rsidP="00822B89">
      <w:pPr>
        <w:autoSpaceDE w:val="0"/>
        <w:autoSpaceDN w:val="0"/>
        <w:adjustRightInd w:val="0"/>
        <w:spacing w:after="0" w:line="240" w:lineRule="auto"/>
        <w:ind w:firstLine="720"/>
        <w:jc w:val="both"/>
        <w:rPr>
          <w:rFonts w:ascii="Times New Roman" w:hAnsi="Times New Roman"/>
          <w:sz w:val="24"/>
          <w:szCs w:val="24"/>
        </w:rPr>
      </w:pPr>
      <w:r w:rsidRPr="00AC0466">
        <w:rPr>
          <w:rFonts w:ascii="Times New Roman" w:hAnsi="Times New Roman"/>
          <w:sz w:val="24"/>
          <w:szCs w:val="24"/>
        </w:rPr>
        <w:t>Real exchange rate; exports; dutch disease</w:t>
      </w:r>
    </w:p>
    <w:p w:rsidR="00553639" w:rsidRPr="00AC0466" w:rsidRDefault="00553639" w:rsidP="00822B89">
      <w:pPr>
        <w:autoSpaceDE w:val="0"/>
        <w:autoSpaceDN w:val="0"/>
        <w:adjustRightInd w:val="0"/>
        <w:spacing w:after="0" w:line="240" w:lineRule="auto"/>
        <w:ind w:firstLine="720"/>
        <w:jc w:val="both"/>
        <w:rPr>
          <w:rFonts w:ascii="Times New Roman" w:hAnsi="Times New Roman"/>
          <w:sz w:val="24"/>
          <w:szCs w:val="24"/>
        </w:rPr>
      </w:pPr>
    </w:p>
    <w:p w:rsidR="00553639" w:rsidRDefault="00553639" w:rsidP="00682082">
      <w:pPr>
        <w:autoSpaceDE w:val="0"/>
        <w:autoSpaceDN w:val="0"/>
        <w:adjustRightInd w:val="0"/>
        <w:spacing w:after="0" w:line="240" w:lineRule="auto"/>
        <w:jc w:val="center"/>
        <w:rPr>
          <w:rFonts w:ascii="Times New Roman" w:hAnsi="Times New Roman"/>
          <w:b/>
          <w:sz w:val="24"/>
          <w:szCs w:val="24"/>
          <w:lang w:val="pt-BR"/>
        </w:rPr>
      </w:pPr>
      <w:r w:rsidRPr="008C0517">
        <w:rPr>
          <w:rFonts w:ascii="Times New Roman" w:hAnsi="Times New Roman"/>
          <w:b/>
          <w:bCs/>
          <w:sz w:val="24"/>
          <w:szCs w:val="24"/>
          <w:lang w:val="pt-BR"/>
        </w:rPr>
        <w:t xml:space="preserve">Área </w:t>
      </w:r>
      <w:r>
        <w:rPr>
          <w:rFonts w:ascii="Times New Roman" w:hAnsi="Times New Roman"/>
          <w:b/>
          <w:bCs/>
          <w:sz w:val="24"/>
          <w:szCs w:val="24"/>
          <w:lang w:val="pt-BR"/>
        </w:rPr>
        <w:t xml:space="preserve">de Concentração </w:t>
      </w:r>
      <w:r w:rsidRPr="008C0517">
        <w:rPr>
          <w:rFonts w:ascii="Times New Roman" w:hAnsi="Times New Roman"/>
          <w:b/>
          <w:bCs/>
          <w:sz w:val="24"/>
          <w:szCs w:val="24"/>
          <w:lang w:val="pt-BR"/>
        </w:rPr>
        <w:t>6 - Economia Internacional</w:t>
      </w:r>
      <w:r w:rsidRPr="008C0517">
        <w:rPr>
          <w:rFonts w:ascii="Times New Roman" w:hAnsi="Times New Roman"/>
          <w:sz w:val="24"/>
          <w:szCs w:val="24"/>
          <w:lang w:val="pt-BR"/>
        </w:rPr>
        <w:br/>
      </w:r>
    </w:p>
    <w:p w:rsidR="00553639" w:rsidRDefault="00553639" w:rsidP="005F36AF">
      <w:pPr>
        <w:autoSpaceDE w:val="0"/>
        <w:autoSpaceDN w:val="0"/>
        <w:adjustRightInd w:val="0"/>
        <w:spacing w:after="0" w:line="240" w:lineRule="auto"/>
        <w:jc w:val="both"/>
        <w:rPr>
          <w:rFonts w:ascii="Times New Roman" w:hAnsi="Times New Roman"/>
          <w:b/>
          <w:sz w:val="24"/>
          <w:szCs w:val="24"/>
          <w:lang w:val="pt-BR"/>
        </w:rPr>
        <w:sectPr w:rsidR="00553639" w:rsidSect="0018342A">
          <w:headerReference w:type="default" r:id="rId7"/>
          <w:pgSz w:w="12240" w:h="15840"/>
          <w:pgMar w:top="1440" w:right="1440" w:bottom="1440" w:left="1440" w:header="720" w:footer="720" w:gutter="0"/>
          <w:cols w:space="720"/>
          <w:docGrid w:linePitch="360"/>
        </w:sectPr>
      </w:pPr>
    </w:p>
    <w:p w:rsidR="00553639" w:rsidRPr="00682082" w:rsidRDefault="00553639" w:rsidP="00682082">
      <w:pPr>
        <w:autoSpaceDE w:val="0"/>
        <w:autoSpaceDN w:val="0"/>
        <w:adjustRightInd w:val="0"/>
        <w:spacing w:after="0" w:line="240" w:lineRule="auto"/>
        <w:ind w:firstLine="720"/>
        <w:jc w:val="center"/>
        <w:rPr>
          <w:rFonts w:ascii="Times New Roman" w:hAnsi="Times New Roman"/>
          <w:b/>
          <w:sz w:val="24"/>
          <w:szCs w:val="24"/>
          <w:lang w:val="pt-BR"/>
        </w:rPr>
      </w:pPr>
      <w:r w:rsidRPr="00682082">
        <w:rPr>
          <w:rFonts w:ascii="Times New Roman" w:hAnsi="Times New Roman"/>
          <w:b/>
          <w:sz w:val="24"/>
          <w:szCs w:val="24"/>
          <w:lang w:val="pt-BR"/>
        </w:rPr>
        <w:t>Exportação de Bens Primários e Apreciação do Câmbio Real: há uma ligação?</w:t>
      </w:r>
    </w:p>
    <w:p w:rsidR="00553639" w:rsidRDefault="00553639" w:rsidP="005F36AF">
      <w:pPr>
        <w:autoSpaceDE w:val="0"/>
        <w:autoSpaceDN w:val="0"/>
        <w:adjustRightInd w:val="0"/>
        <w:spacing w:after="0" w:line="240" w:lineRule="auto"/>
        <w:jc w:val="both"/>
        <w:rPr>
          <w:rFonts w:ascii="Times New Roman" w:hAnsi="Times New Roman"/>
          <w:b/>
          <w:sz w:val="24"/>
          <w:szCs w:val="24"/>
          <w:lang w:val="pt-BR"/>
        </w:rPr>
      </w:pPr>
    </w:p>
    <w:p w:rsidR="00553639" w:rsidRDefault="00553639" w:rsidP="005F36AF">
      <w:pPr>
        <w:autoSpaceDE w:val="0"/>
        <w:autoSpaceDN w:val="0"/>
        <w:adjustRightInd w:val="0"/>
        <w:spacing w:after="0" w:line="240" w:lineRule="auto"/>
        <w:jc w:val="both"/>
        <w:rPr>
          <w:rFonts w:ascii="Times New Roman" w:hAnsi="Times New Roman"/>
          <w:b/>
          <w:sz w:val="24"/>
          <w:szCs w:val="24"/>
          <w:lang w:val="pt-BR"/>
        </w:rPr>
      </w:pPr>
      <w:r>
        <w:rPr>
          <w:rFonts w:ascii="Times New Roman" w:hAnsi="Times New Roman"/>
          <w:b/>
          <w:sz w:val="24"/>
          <w:szCs w:val="24"/>
          <w:lang w:val="pt-BR"/>
        </w:rPr>
        <w:t>1. Introdução</w:t>
      </w:r>
    </w:p>
    <w:p w:rsidR="00553639" w:rsidRDefault="00553639" w:rsidP="00822B89">
      <w:pPr>
        <w:autoSpaceDE w:val="0"/>
        <w:autoSpaceDN w:val="0"/>
        <w:adjustRightInd w:val="0"/>
        <w:spacing w:after="0" w:line="240" w:lineRule="auto"/>
        <w:ind w:firstLine="720"/>
        <w:jc w:val="both"/>
        <w:rPr>
          <w:rFonts w:ascii="Times New Roman" w:hAnsi="Times New Roman"/>
          <w:b/>
          <w:sz w:val="24"/>
          <w:szCs w:val="24"/>
          <w:lang w:val="pt-BR"/>
        </w:rPr>
      </w:pPr>
    </w:p>
    <w:p w:rsidR="00553639" w:rsidRDefault="00553639" w:rsidP="00822B89">
      <w:pPr>
        <w:autoSpaceDE w:val="0"/>
        <w:autoSpaceDN w:val="0"/>
        <w:adjustRightInd w:val="0"/>
        <w:spacing w:after="0" w:line="240" w:lineRule="auto"/>
        <w:ind w:firstLine="720"/>
        <w:jc w:val="both"/>
        <w:rPr>
          <w:rFonts w:ascii="Times New Roman" w:hAnsi="Times New Roman"/>
          <w:sz w:val="24"/>
          <w:szCs w:val="24"/>
          <w:lang w:val="pt-BR"/>
        </w:rPr>
      </w:pPr>
      <w:r w:rsidRPr="00635FFF">
        <w:rPr>
          <w:rFonts w:ascii="Times New Roman" w:hAnsi="Times New Roman"/>
          <w:sz w:val="24"/>
          <w:szCs w:val="24"/>
          <w:lang w:val="pt-BR"/>
        </w:rPr>
        <w:t>A taxa real de câmbio (TCR) pode ser considerada o preço relativo mais importante da macroeconomia, dadas as ramificações de influência que ela tem sobre inúmeros outros preços agregados. Por isso mesmo, muito</w:t>
      </w:r>
      <w:r>
        <w:rPr>
          <w:rFonts w:ascii="Times New Roman" w:hAnsi="Times New Roman"/>
          <w:sz w:val="24"/>
          <w:szCs w:val="24"/>
          <w:lang w:val="pt-BR"/>
        </w:rPr>
        <w:t>s</w:t>
      </w:r>
      <w:r w:rsidRPr="00635FFF">
        <w:rPr>
          <w:rFonts w:ascii="Times New Roman" w:hAnsi="Times New Roman"/>
          <w:sz w:val="24"/>
          <w:szCs w:val="24"/>
          <w:lang w:val="pt-BR"/>
        </w:rPr>
        <w:t xml:space="preserve"> economistas convivem com a preocupação de que a TCR que prevalece no mercado seja um sinal correto que torne sustentável, no longo prazo, o equilíbrio dos “fundamentos” macroeconômicos que ela afeta e são afetados por ela. Além disso, a história mostrou que sustentar uma taxa de câmbio </w:t>
      </w:r>
      <w:r>
        <w:rPr>
          <w:rFonts w:ascii="Times New Roman" w:hAnsi="Times New Roman"/>
          <w:sz w:val="24"/>
          <w:szCs w:val="24"/>
          <w:lang w:val="pt-BR"/>
        </w:rPr>
        <w:t>sobrevalorizada por longos períodos</w:t>
      </w:r>
      <w:r w:rsidRPr="00635FFF">
        <w:rPr>
          <w:rFonts w:ascii="Times New Roman" w:hAnsi="Times New Roman"/>
          <w:sz w:val="24"/>
          <w:szCs w:val="24"/>
          <w:lang w:val="pt-BR"/>
        </w:rPr>
        <w:t xml:space="preserve"> pode levar a crises de moeda que deixam traumas macroeconômicos indeléveis: o México, o Leste Asiático e o Brasil experimentaram </w:t>
      </w:r>
      <w:r>
        <w:rPr>
          <w:rFonts w:ascii="Times New Roman" w:hAnsi="Times New Roman"/>
          <w:sz w:val="24"/>
          <w:szCs w:val="24"/>
          <w:lang w:val="pt-BR"/>
        </w:rPr>
        <w:t>esse tipo de crise.</w:t>
      </w:r>
    </w:p>
    <w:p w:rsidR="00553639" w:rsidRDefault="00553639" w:rsidP="00822B89">
      <w:pPr>
        <w:pStyle w:val="BodyText"/>
        <w:spacing w:after="0" w:line="240" w:lineRule="auto"/>
        <w:jc w:val="both"/>
        <w:rPr>
          <w:szCs w:val="24"/>
        </w:rPr>
      </w:pPr>
      <w:r>
        <w:rPr>
          <w:szCs w:val="24"/>
        </w:rPr>
        <w:t>A taxa de câmbio pode se encontrar sobrevalorizada, dentre outros fatores, como sintoma de doença holandesa. A</w:t>
      </w:r>
      <w:r w:rsidRPr="00A6374D">
        <w:rPr>
          <w:szCs w:val="24"/>
        </w:rPr>
        <w:t xml:space="preserve"> doença holandesa</w:t>
      </w:r>
      <w:r>
        <w:rPr>
          <w:szCs w:val="24"/>
        </w:rPr>
        <w:t xml:space="preserve"> pode ser definida como </w:t>
      </w:r>
      <w:r w:rsidRPr="00A6374D">
        <w:rPr>
          <w:szCs w:val="24"/>
        </w:rPr>
        <w:t>a sobre-apreciação crônica da taxa de câmbio causada pela abundância de recursos naturais e humanos baratos, compatíveis com uma taxa de câmbio inferior àquela que viabilizaria as demais indústr</w:t>
      </w:r>
      <w:r>
        <w:rPr>
          <w:szCs w:val="24"/>
        </w:rPr>
        <w:t>ias de bens comercializáveis. É</w:t>
      </w:r>
      <w:r w:rsidRPr="00A6374D">
        <w:rPr>
          <w:szCs w:val="24"/>
        </w:rPr>
        <w:t xml:space="preserve"> um</w:t>
      </w:r>
      <w:r>
        <w:rPr>
          <w:szCs w:val="24"/>
        </w:rPr>
        <w:t xml:space="preserve"> obstáculo que inviabiliza</w:t>
      </w:r>
      <w:r w:rsidRPr="00A6374D">
        <w:rPr>
          <w:szCs w:val="24"/>
        </w:rPr>
        <w:t xml:space="preserve"> investimentos </w:t>
      </w:r>
      <w:r>
        <w:rPr>
          <w:szCs w:val="24"/>
        </w:rPr>
        <w:t xml:space="preserve">e </w:t>
      </w:r>
      <w:r w:rsidRPr="00A6374D">
        <w:rPr>
          <w:szCs w:val="24"/>
        </w:rPr>
        <w:t xml:space="preserve">cuja principal causa será a tendência à sobre-apreciação da taxa de câmbio que existe nos países </w:t>
      </w:r>
      <w:smartTag w:uri="urn:schemas-microsoft-com:office:smarttags" w:element="PersonName">
        <w:smartTagPr>
          <w:attr w:name="ProductID" w:val="em desenvolvimento. Assim"/>
        </w:smartTagPr>
        <w:r w:rsidRPr="00A6374D">
          <w:rPr>
            <w:szCs w:val="24"/>
          </w:rPr>
          <w:t>em desenvolvimento</w:t>
        </w:r>
        <w:r>
          <w:rPr>
            <w:szCs w:val="24"/>
          </w:rPr>
          <w:t>. Assim</w:t>
        </w:r>
      </w:smartTag>
      <w:r>
        <w:rPr>
          <w:szCs w:val="24"/>
        </w:rPr>
        <w:t xml:space="preserve">, pode-se dizer que o comportamento pelo qual se manifesta o processo de desindustrialização tem como ponto central a relação entre apreciações sistemáticas da taxa de câmbio real de um país e sua pauta de exportações concentrada em </w:t>
      </w:r>
      <w:r w:rsidRPr="00822B89">
        <w:rPr>
          <w:i/>
          <w:szCs w:val="24"/>
        </w:rPr>
        <w:t>commodities</w:t>
      </w:r>
      <w:r>
        <w:rPr>
          <w:szCs w:val="24"/>
        </w:rPr>
        <w:t xml:space="preserve">, por exemplo. É essa conexão que é investigada nesse trabalho: há relação entre concentração de exportações de </w:t>
      </w:r>
      <w:r>
        <w:rPr>
          <w:i/>
          <w:szCs w:val="24"/>
        </w:rPr>
        <w:t xml:space="preserve">commodities </w:t>
      </w:r>
      <w:r>
        <w:rPr>
          <w:szCs w:val="24"/>
        </w:rPr>
        <w:t>e apreciação da taxa de câmbio real?</w:t>
      </w:r>
    </w:p>
    <w:p w:rsidR="00553639" w:rsidRDefault="00553639" w:rsidP="00822B89">
      <w:pPr>
        <w:tabs>
          <w:tab w:val="left" w:pos="720"/>
          <w:tab w:val="left" w:pos="927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Debates nos círculos acadêmicos e políticos sobre os efeitos da liberalização financeira sobre o desempenho econômico ou sobre a capacidade de condução de políticas monetárias independentes têm tido grande repercussão, em especial no que se refere às políticas praticadas pelos países emergentes. Na medida em que permanece popular a idéia de que controles de capitais podem ensejar certa influência sobre a taxa de câmbio real, o estudo sobre o desalinhamento cambial e </w:t>
      </w:r>
      <w:r>
        <w:rPr>
          <w:rFonts w:ascii="Times New Roman" w:hAnsi="Times New Roman"/>
          <w:i/>
          <w:sz w:val="24"/>
          <w:szCs w:val="24"/>
          <w:lang w:val="pt-BR"/>
        </w:rPr>
        <w:t>Dutch Disease</w:t>
      </w:r>
      <w:r>
        <w:rPr>
          <w:rFonts w:ascii="Times New Roman" w:hAnsi="Times New Roman"/>
          <w:sz w:val="24"/>
          <w:szCs w:val="24"/>
          <w:lang w:val="pt-BR"/>
        </w:rPr>
        <w:t xml:space="preserve"> necessariamente deverá passar por um estudo sobre a influência dos controles sobre a trajetória de ajuste do câmbio. </w:t>
      </w:r>
    </w:p>
    <w:p w:rsidR="00553639" w:rsidRDefault="00553639" w:rsidP="00822B89">
      <w:pPr>
        <w:tabs>
          <w:tab w:val="left" w:pos="720"/>
          <w:tab w:val="left" w:pos="9270"/>
        </w:tabs>
        <w:spacing w:after="0" w:line="240" w:lineRule="auto"/>
        <w:ind w:firstLine="720"/>
        <w:jc w:val="both"/>
        <w:rPr>
          <w:rFonts w:ascii="Times New Roman" w:hAnsi="Times New Roman"/>
          <w:sz w:val="24"/>
          <w:szCs w:val="24"/>
          <w:lang w:val="pt-BR"/>
        </w:rPr>
      </w:pPr>
      <w:r w:rsidRPr="00635FFF">
        <w:rPr>
          <w:rFonts w:ascii="Times New Roman" w:hAnsi="Times New Roman"/>
          <w:sz w:val="24"/>
          <w:szCs w:val="24"/>
          <w:lang w:val="pt-BR"/>
        </w:rPr>
        <w:t xml:space="preserve">No que se refere a um estudo </w:t>
      </w:r>
      <w:r>
        <w:rPr>
          <w:rFonts w:ascii="Times New Roman" w:hAnsi="Times New Roman"/>
          <w:sz w:val="24"/>
          <w:szCs w:val="24"/>
          <w:lang w:val="pt-BR"/>
        </w:rPr>
        <w:t>para um painel de países</w:t>
      </w:r>
      <w:r w:rsidRPr="00635FFF">
        <w:rPr>
          <w:rFonts w:ascii="Times New Roman" w:hAnsi="Times New Roman"/>
          <w:sz w:val="24"/>
          <w:szCs w:val="24"/>
          <w:lang w:val="pt-BR"/>
        </w:rPr>
        <w:t>, não é, em geral</w:t>
      </w:r>
      <w:r>
        <w:rPr>
          <w:rFonts w:ascii="Times New Roman" w:hAnsi="Times New Roman"/>
          <w:sz w:val="24"/>
          <w:szCs w:val="24"/>
          <w:lang w:val="pt-BR"/>
        </w:rPr>
        <w:t>, a TCR em nível o que interessa</w:t>
      </w:r>
      <w:r w:rsidRPr="00635FFF">
        <w:rPr>
          <w:rFonts w:ascii="Times New Roman" w:hAnsi="Times New Roman"/>
          <w:sz w:val="24"/>
          <w:szCs w:val="24"/>
          <w:lang w:val="pt-BR"/>
        </w:rPr>
        <w:t xml:space="preserve"> para o </w:t>
      </w:r>
      <w:r w:rsidRPr="00635FFF">
        <w:rPr>
          <w:rFonts w:ascii="Times New Roman" w:hAnsi="Times New Roman"/>
          <w:i/>
          <w:sz w:val="24"/>
          <w:szCs w:val="24"/>
          <w:lang w:val="pt-BR"/>
        </w:rPr>
        <w:t>policy-maker</w:t>
      </w:r>
      <w:r w:rsidRPr="00635FFF">
        <w:rPr>
          <w:rFonts w:ascii="Times New Roman" w:hAnsi="Times New Roman"/>
          <w:sz w:val="24"/>
          <w:szCs w:val="24"/>
          <w:lang w:val="pt-BR"/>
        </w:rPr>
        <w:t xml:space="preserve">; o seu comportamento de </w:t>
      </w:r>
      <w:r>
        <w:rPr>
          <w:rFonts w:ascii="Times New Roman" w:hAnsi="Times New Roman"/>
          <w:sz w:val="24"/>
          <w:szCs w:val="24"/>
          <w:lang w:val="pt-BR"/>
        </w:rPr>
        <w:t>sobrevalorização</w:t>
      </w:r>
      <w:r w:rsidRPr="00635FFF">
        <w:rPr>
          <w:rFonts w:ascii="Times New Roman" w:hAnsi="Times New Roman"/>
          <w:sz w:val="24"/>
          <w:szCs w:val="24"/>
          <w:lang w:val="pt-BR"/>
        </w:rPr>
        <w:t xml:space="preserve">, por outro lado, é muito importante, porque pode ser </w:t>
      </w:r>
      <w:r>
        <w:rPr>
          <w:rFonts w:ascii="Times New Roman" w:hAnsi="Times New Roman"/>
          <w:sz w:val="24"/>
          <w:szCs w:val="24"/>
          <w:lang w:val="pt-BR"/>
        </w:rPr>
        <w:t>fruto de prá</w:t>
      </w:r>
      <w:r w:rsidRPr="00635FFF">
        <w:rPr>
          <w:rFonts w:ascii="Times New Roman" w:hAnsi="Times New Roman"/>
          <w:sz w:val="24"/>
          <w:szCs w:val="24"/>
          <w:lang w:val="pt-BR"/>
        </w:rPr>
        <w:t>ticas políticas inadequadas</w:t>
      </w:r>
      <w:r>
        <w:rPr>
          <w:rFonts w:ascii="Times New Roman" w:hAnsi="Times New Roman"/>
          <w:sz w:val="24"/>
          <w:szCs w:val="24"/>
          <w:lang w:val="pt-BR"/>
        </w:rPr>
        <w:t>, tais como déficits permanentes,</w:t>
      </w:r>
      <w:r w:rsidRPr="00635FFF">
        <w:rPr>
          <w:rFonts w:ascii="Times New Roman" w:hAnsi="Times New Roman"/>
          <w:sz w:val="24"/>
          <w:szCs w:val="24"/>
          <w:lang w:val="pt-BR"/>
        </w:rPr>
        <w:t xml:space="preserve"> ou de desequilíbrios estruturais persistentes</w:t>
      </w:r>
      <w:r>
        <w:rPr>
          <w:rFonts w:ascii="Times New Roman" w:hAnsi="Times New Roman"/>
          <w:sz w:val="24"/>
          <w:szCs w:val="24"/>
          <w:lang w:val="pt-BR"/>
        </w:rPr>
        <w:t xml:space="preserve"> como </w:t>
      </w:r>
      <w:r>
        <w:rPr>
          <w:rFonts w:ascii="Times New Roman" w:hAnsi="Times New Roman"/>
          <w:i/>
          <w:sz w:val="24"/>
          <w:szCs w:val="24"/>
          <w:lang w:val="pt-BR"/>
        </w:rPr>
        <w:t>Dutch Disease</w:t>
      </w:r>
      <w:r>
        <w:rPr>
          <w:rFonts w:ascii="Times New Roman" w:hAnsi="Times New Roman"/>
          <w:sz w:val="24"/>
          <w:szCs w:val="24"/>
          <w:lang w:val="pt-BR"/>
        </w:rPr>
        <w:t>; ambos os efeitos adversos podem pedir uma</w:t>
      </w:r>
      <w:r w:rsidRPr="00635FFF">
        <w:rPr>
          <w:rFonts w:ascii="Times New Roman" w:hAnsi="Times New Roman"/>
          <w:sz w:val="24"/>
          <w:szCs w:val="24"/>
          <w:lang w:val="pt-BR"/>
        </w:rPr>
        <w:t xml:space="preserve"> ação corretiva</w:t>
      </w:r>
      <w:r>
        <w:rPr>
          <w:rFonts w:ascii="Times New Roman" w:hAnsi="Times New Roman"/>
          <w:sz w:val="24"/>
          <w:szCs w:val="24"/>
          <w:lang w:val="pt-BR"/>
        </w:rPr>
        <w:t xml:space="preserve"> por parte da sociedade e governo</w:t>
      </w:r>
      <w:r w:rsidRPr="00635FFF">
        <w:rPr>
          <w:rFonts w:ascii="Times New Roman" w:hAnsi="Times New Roman"/>
          <w:sz w:val="24"/>
          <w:szCs w:val="24"/>
          <w:lang w:val="pt-BR"/>
        </w:rPr>
        <w:t>. Por isso, nesse trabalho</w:t>
      </w:r>
      <w:r>
        <w:rPr>
          <w:rFonts w:ascii="Times New Roman" w:hAnsi="Times New Roman"/>
          <w:sz w:val="24"/>
          <w:szCs w:val="24"/>
          <w:lang w:val="pt-BR"/>
        </w:rPr>
        <w:t>,</w:t>
      </w:r>
      <w:r w:rsidRPr="00635FFF">
        <w:rPr>
          <w:rFonts w:ascii="Times New Roman" w:hAnsi="Times New Roman"/>
          <w:sz w:val="24"/>
          <w:szCs w:val="24"/>
          <w:lang w:val="pt-BR"/>
        </w:rPr>
        <w:t xml:space="preserve"> construímos, a partir </w:t>
      </w:r>
      <w:r>
        <w:rPr>
          <w:rFonts w:ascii="Times New Roman" w:hAnsi="Times New Roman"/>
          <w:sz w:val="24"/>
          <w:szCs w:val="24"/>
          <w:lang w:val="pt-BR"/>
        </w:rPr>
        <w:t>de um painel cointegrado para 102</w:t>
      </w:r>
      <w:r w:rsidRPr="00635FFF">
        <w:rPr>
          <w:rFonts w:ascii="Times New Roman" w:hAnsi="Times New Roman"/>
          <w:sz w:val="24"/>
          <w:szCs w:val="24"/>
          <w:lang w:val="pt-BR"/>
        </w:rPr>
        <w:t xml:space="preserve"> países, um </w:t>
      </w:r>
      <w:r>
        <w:rPr>
          <w:rFonts w:ascii="Times New Roman" w:hAnsi="Times New Roman"/>
          <w:sz w:val="24"/>
          <w:szCs w:val="24"/>
          <w:lang w:val="pt-BR"/>
        </w:rPr>
        <w:t>índice de desalinhamento da TCR, com o intuito de relacioná-lo ao tipo de pauta de exportação dos países, num segundo exercício empírico.</w:t>
      </w:r>
      <w:r w:rsidRPr="00635FFF">
        <w:rPr>
          <w:rFonts w:ascii="Times New Roman" w:hAnsi="Times New Roman"/>
          <w:sz w:val="24"/>
          <w:szCs w:val="24"/>
          <w:lang w:val="pt-BR"/>
        </w:rPr>
        <w:t xml:space="preserve"> </w:t>
      </w:r>
    </w:p>
    <w:p w:rsidR="00553639" w:rsidRDefault="00553639" w:rsidP="00822B89">
      <w:pPr>
        <w:tabs>
          <w:tab w:val="left" w:pos="720"/>
          <w:tab w:val="left" w:pos="927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Este trabalho, além desta introdução, é composto da seguinte forma: na próxima seção, é feito uma revisão da discussão sobre apreciação cambial, exportação de </w:t>
      </w:r>
      <w:r>
        <w:rPr>
          <w:rFonts w:ascii="Times New Roman" w:hAnsi="Times New Roman"/>
          <w:i/>
          <w:sz w:val="24"/>
          <w:szCs w:val="24"/>
          <w:lang w:val="pt-BR"/>
        </w:rPr>
        <w:t xml:space="preserve">commodities </w:t>
      </w:r>
      <w:r>
        <w:rPr>
          <w:rFonts w:ascii="Times New Roman" w:hAnsi="Times New Roman"/>
          <w:sz w:val="24"/>
          <w:szCs w:val="24"/>
          <w:lang w:val="pt-BR"/>
        </w:rPr>
        <w:t xml:space="preserve">e </w:t>
      </w:r>
      <w:r>
        <w:rPr>
          <w:rFonts w:ascii="Times New Roman" w:hAnsi="Times New Roman"/>
          <w:i/>
          <w:sz w:val="24"/>
          <w:szCs w:val="24"/>
          <w:lang w:val="pt-BR"/>
        </w:rPr>
        <w:t>Dutch Disease.</w:t>
      </w:r>
      <w:r>
        <w:rPr>
          <w:rFonts w:ascii="Times New Roman" w:hAnsi="Times New Roman"/>
          <w:sz w:val="24"/>
          <w:szCs w:val="24"/>
          <w:lang w:val="pt-BR"/>
        </w:rPr>
        <w:t xml:space="preserve"> Na Seção 3,</w:t>
      </w:r>
      <w:r w:rsidRPr="00041D94">
        <w:rPr>
          <w:rFonts w:ascii="Times New Roman" w:hAnsi="Times New Roman"/>
          <w:b/>
          <w:sz w:val="24"/>
          <w:szCs w:val="24"/>
          <w:lang w:val="pt-BR"/>
        </w:rPr>
        <w:t xml:space="preserve"> </w:t>
      </w:r>
      <w:r>
        <w:rPr>
          <w:rFonts w:ascii="Times New Roman" w:hAnsi="Times New Roman"/>
          <w:sz w:val="24"/>
          <w:szCs w:val="24"/>
          <w:lang w:val="pt-BR"/>
        </w:rPr>
        <w:t>o conceito de</w:t>
      </w:r>
      <w:r w:rsidRPr="00041D94">
        <w:rPr>
          <w:rFonts w:ascii="Times New Roman" w:hAnsi="Times New Roman"/>
          <w:sz w:val="24"/>
          <w:szCs w:val="24"/>
          <w:lang w:val="pt-BR"/>
        </w:rPr>
        <w:t xml:space="preserve"> taxa real de câmb</w:t>
      </w:r>
      <w:r>
        <w:rPr>
          <w:rFonts w:ascii="Times New Roman" w:hAnsi="Times New Roman"/>
          <w:sz w:val="24"/>
          <w:szCs w:val="24"/>
          <w:lang w:val="pt-BR"/>
        </w:rPr>
        <w:t>io de equilíbrio de longo prazo é explicado, e sua metodolo</w:t>
      </w:r>
      <w:r w:rsidRPr="00041D94">
        <w:rPr>
          <w:rFonts w:ascii="Times New Roman" w:hAnsi="Times New Roman"/>
          <w:sz w:val="24"/>
          <w:szCs w:val="24"/>
          <w:lang w:val="pt-BR"/>
        </w:rPr>
        <w:t>gia de estimação</w:t>
      </w:r>
      <w:r>
        <w:rPr>
          <w:rFonts w:ascii="Times New Roman" w:hAnsi="Times New Roman"/>
          <w:sz w:val="24"/>
          <w:szCs w:val="24"/>
          <w:lang w:val="pt-BR"/>
        </w:rPr>
        <w:t xml:space="preserve">. Na Seção 4 as bases de dados utilizadas são descritas </w:t>
      </w:r>
      <w:smartTag w:uri="urn:schemas-microsoft-com:office:smarttags" w:element="PersonName">
        <w:smartTagPr>
          <w:attr w:name="ProductID" w:val="em detalhes. A Seção"/>
        </w:smartTagPr>
        <w:r>
          <w:rPr>
            <w:rFonts w:ascii="Times New Roman" w:hAnsi="Times New Roman"/>
            <w:sz w:val="24"/>
            <w:szCs w:val="24"/>
            <w:lang w:val="pt-BR"/>
          </w:rPr>
          <w:t>em detalhes. A Seção</w:t>
        </w:r>
      </w:smartTag>
      <w:r>
        <w:rPr>
          <w:rFonts w:ascii="Times New Roman" w:hAnsi="Times New Roman"/>
          <w:sz w:val="24"/>
          <w:szCs w:val="24"/>
          <w:lang w:val="pt-BR"/>
        </w:rPr>
        <w:t xml:space="preserve"> 5 apresenta o modelo econométrico. A Seção 6 finaliza o trabalho com alguns comentários conclusivos.</w:t>
      </w:r>
    </w:p>
    <w:p w:rsidR="00553639" w:rsidRDefault="00553639" w:rsidP="00822B89">
      <w:pPr>
        <w:tabs>
          <w:tab w:val="left" w:pos="720"/>
          <w:tab w:val="left" w:pos="9270"/>
        </w:tabs>
        <w:spacing w:after="0" w:line="240" w:lineRule="auto"/>
        <w:ind w:firstLine="720"/>
        <w:jc w:val="both"/>
        <w:rPr>
          <w:rFonts w:ascii="Times New Roman" w:hAnsi="Times New Roman"/>
          <w:sz w:val="24"/>
          <w:szCs w:val="24"/>
          <w:lang w:val="pt-BR"/>
        </w:rPr>
      </w:pPr>
    </w:p>
    <w:p w:rsidR="00553639" w:rsidRDefault="00553639" w:rsidP="00822B89">
      <w:pPr>
        <w:tabs>
          <w:tab w:val="left" w:pos="720"/>
          <w:tab w:val="left" w:pos="9270"/>
        </w:tabs>
        <w:spacing w:after="0" w:line="240" w:lineRule="auto"/>
        <w:ind w:firstLine="720"/>
        <w:jc w:val="both"/>
        <w:rPr>
          <w:rFonts w:ascii="Times New Roman" w:hAnsi="Times New Roman"/>
          <w:sz w:val="24"/>
          <w:szCs w:val="24"/>
          <w:lang w:val="pt-BR"/>
        </w:rPr>
      </w:pPr>
    </w:p>
    <w:p w:rsidR="00553639" w:rsidRDefault="00553639" w:rsidP="00822B89">
      <w:pPr>
        <w:autoSpaceDE w:val="0"/>
        <w:autoSpaceDN w:val="0"/>
        <w:adjustRightInd w:val="0"/>
        <w:spacing w:after="0" w:line="240" w:lineRule="auto"/>
        <w:jc w:val="both"/>
        <w:rPr>
          <w:rFonts w:ascii="Times New Roman" w:hAnsi="Times New Roman"/>
          <w:b/>
          <w:sz w:val="24"/>
          <w:szCs w:val="24"/>
          <w:lang w:val="pt-BR"/>
        </w:rPr>
      </w:pPr>
    </w:p>
    <w:p w:rsidR="00553639" w:rsidRDefault="00553639" w:rsidP="00822B89">
      <w:pPr>
        <w:autoSpaceDE w:val="0"/>
        <w:autoSpaceDN w:val="0"/>
        <w:adjustRightInd w:val="0"/>
        <w:spacing w:after="0" w:line="240" w:lineRule="auto"/>
        <w:jc w:val="both"/>
        <w:rPr>
          <w:rFonts w:ascii="Times New Roman" w:hAnsi="Times New Roman"/>
          <w:b/>
          <w:sz w:val="24"/>
          <w:szCs w:val="24"/>
          <w:lang w:val="pt-BR"/>
        </w:rPr>
      </w:pPr>
    </w:p>
    <w:p w:rsidR="00553639" w:rsidRPr="00FD59DC" w:rsidRDefault="00553639" w:rsidP="00822B89">
      <w:pPr>
        <w:autoSpaceDE w:val="0"/>
        <w:autoSpaceDN w:val="0"/>
        <w:adjustRightInd w:val="0"/>
        <w:spacing w:after="0" w:line="240" w:lineRule="auto"/>
        <w:jc w:val="both"/>
        <w:rPr>
          <w:szCs w:val="24"/>
          <w:lang w:val="pt-BR"/>
        </w:rPr>
      </w:pPr>
      <w:r w:rsidRPr="00A6374D">
        <w:rPr>
          <w:rFonts w:ascii="Times New Roman" w:hAnsi="Times New Roman"/>
          <w:b/>
          <w:sz w:val="24"/>
          <w:szCs w:val="24"/>
          <w:lang w:val="pt-BR"/>
        </w:rPr>
        <w:t xml:space="preserve">2. </w:t>
      </w:r>
      <w:r>
        <w:rPr>
          <w:rFonts w:ascii="Times New Roman" w:hAnsi="Times New Roman"/>
          <w:b/>
          <w:sz w:val="24"/>
          <w:szCs w:val="24"/>
          <w:lang w:val="pt-BR"/>
        </w:rPr>
        <w:t>Estratégias de desenvolvimento, doença holandesa e câmbio</w:t>
      </w:r>
    </w:p>
    <w:p w:rsidR="00553639" w:rsidRDefault="00553639" w:rsidP="00822B89">
      <w:pPr>
        <w:pStyle w:val="BodyText"/>
        <w:spacing w:after="0" w:line="240" w:lineRule="auto"/>
        <w:jc w:val="both"/>
        <w:rPr>
          <w:szCs w:val="24"/>
        </w:rPr>
      </w:pPr>
    </w:p>
    <w:p w:rsidR="00553639" w:rsidRDefault="00553639" w:rsidP="00822B89">
      <w:pPr>
        <w:pStyle w:val="BodyText"/>
        <w:spacing w:after="0" w:line="240" w:lineRule="auto"/>
        <w:jc w:val="both"/>
        <w:rPr>
          <w:szCs w:val="24"/>
        </w:rPr>
      </w:pPr>
      <w:r w:rsidRPr="00A6374D">
        <w:rPr>
          <w:szCs w:val="24"/>
        </w:rPr>
        <w:t xml:space="preserve">A doença holandesa é um fenômeno decorrente da existência de recursos naturais abundantes que geram vantagens comparativas para esse setor e, por decorrência disso, </w:t>
      </w:r>
      <w:r>
        <w:rPr>
          <w:szCs w:val="24"/>
        </w:rPr>
        <w:t xml:space="preserve">gera </w:t>
      </w:r>
      <w:r w:rsidRPr="00A6374D">
        <w:rPr>
          <w:szCs w:val="24"/>
        </w:rPr>
        <w:t xml:space="preserve">diferencial de produtividade em </w:t>
      </w:r>
      <w:r w:rsidRPr="000C7D2F">
        <w:rPr>
          <w:i/>
          <w:szCs w:val="24"/>
        </w:rPr>
        <w:t>commodities</w:t>
      </w:r>
      <w:r w:rsidRPr="00A6374D">
        <w:rPr>
          <w:szCs w:val="24"/>
        </w:rPr>
        <w:t xml:space="preserve"> ao país que os possui. Deixando os mecanismos de mercado</w:t>
      </w:r>
      <w:r w:rsidRPr="005E44AD">
        <w:rPr>
          <w:szCs w:val="24"/>
        </w:rPr>
        <w:t xml:space="preserve"> </w:t>
      </w:r>
      <w:r>
        <w:rPr>
          <w:szCs w:val="24"/>
        </w:rPr>
        <w:t xml:space="preserve">operar </w:t>
      </w:r>
      <w:r w:rsidRPr="00A6374D">
        <w:rPr>
          <w:szCs w:val="24"/>
        </w:rPr>
        <w:t>livre</w:t>
      </w:r>
      <w:r>
        <w:rPr>
          <w:szCs w:val="24"/>
        </w:rPr>
        <w:t>mente</w:t>
      </w:r>
      <w:r w:rsidRPr="00A6374D">
        <w:rPr>
          <w:szCs w:val="24"/>
        </w:rPr>
        <w:t xml:space="preserve">, o país pode ser levado </w:t>
      </w:r>
      <w:r>
        <w:rPr>
          <w:szCs w:val="24"/>
        </w:rPr>
        <w:t>a experimentar subseqüentes apreciações de sua taxa de câmbio real.</w:t>
      </w:r>
    </w:p>
    <w:p w:rsidR="00553639" w:rsidRPr="00A6374D" w:rsidRDefault="00553639" w:rsidP="00822B89">
      <w:pPr>
        <w:pStyle w:val="BodyText"/>
        <w:spacing w:after="0" w:line="240" w:lineRule="auto"/>
        <w:jc w:val="both"/>
        <w:rPr>
          <w:szCs w:val="24"/>
        </w:rPr>
      </w:pPr>
      <w:r w:rsidRPr="00A6374D">
        <w:rPr>
          <w:szCs w:val="24"/>
        </w:rPr>
        <w:t xml:space="preserve">O primeiro modelo de doença holandesa foi desenvolvido por Corden e Neary (1982) e aprimorado por Corden (1984). Nele, existem três setores: o de produtos não comercializáveis, o de produtos comercializáveis que cresce rapidamente (extração de produtos naturais ou produção de grãos, por exemplo, nos quais o país possui vantagens comparativas) e o de comercializáveis que cresce mais lentamente (indústria e demais setores da agricultura e extração). O setor que produz recursos naturais (comercializáveis que cresce à frente dos demais) tende a expandir rapidamente suas receitas de exportação, o que leva </w:t>
      </w:r>
      <w:r>
        <w:rPr>
          <w:szCs w:val="24"/>
        </w:rPr>
        <w:t>à apreciação da taxa de câmbio. A</w:t>
      </w:r>
      <w:r w:rsidRPr="00A6374D">
        <w:rPr>
          <w:szCs w:val="24"/>
        </w:rPr>
        <w:t>mbos os fatores</w:t>
      </w:r>
      <w:r>
        <w:rPr>
          <w:szCs w:val="24"/>
        </w:rPr>
        <w:t>, seja a expansão da comercialização dos recursos naturais abundantes, seja a apreciação do câmbio,</w:t>
      </w:r>
      <w:r w:rsidRPr="00A6374D">
        <w:rPr>
          <w:szCs w:val="24"/>
        </w:rPr>
        <w:t xml:space="preserve"> contribuem para elevar a renda, incluindo a dos as</w:t>
      </w:r>
      <w:r>
        <w:rPr>
          <w:szCs w:val="24"/>
        </w:rPr>
        <w:t>salariados, e a demanda interna. Entretanto, há nesse processo desestímulo à exportação d</w:t>
      </w:r>
      <w:r w:rsidRPr="00A6374D">
        <w:rPr>
          <w:szCs w:val="24"/>
        </w:rPr>
        <w:t>o setor de manufaturados comercializáveis</w:t>
      </w:r>
      <w:r>
        <w:rPr>
          <w:szCs w:val="24"/>
        </w:rPr>
        <w:t>,</w:t>
      </w:r>
      <w:r w:rsidRPr="00A6374D">
        <w:rPr>
          <w:szCs w:val="24"/>
        </w:rPr>
        <w:t xml:space="preserve"> que </w:t>
      </w:r>
      <w:r>
        <w:rPr>
          <w:szCs w:val="24"/>
        </w:rPr>
        <w:t>tem o crescimento de suas exportações tornado mais lento</w:t>
      </w:r>
      <w:r w:rsidRPr="00A6374D">
        <w:rPr>
          <w:szCs w:val="24"/>
        </w:rPr>
        <w:t>. Uma parcela dos fatores produtivos é deslocada para o setor que produz recursos naturais e para o setor de não comercializáveis (neste caso, devido ao aumento da renda interna) e, ainda que a produção de manufaturados se desloque para o mercado interno, pode ocorrer um processo de desindustrialização em virtude da redução das vendas externas deste último e do aquecimento dos demais setores.</w:t>
      </w:r>
    </w:p>
    <w:p w:rsidR="00553639" w:rsidRPr="00041D94" w:rsidRDefault="00553639" w:rsidP="00822B89">
      <w:pPr>
        <w:pStyle w:val="BodyText"/>
        <w:spacing w:after="0" w:line="240" w:lineRule="auto"/>
        <w:jc w:val="both"/>
      </w:pPr>
      <w:r>
        <w:rPr>
          <w:szCs w:val="24"/>
        </w:rPr>
        <w:t>Para Bresser-Pereira (2008)</w:t>
      </w:r>
      <w:r w:rsidRPr="00A6374D">
        <w:rPr>
          <w:szCs w:val="24"/>
        </w:rPr>
        <w:t xml:space="preserve">, a doença holandesa é uma grave falha de mercado porque implica a coexistência de duas taxas de câmbio de equilíbrio: a </w:t>
      </w:r>
      <w:r>
        <w:rPr>
          <w:szCs w:val="24"/>
        </w:rPr>
        <w:t>TCR</w:t>
      </w:r>
      <w:r w:rsidRPr="00A6374D">
        <w:rPr>
          <w:szCs w:val="24"/>
        </w:rPr>
        <w:t xml:space="preserve"> de equilíbrio corrente, que equilibra intertemporalmente a conta corrente do país, e a </w:t>
      </w:r>
      <w:r>
        <w:rPr>
          <w:szCs w:val="24"/>
        </w:rPr>
        <w:t>TCR</w:t>
      </w:r>
      <w:r w:rsidRPr="00A6374D">
        <w:rPr>
          <w:szCs w:val="24"/>
        </w:rPr>
        <w:t xml:space="preserve"> de equilíbrio industrial, que viabilizaria a produção no país de outros bens comercializáveis distintos dos que dão origem à doença holandesa. A taxa de câmbio de equilíbrio corrente é inferior à industrial</w:t>
      </w:r>
      <w:r>
        <w:rPr>
          <w:szCs w:val="24"/>
        </w:rPr>
        <w:t xml:space="preserve"> </w:t>
      </w:r>
      <w:r w:rsidRPr="00A6374D">
        <w:rPr>
          <w:szCs w:val="24"/>
        </w:rPr>
        <w:t>devido à doença holandesa</w:t>
      </w:r>
      <w:r>
        <w:rPr>
          <w:szCs w:val="24"/>
        </w:rPr>
        <w:t xml:space="preserve"> – </w:t>
      </w:r>
      <w:r w:rsidRPr="00A6374D">
        <w:rPr>
          <w:szCs w:val="24"/>
        </w:rPr>
        <w:t xml:space="preserve">isto é, o equilíbrio em conta corrente é viabilizado com uma taxa de câmbio inferior à que estimularia as exportações </w:t>
      </w:r>
      <w:r>
        <w:rPr>
          <w:szCs w:val="24"/>
        </w:rPr>
        <w:t xml:space="preserve">de manufaturados </w:t>
      </w:r>
      <w:r w:rsidRPr="00A6374D">
        <w:rPr>
          <w:szCs w:val="24"/>
        </w:rPr>
        <w:t>e, por conseqüência,</w:t>
      </w:r>
      <w:r>
        <w:rPr>
          <w:szCs w:val="24"/>
        </w:rPr>
        <w:t xml:space="preserve"> estimula</w:t>
      </w:r>
      <w:r w:rsidRPr="00A6374D">
        <w:rPr>
          <w:szCs w:val="24"/>
        </w:rPr>
        <w:t xml:space="preserve"> a produção de uma</w:t>
      </w:r>
      <w:r>
        <w:rPr>
          <w:szCs w:val="24"/>
        </w:rPr>
        <w:t xml:space="preserve"> série de produtos industriais. O resultado é a geração de sucessivos</w:t>
      </w:r>
      <w:r w:rsidRPr="00A6374D">
        <w:rPr>
          <w:szCs w:val="24"/>
        </w:rPr>
        <w:t xml:space="preserve"> superávits comerciais de </w:t>
      </w:r>
      <w:r w:rsidRPr="00A6374D">
        <w:rPr>
          <w:i/>
          <w:szCs w:val="24"/>
        </w:rPr>
        <w:t>commodities</w:t>
      </w:r>
      <w:r w:rsidRPr="00A6374D">
        <w:rPr>
          <w:szCs w:val="24"/>
        </w:rPr>
        <w:t xml:space="preserve"> primárias e</w:t>
      </w:r>
      <w:r>
        <w:rPr>
          <w:szCs w:val="24"/>
        </w:rPr>
        <w:t xml:space="preserve"> de produtos</w:t>
      </w:r>
      <w:r w:rsidRPr="00A6374D">
        <w:rPr>
          <w:szCs w:val="24"/>
        </w:rPr>
        <w:t xml:space="preserve"> derivados</w:t>
      </w:r>
      <w:r>
        <w:rPr>
          <w:szCs w:val="24"/>
        </w:rPr>
        <w:t xml:space="preserve"> delas</w:t>
      </w:r>
      <w:r w:rsidRPr="00A6374D">
        <w:rPr>
          <w:szCs w:val="24"/>
        </w:rPr>
        <w:t xml:space="preserve"> que estimulam a valorização cambial e</w:t>
      </w:r>
      <w:r>
        <w:rPr>
          <w:szCs w:val="24"/>
        </w:rPr>
        <w:t>,</w:t>
      </w:r>
      <w:r w:rsidRPr="00A6374D">
        <w:rPr>
          <w:szCs w:val="24"/>
        </w:rPr>
        <w:t xml:space="preserve"> ao mesmo tempo</w:t>
      </w:r>
      <w:r>
        <w:rPr>
          <w:szCs w:val="24"/>
        </w:rPr>
        <w:t>,</w:t>
      </w:r>
      <w:r w:rsidRPr="00A6374D">
        <w:rPr>
          <w:szCs w:val="24"/>
        </w:rPr>
        <w:t xml:space="preserve"> propicia a manutenção deste </w:t>
      </w:r>
      <w:r w:rsidRPr="004B2A84">
        <w:rPr>
          <w:i/>
          <w:szCs w:val="24"/>
        </w:rPr>
        <w:t>superávit</w:t>
      </w:r>
      <w:r w:rsidRPr="00A6374D">
        <w:rPr>
          <w:szCs w:val="24"/>
        </w:rPr>
        <w:t xml:space="preserve"> com uma </w:t>
      </w:r>
      <w:r>
        <w:rPr>
          <w:szCs w:val="24"/>
        </w:rPr>
        <w:t>TCR</w:t>
      </w:r>
      <w:r w:rsidRPr="00A6374D">
        <w:rPr>
          <w:szCs w:val="24"/>
        </w:rPr>
        <w:t xml:space="preserve"> </w:t>
      </w:r>
      <w:r>
        <w:rPr>
          <w:szCs w:val="24"/>
        </w:rPr>
        <w:t>sobrevalorizada. Essa dinâmica</w:t>
      </w:r>
      <w:r w:rsidRPr="00A6374D">
        <w:rPr>
          <w:szCs w:val="24"/>
        </w:rPr>
        <w:t xml:space="preserve"> inviabiliza o superávit comercial em outros setores que não possuem a mesma vantagem comparativa.</w:t>
      </w:r>
      <w:r>
        <w:rPr>
          <w:szCs w:val="24"/>
        </w:rPr>
        <w:t xml:space="preserve"> A vantagem comparativa, porém, não é um conceito estático, mas dinâmico: os países emergentes que efetivamente se desenvolveram, argumenta o autor, investindo na capacitação de suas vantagens comparativas na produção de bens manufaturados cujas externalidades em termos de emprego da força produtiva e de expansão do conhecimento da produção de bens intensivos em tecnologia tem sido positiva e benéfica</w:t>
      </w:r>
      <w:r w:rsidRPr="00041D94">
        <w:rPr>
          <w:szCs w:val="24"/>
        </w:rPr>
        <w:t xml:space="preserve">. A discussão sobre a tendência à sobrevalorização do câmbio compreende o que os países podem fazer, e alguns fazem, para evitá-la. </w:t>
      </w:r>
      <w:r w:rsidRPr="00041D94">
        <w:t>Nesse sentido, do ponto de vista dos países emergentes, a análise de estratégia mais fundamental é observar as experiências internacionais como exemplo.</w:t>
      </w:r>
    </w:p>
    <w:p w:rsidR="00553639" w:rsidRPr="000721AC" w:rsidRDefault="00553639" w:rsidP="00822B89">
      <w:pPr>
        <w:pStyle w:val="BodyText"/>
        <w:spacing w:after="0" w:line="240" w:lineRule="auto"/>
        <w:jc w:val="both"/>
        <w:rPr>
          <w:szCs w:val="24"/>
        </w:rPr>
      </w:pPr>
      <w:r w:rsidRPr="00041D94">
        <w:t xml:space="preserve">Os asiáticos iniciaram e aceleraram seus processos de </w:t>
      </w:r>
      <w:r w:rsidRPr="00041D94">
        <w:rPr>
          <w:szCs w:val="24"/>
        </w:rPr>
        <w:t>desenvolvimento</w:t>
      </w:r>
      <w:r>
        <w:t xml:space="preserve"> em períodos diferentes, de forma que temos na seqüência: Coréia, Taiwan, Singapura, Malásia e Tailândia; </w:t>
      </w:r>
      <w:r w:rsidRPr="000721AC">
        <w:rPr>
          <w:szCs w:val="24"/>
        </w:rPr>
        <w:t>posteriormente, Indonésia, China e Índia e ma</w:t>
      </w:r>
      <w:r>
        <w:rPr>
          <w:szCs w:val="24"/>
        </w:rPr>
        <w:t>is recentemente Vietnã e Cambodj</w:t>
      </w:r>
      <w:r w:rsidRPr="000721AC">
        <w:rPr>
          <w:szCs w:val="24"/>
        </w:rPr>
        <w:t xml:space="preserve">a. A expressão “depois”, de alguma forma ligada à hipótese dos gansos voadores, sugere que o </w:t>
      </w:r>
      <w:r w:rsidRPr="000721AC">
        <w:rPr>
          <w:i/>
          <w:szCs w:val="24"/>
        </w:rPr>
        <w:t>catch up</w:t>
      </w:r>
      <w:r w:rsidRPr="000721AC">
        <w:rPr>
          <w:szCs w:val="24"/>
        </w:rPr>
        <w:t xml:space="preserve"> ocorreu em ondas sucessivas.</w:t>
      </w:r>
      <w:r w:rsidRPr="000721AC">
        <w:rPr>
          <w:rStyle w:val="FootnoteReference"/>
          <w:szCs w:val="24"/>
        </w:rPr>
        <w:footnoteReference w:id="1"/>
      </w:r>
    </w:p>
    <w:p w:rsidR="00553639" w:rsidRDefault="00553639" w:rsidP="000721AC">
      <w:pPr>
        <w:pStyle w:val="BodyText"/>
        <w:spacing w:after="0" w:line="240" w:lineRule="auto"/>
        <w:jc w:val="both"/>
        <w:rPr>
          <w:szCs w:val="24"/>
        </w:rPr>
      </w:pPr>
      <w:r w:rsidRPr="000721AC">
        <w:rPr>
          <w:szCs w:val="24"/>
        </w:rPr>
        <w:t xml:space="preserve">Existe alguma coisa em comum no processo de desenvolvimento econômico desses países? Lidar com os processos de sobre-apreciação do câmbio real, neutralizando-o, é uma resposta ao sucesso no crescimento destes países que têm tomado relevância na literatura (Eichegreen, 2008; Gala, 2008; Rodrik, 2008). Pode-se dizer que existe uma estratégia nacional de desenvolvimento, ou de competição internacional, em cada um dos episódios de neutralização da tendência à apreciação da taxa de câmbio real, em que se ressalta o cuidado com políticas cambiais. </w:t>
      </w:r>
    </w:p>
    <w:p w:rsidR="00553639" w:rsidRDefault="00553639" w:rsidP="000721AC">
      <w:pPr>
        <w:pStyle w:val="BodyText"/>
        <w:spacing w:after="0" w:line="240" w:lineRule="auto"/>
        <w:jc w:val="both"/>
        <w:rPr>
          <w:szCs w:val="24"/>
        </w:rPr>
      </w:pPr>
      <w:r>
        <w:rPr>
          <w:szCs w:val="24"/>
        </w:rPr>
        <w:t>Eichengreen (2008) chama atenção para o fato de que a</w:t>
      </w:r>
      <w:r w:rsidRPr="000721AC">
        <w:rPr>
          <w:szCs w:val="24"/>
        </w:rPr>
        <w:t xml:space="preserve"> literatura de crescimento orientado às exportações </w:t>
      </w:r>
      <w:r>
        <w:rPr>
          <w:szCs w:val="24"/>
        </w:rPr>
        <w:t xml:space="preserve">foca </w:t>
      </w:r>
      <w:r w:rsidRPr="000721AC">
        <w:rPr>
          <w:szCs w:val="24"/>
        </w:rPr>
        <w:t>as vantagens</w:t>
      </w:r>
      <w:r>
        <w:rPr>
          <w:szCs w:val="24"/>
        </w:rPr>
        <w:t xml:space="preserve"> por diversos veículos teóricos, em  geral recomendando m</w:t>
      </w:r>
      <w:r w:rsidRPr="000721AC">
        <w:rPr>
          <w:szCs w:val="24"/>
        </w:rPr>
        <w:t>anter-se os preços das exportações altas o suficiente para tornar atrativ</w:t>
      </w:r>
      <w:r>
        <w:rPr>
          <w:szCs w:val="24"/>
        </w:rPr>
        <w:t>o o deslocamento dos recursos à</w:t>
      </w:r>
      <w:r w:rsidRPr="000721AC">
        <w:rPr>
          <w:szCs w:val="24"/>
        </w:rPr>
        <w:t xml:space="preserve"> sua produção. Isso significa o aumento da</w:t>
      </w:r>
      <w:r>
        <w:rPr>
          <w:szCs w:val="24"/>
        </w:rPr>
        <w:t xml:space="preserve"> produção de manufaturas leves que</w:t>
      </w:r>
      <w:r w:rsidRPr="000721AC">
        <w:rPr>
          <w:szCs w:val="24"/>
        </w:rPr>
        <w:t xml:space="preserve"> promoveria um estím</w:t>
      </w:r>
      <w:r>
        <w:rPr>
          <w:szCs w:val="24"/>
        </w:rPr>
        <w:t>ulo ao crescimento, desde que haja</w:t>
      </w:r>
      <w:r w:rsidRPr="000721AC">
        <w:rPr>
          <w:szCs w:val="24"/>
        </w:rPr>
        <w:t xml:space="preserve"> condições para que haja maior produtividade na manufatura do que na agricultura.</w:t>
      </w:r>
      <w:r>
        <w:rPr>
          <w:szCs w:val="24"/>
        </w:rPr>
        <w:t xml:space="preserve"> Esses países com crescimento orientado às exportações podem</w:t>
      </w:r>
      <w:r w:rsidRPr="000721AC">
        <w:rPr>
          <w:szCs w:val="24"/>
        </w:rPr>
        <w:t xml:space="preserve"> continuar sua extensão</w:t>
      </w:r>
      <w:r>
        <w:rPr>
          <w:szCs w:val="24"/>
        </w:rPr>
        <w:t xml:space="preserve"> de produção</w:t>
      </w:r>
      <w:r w:rsidRPr="000721AC">
        <w:rPr>
          <w:szCs w:val="24"/>
        </w:rPr>
        <w:t xml:space="preserve"> sem que os preços caiam, uma vez que a demanda externa é inelástica, ao contrário dos </w:t>
      </w:r>
      <w:r w:rsidRPr="000721AC">
        <w:rPr>
          <w:i/>
          <w:szCs w:val="24"/>
        </w:rPr>
        <w:t>non-tradables</w:t>
      </w:r>
      <w:r w:rsidRPr="000721AC">
        <w:rPr>
          <w:szCs w:val="24"/>
        </w:rPr>
        <w:t xml:space="preserve">, cuja demanda é doméstica e relativamente inelástica. Isso permite que a estrutura de produção seja desconectada da estrutura de consumo. Se maior renda e rápido crescimento permitem maiores taxas de poupança, então será possível financiar maiores níveis de investimento dos recursos </w:t>
      </w:r>
      <w:r w:rsidRPr="000721AC">
        <w:rPr>
          <w:i/>
          <w:szCs w:val="24"/>
        </w:rPr>
        <w:t>domésticos</w:t>
      </w:r>
      <w:r w:rsidRPr="000721AC">
        <w:rPr>
          <w:szCs w:val="24"/>
        </w:rPr>
        <w:t>.</w:t>
      </w:r>
      <w:r>
        <w:rPr>
          <w:szCs w:val="24"/>
        </w:rPr>
        <w:t xml:space="preserve"> Além disso, s</w:t>
      </w:r>
      <w:r w:rsidRPr="000721AC">
        <w:rPr>
          <w:szCs w:val="24"/>
        </w:rPr>
        <w:t xml:space="preserve">e </w:t>
      </w:r>
      <w:r>
        <w:rPr>
          <w:szCs w:val="24"/>
        </w:rPr>
        <w:t xml:space="preserve">o </w:t>
      </w:r>
      <w:r w:rsidRPr="000721AC">
        <w:rPr>
          <w:i/>
          <w:szCs w:val="24"/>
        </w:rPr>
        <w:t>learning-by-doing</w:t>
      </w:r>
      <w:r w:rsidRPr="000721AC">
        <w:rPr>
          <w:szCs w:val="24"/>
        </w:rPr>
        <w:t xml:space="preserve"> ou transferência de tecnologia é relativamente rápido nos setor</w:t>
      </w:r>
      <w:r>
        <w:rPr>
          <w:szCs w:val="24"/>
        </w:rPr>
        <w:t xml:space="preserve">es produzindo para exportação, </w:t>
      </w:r>
      <w:r w:rsidRPr="000721AC">
        <w:rPr>
          <w:szCs w:val="24"/>
        </w:rPr>
        <w:t>então haverá maior estímulo para a taxa de crescimento.</w:t>
      </w:r>
      <w:r>
        <w:rPr>
          <w:szCs w:val="24"/>
        </w:rPr>
        <w:t xml:space="preserve"> Como evidência do funcionamento desses veículos aponta os países que</w:t>
      </w:r>
      <w:r w:rsidRPr="000721AC">
        <w:rPr>
          <w:szCs w:val="24"/>
        </w:rPr>
        <w:t xml:space="preserve"> tiveram sucesso com </w:t>
      </w:r>
      <w:r w:rsidRPr="000721AC">
        <w:rPr>
          <w:i/>
          <w:szCs w:val="24"/>
        </w:rPr>
        <w:t>export led growth</w:t>
      </w:r>
      <w:r w:rsidRPr="000721AC">
        <w:rPr>
          <w:szCs w:val="24"/>
        </w:rPr>
        <w:t>: Japão, Honk Kong, Singapura</w:t>
      </w:r>
      <w:r>
        <w:rPr>
          <w:szCs w:val="24"/>
        </w:rPr>
        <w:t>, Coréa do Sul, Taiwan, e por último, a</w:t>
      </w:r>
      <w:r w:rsidRPr="000721AC">
        <w:rPr>
          <w:szCs w:val="24"/>
        </w:rPr>
        <w:t xml:space="preserve"> China (na ordem).</w:t>
      </w:r>
    </w:p>
    <w:p w:rsidR="00553639" w:rsidRDefault="00553639" w:rsidP="000721AC">
      <w:pPr>
        <w:spacing w:after="0" w:line="240" w:lineRule="auto"/>
        <w:ind w:right="-86" w:firstLine="720"/>
        <w:jc w:val="both"/>
        <w:rPr>
          <w:rFonts w:ascii="Times New Roman" w:hAnsi="Times New Roman"/>
          <w:sz w:val="24"/>
          <w:szCs w:val="24"/>
          <w:lang w:val="pt-BR"/>
        </w:rPr>
      </w:pPr>
      <w:r w:rsidRPr="000721AC">
        <w:rPr>
          <w:rFonts w:ascii="Times New Roman" w:hAnsi="Times New Roman"/>
          <w:sz w:val="24"/>
          <w:szCs w:val="24"/>
          <w:lang w:val="pt-BR"/>
        </w:rPr>
        <w:t>Eichengreen (2008) argument</w:t>
      </w:r>
      <w:r>
        <w:rPr>
          <w:rFonts w:ascii="Times New Roman" w:hAnsi="Times New Roman"/>
          <w:sz w:val="24"/>
          <w:szCs w:val="24"/>
          <w:lang w:val="pt-BR"/>
        </w:rPr>
        <w:t>a</w:t>
      </w:r>
      <w:r w:rsidRPr="000721AC">
        <w:rPr>
          <w:rFonts w:ascii="Times New Roman" w:hAnsi="Times New Roman"/>
          <w:sz w:val="24"/>
          <w:szCs w:val="24"/>
          <w:lang w:val="pt-BR"/>
        </w:rPr>
        <w:t xml:space="preserve"> que manter o câmbio em níveis competitivos e evitar excessiva volatilidade permite que o país explore crescimento – formando uma forca de trabalho qualificada, altas taxas de poupança, ou seu status quanto a se tornar um destino para investimento estrangeiro. Ausente esses fundamentos, a política cambial não funciona, e traz custos e benefícios, com os custos crescendo à medida que aumentam o nível geral econômico e o desenvolvimento financeiro. Porque os fundamentos são diferentes entre os países, as correlações entre o nível e a volatilidade da RER produzem resultados estatísticos diversos</w:t>
      </w:r>
      <w:r>
        <w:rPr>
          <w:rFonts w:ascii="Times New Roman" w:hAnsi="Times New Roman"/>
          <w:sz w:val="24"/>
          <w:szCs w:val="24"/>
          <w:lang w:val="pt-BR"/>
        </w:rPr>
        <w:t>.</w:t>
      </w:r>
    </w:p>
    <w:p w:rsidR="00553639" w:rsidRDefault="00553639" w:rsidP="000721AC">
      <w:pPr>
        <w:spacing w:after="0" w:line="240" w:lineRule="auto"/>
        <w:ind w:right="-86" w:firstLine="720"/>
        <w:jc w:val="both"/>
        <w:rPr>
          <w:rFonts w:ascii="Times New Roman" w:hAnsi="Times New Roman"/>
          <w:sz w:val="24"/>
          <w:szCs w:val="24"/>
          <w:lang w:val="pt-BR"/>
        </w:rPr>
      </w:pPr>
      <w:r>
        <w:rPr>
          <w:rFonts w:ascii="Times New Roman" w:hAnsi="Times New Roman"/>
          <w:sz w:val="24"/>
          <w:szCs w:val="24"/>
          <w:lang w:val="pt-BR"/>
        </w:rPr>
        <w:t xml:space="preserve">Nesse contexto, cabe questionar se a taxa de câmbio real pode ser mesmo usada como variável de política. A resposta do autor é que </w:t>
      </w:r>
      <w:r w:rsidRPr="000721AC">
        <w:rPr>
          <w:rFonts w:ascii="Times New Roman" w:hAnsi="Times New Roman"/>
          <w:sz w:val="24"/>
          <w:szCs w:val="24"/>
          <w:lang w:val="pt-BR"/>
        </w:rPr>
        <w:t>A política monetária não pode ser usada para sustentar uma RER particular, outra que a ditada pelos fundamentos</w:t>
      </w:r>
      <w:r>
        <w:rPr>
          <w:rFonts w:ascii="Times New Roman" w:hAnsi="Times New Roman"/>
          <w:sz w:val="24"/>
          <w:szCs w:val="24"/>
          <w:lang w:val="pt-BR"/>
        </w:rPr>
        <w:t xml:space="preserve"> eternamente</w:t>
      </w:r>
      <w:r w:rsidRPr="000721AC">
        <w:rPr>
          <w:rFonts w:ascii="Times New Roman" w:hAnsi="Times New Roman"/>
          <w:sz w:val="24"/>
          <w:szCs w:val="24"/>
          <w:lang w:val="pt-BR"/>
        </w:rPr>
        <w:t>. Embora a política cambial seja eficiente no curto prazo, por conta dos ajustes defasado</w:t>
      </w:r>
      <w:r>
        <w:rPr>
          <w:rFonts w:ascii="Times New Roman" w:hAnsi="Times New Roman"/>
          <w:sz w:val="24"/>
          <w:szCs w:val="24"/>
          <w:lang w:val="pt-BR"/>
        </w:rPr>
        <w:t>s do mercado de bens</w:t>
      </w:r>
      <w:r w:rsidRPr="000721AC">
        <w:rPr>
          <w:rFonts w:ascii="Times New Roman" w:hAnsi="Times New Roman"/>
          <w:sz w:val="24"/>
          <w:szCs w:val="24"/>
          <w:lang w:val="pt-BR"/>
        </w:rPr>
        <w:t xml:space="preserve"> e rápido ajuste no mercado de ativos, no longo prazo a inflação reage, e o preço dos bens não comercializáveis se ajusta.   Claro, o longo prazo pode ser suficiente para que a política imprima </w:t>
      </w:r>
      <w:r>
        <w:rPr>
          <w:rFonts w:ascii="Times New Roman" w:hAnsi="Times New Roman"/>
          <w:sz w:val="24"/>
          <w:szCs w:val="24"/>
          <w:lang w:val="pt-BR"/>
        </w:rPr>
        <w:t xml:space="preserve">um início virtuoso de </w:t>
      </w:r>
      <w:r w:rsidRPr="000721AC">
        <w:rPr>
          <w:rFonts w:ascii="Times New Roman" w:hAnsi="Times New Roman"/>
          <w:sz w:val="24"/>
          <w:szCs w:val="24"/>
          <w:lang w:val="pt-BR"/>
        </w:rPr>
        <w:t>crescimento.</w:t>
      </w:r>
    </w:p>
    <w:p w:rsidR="00553639" w:rsidRDefault="00553639" w:rsidP="000721AC">
      <w:pPr>
        <w:spacing w:after="0" w:line="240" w:lineRule="auto"/>
        <w:ind w:right="-86" w:firstLine="720"/>
        <w:jc w:val="both"/>
        <w:rPr>
          <w:rFonts w:ascii="Times New Roman" w:hAnsi="Times New Roman"/>
          <w:sz w:val="24"/>
          <w:szCs w:val="24"/>
          <w:lang w:val="pt-BR"/>
        </w:rPr>
      </w:pPr>
      <w:r>
        <w:rPr>
          <w:rFonts w:ascii="Times New Roman" w:hAnsi="Times New Roman"/>
          <w:sz w:val="24"/>
          <w:szCs w:val="24"/>
          <w:lang w:val="pt-BR"/>
        </w:rPr>
        <w:t xml:space="preserve">Mas outros canais são apontados. </w:t>
      </w:r>
      <w:r w:rsidRPr="000721AC">
        <w:rPr>
          <w:rFonts w:ascii="Times New Roman" w:hAnsi="Times New Roman"/>
          <w:sz w:val="24"/>
          <w:szCs w:val="24"/>
          <w:lang w:val="pt-BR"/>
        </w:rPr>
        <w:t>Política</w:t>
      </w:r>
      <w:r>
        <w:rPr>
          <w:rFonts w:ascii="Times New Roman" w:hAnsi="Times New Roman"/>
          <w:sz w:val="24"/>
          <w:szCs w:val="24"/>
          <w:lang w:val="pt-BR"/>
        </w:rPr>
        <w:t xml:space="preserve"> fiscal pode tem um impacto</w:t>
      </w:r>
      <w:r w:rsidRPr="000721AC">
        <w:rPr>
          <w:rFonts w:ascii="Times New Roman" w:hAnsi="Times New Roman"/>
          <w:sz w:val="24"/>
          <w:szCs w:val="24"/>
          <w:lang w:val="pt-BR"/>
        </w:rPr>
        <w:t xml:space="preserve"> duradouro, com uma política restritiva reduzindo o preço dos bens </w:t>
      </w:r>
      <w:r>
        <w:rPr>
          <w:rFonts w:ascii="Times New Roman" w:hAnsi="Times New Roman"/>
          <w:sz w:val="24"/>
          <w:szCs w:val="24"/>
          <w:lang w:val="pt-BR"/>
        </w:rPr>
        <w:t>domésticos e desvalorizando o câ</w:t>
      </w:r>
      <w:r w:rsidRPr="000721AC">
        <w:rPr>
          <w:rFonts w:ascii="Times New Roman" w:hAnsi="Times New Roman"/>
          <w:sz w:val="24"/>
          <w:szCs w:val="24"/>
          <w:lang w:val="pt-BR"/>
        </w:rPr>
        <w:t xml:space="preserve">mbio. O quão restritiva deve ser a política fiscal depende de quanta pressão é dada sobre o mercado de bens não comercializáveis por outras formas de gastos. Se as poupanças das famílias e as corporativas são altas, como as da China, o governo não precisa pressionar muito. Se o investimento é relativamente fraco, como tem sido na Ásia desde 1997-8, então um dado nível de gasto público estará associado poderá associar-se com cambio competitivo: os países Asiáticos experimentaram substancial depreciação cambial depois da crise sem que a política fiscal fosse fortemente contracionária (exceto por um período curto). </w:t>
      </w:r>
    </w:p>
    <w:p w:rsidR="00553639" w:rsidRPr="007C249A" w:rsidRDefault="00553639" w:rsidP="000721AC">
      <w:pPr>
        <w:spacing w:after="0" w:line="240" w:lineRule="auto"/>
        <w:ind w:right="-86" w:firstLine="720"/>
        <w:jc w:val="both"/>
        <w:rPr>
          <w:rFonts w:ascii="Times New Roman" w:hAnsi="Times New Roman"/>
          <w:sz w:val="24"/>
          <w:szCs w:val="24"/>
          <w:lang w:val="pt-BR"/>
        </w:rPr>
      </w:pPr>
      <w:r w:rsidRPr="000721AC">
        <w:rPr>
          <w:rFonts w:ascii="Times New Roman" w:hAnsi="Times New Roman"/>
          <w:sz w:val="24"/>
          <w:szCs w:val="24"/>
          <w:lang w:val="pt-BR"/>
        </w:rPr>
        <w:t>Analogamente, a fraca demanda privada explica porque a Argentina experimentou uma sustentável depreciação real depois da crise 2001-2.</w:t>
      </w:r>
      <w:r>
        <w:rPr>
          <w:rFonts w:ascii="Times New Roman" w:hAnsi="Times New Roman"/>
          <w:sz w:val="24"/>
          <w:szCs w:val="24"/>
          <w:lang w:val="pt-BR"/>
        </w:rPr>
        <w:t xml:space="preserve"> </w:t>
      </w:r>
      <w:r w:rsidRPr="000721AC">
        <w:rPr>
          <w:rFonts w:ascii="Times New Roman" w:hAnsi="Times New Roman"/>
          <w:sz w:val="24"/>
          <w:szCs w:val="24"/>
          <w:lang w:val="pt-BR"/>
        </w:rPr>
        <w:t xml:space="preserve">Similarmente, a menor experiência de crescimento pela maioria da América Latina e Caribe nas mesmas décadas tem chamado a atenção para a possibilidade de sobrevalorização cambial na região. </w:t>
      </w:r>
      <w:r w:rsidRPr="007C249A">
        <w:rPr>
          <w:rFonts w:ascii="Times New Roman" w:hAnsi="Times New Roman"/>
          <w:sz w:val="24"/>
          <w:szCs w:val="24"/>
          <w:lang w:val="pt-BR"/>
        </w:rPr>
        <w:t xml:space="preserve">Alguns desses países passaram por uma grande crise de balanço de pagamentos em 1997 (Coréia, Tailândia, Malásia, Cingapura), mas em seguida voltaram a crescer. </w:t>
      </w:r>
    </w:p>
    <w:p w:rsidR="00553639" w:rsidRPr="007C249A" w:rsidRDefault="00553639" w:rsidP="000721AC">
      <w:pPr>
        <w:spacing w:after="0" w:line="240" w:lineRule="auto"/>
        <w:ind w:right="-86" w:firstLine="720"/>
        <w:jc w:val="both"/>
        <w:rPr>
          <w:rFonts w:ascii="Times New Roman" w:hAnsi="Times New Roman"/>
          <w:sz w:val="24"/>
          <w:szCs w:val="24"/>
          <w:lang w:val="pt-BR"/>
        </w:rPr>
      </w:pPr>
      <w:r w:rsidRPr="00A14041">
        <w:rPr>
          <w:rFonts w:ascii="Times New Roman" w:hAnsi="Times New Roman"/>
          <w:sz w:val="24"/>
          <w:szCs w:val="24"/>
          <w:lang w:val="pt-BR"/>
        </w:rPr>
        <w:t xml:space="preserve">A estratégia é distinta da adotada na América Latina, principalmente no Brasil e no México, que a partir da década de 1980, com a crise da dívida externa, pararam de crescer e resolveram financiar seus déficits no balanço de pagamentos, principalmente, através da atração de capitais externos. </w:t>
      </w:r>
      <w:r w:rsidRPr="007C249A">
        <w:rPr>
          <w:rFonts w:ascii="Times New Roman" w:hAnsi="Times New Roman"/>
          <w:sz w:val="24"/>
          <w:szCs w:val="24"/>
          <w:lang w:val="pt-BR"/>
        </w:rPr>
        <w:t>Não houve uma estratégia de promoção das exportações que poderia levar estes países, a exemplo dos asiáticos, a equilibrar suas contas externas de forma sustentável, criando poupança interna e praticando taxas de câmbio competitivas. A estratégia na maioria dos países latino-americanos foi de, a princípio, controlar a inflação usando o câmbio como uma âncora cambial e, posteriormente, para financiar o desenvolvimento. A estratégia de sobrevalorização cambial traz vantagens no curto prazo, pois torna o consumo e o investimento baseado em produtos estrangeiros mais barato, provocando uma elevação efêmera do poder de compra da população, mas em médio prazo gera sérias restrições à produção de bens que necessitam de uma taxa de câmbio mais elevada para se tornarem rentáveis (por não possuírem as mesmas vantagens comparativas dos setores que produzem bens primários) e ao balanço de pagamentos do país</w:t>
      </w:r>
      <w:r w:rsidRPr="000721AC">
        <w:rPr>
          <w:rStyle w:val="FootnoteReference"/>
          <w:rFonts w:ascii="Times New Roman" w:hAnsi="Times New Roman"/>
          <w:sz w:val="24"/>
          <w:szCs w:val="24"/>
        </w:rPr>
        <w:footnoteReference w:id="2"/>
      </w:r>
      <w:r w:rsidRPr="007C249A">
        <w:rPr>
          <w:rFonts w:ascii="Times New Roman" w:hAnsi="Times New Roman"/>
          <w:sz w:val="24"/>
          <w:szCs w:val="24"/>
          <w:lang w:val="pt-BR"/>
        </w:rPr>
        <w:t>.</w:t>
      </w:r>
    </w:p>
    <w:p w:rsidR="00553639" w:rsidRPr="000721AC" w:rsidRDefault="00553639" w:rsidP="000721AC">
      <w:pPr>
        <w:autoSpaceDE w:val="0"/>
        <w:autoSpaceDN w:val="0"/>
        <w:adjustRightInd w:val="0"/>
        <w:spacing w:after="0" w:line="240" w:lineRule="auto"/>
        <w:ind w:right="-90"/>
        <w:jc w:val="both"/>
        <w:rPr>
          <w:rFonts w:ascii="Times New Roman" w:hAnsi="Times New Roman"/>
          <w:b/>
          <w:sz w:val="24"/>
          <w:szCs w:val="24"/>
          <w:lang w:val="pt-BR"/>
        </w:rPr>
      </w:pPr>
    </w:p>
    <w:p w:rsidR="00553639" w:rsidRPr="000721AC" w:rsidRDefault="00553639" w:rsidP="000721AC">
      <w:pPr>
        <w:autoSpaceDE w:val="0"/>
        <w:autoSpaceDN w:val="0"/>
        <w:adjustRightInd w:val="0"/>
        <w:spacing w:after="0" w:line="240" w:lineRule="auto"/>
        <w:ind w:right="-90"/>
        <w:jc w:val="both"/>
        <w:rPr>
          <w:rFonts w:ascii="Times New Roman" w:hAnsi="Times New Roman"/>
          <w:b/>
          <w:sz w:val="24"/>
          <w:szCs w:val="24"/>
          <w:lang w:val="pt-BR"/>
        </w:rPr>
      </w:pPr>
    </w:p>
    <w:p w:rsidR="00553639" w:rsidRPr="000721AC" w:rsidRDefault="00553639" w:rsidP="00822B89">
      <w:pPr>
        <w:autoSpaceDE w:val="0"/>
        <w:autoSpaceDN w:val="0"/>
        <w:adjustRightInd w:val="0"/>
        <w:spacing w:after="0" w:line="240" w:lineRule="auto"/>
        <w:jc w:val="both"/>
        <w:rPr>
          <w:rFonts w:ascii="Times New Roman" w:hAnsi="Times New Roman"/>
          <w:b/>
          <w:sz w:val="24"/>
          <w:szCs w:val="24"/>
          <w:lang w:val="pt-BR"/>
        </w:rPr>
      </w:pPr>
      <w:r w:rsidRPr="000721AC">
        <w:rPr>
          <w:rFonts w:ascii="Times New Roman" w:hAnsi="Times New Roman"/>
          <w:b/>
          <w:sz w:val="24"/>
          <w:szCs w:val="24"/>
          <w:lang w:val="pt-BR"/>
        </w:rPr>
        <w:t>3. A taxa real de câmbio de equilíbrio de longo prazo: teoria e metodologia de estimação</w:t>
      </w:r>
    </w:p>
    <w:p w:rsidR="00553639" w:rsidRPr="000721AC" w:rsidRDefault="00553639" w:rsidP="00822B89">
      <w:pPr>
        <w:autoSpaceDE w:val="0"/>
        <w:autoSpaceDN w:val="0"/>
        <w:adjustRightInd w:val="0"/>
        <w:spacing w:after="0" w:line="240" w:lineRule="auto"/>
        <w:ind w:firstLine="720"/>
        <w:jc w:val="both"/>
        <w:rPr>
          <w:rFonts w:ascii="Times New Roman" w:hAnsi="Times New Roman"/>
          <w:sz w:val="24"/>
          <w:szCs w:val="24"/>
          <w:lang w:val="pt-BR"/>
        </w:rPr>
      </w:pPr>
    </w:p>
    <w:p w:rsidR="00553639" w:rsidRPr="000721AC" w:rsidRDefault="00553639" w:rsidP="00822B89">
      <w:pPr>
        <w:autoSpaceDE w:val="0"/>
        <w:autoSpaceDN w:val="0"/>
        <w:adjustRightInd w:val="0"/>
        <w:spacing w:after="0" w:line="240" w:lineRule="auto"/>
        <w:ind w:firstLine="720"/>
        <w:jc w:val="both"/>
        <w:rPr>
          <w:rFonts w:ascii="Times New Roman" w:hAnsi="Times New Roman"/>
          <w:sz w:val="24"/>
          <w:szCs w:val="24"/>
          <w:lang w:val="pt-BR"/>
        </w:rPr>
      </w:pPr>
      <w:r w:rsidRPr="000721AC">
        <w:rPr>
          <w:rFonts w:ascii="Times New Roman" w:hAnsi="Times New Roman"/>
          <w:sz w:val="24"/>
          <w:szCs w:val="24"/>
          <w:lang w:val="pt-BR"/>
        </w:rPr>
        <w:t>A taxa de câmbio real é um preço não só relativo, mas macroeconomicamente estratégico, guiando a alocação da produção e gastos de uma economia entre dois tipos de bens, os comercializáveis e não-comercializáveis. Devido a esse papel importante da TCR, as economias emergentes em particular são muitas vezes encorajadas a conduzirem em suas políticas esse preço relativo à sua posição “correta”. Essa posição “correta” é muitas vezes indicada como aquela que não está muito distante de seu valor de equilíbrio, dados a sustentabilidade das contas internas e externas.</w:t>
      </w:r>
    </w:p>
    <w:p w:rsidR="00553639" w:rsidRDefault="00553639" w:rsidP="00822B89">
      <w:pPr>
        <w:autoSpaceDE w:val="0"/>
        <w:autoSpaceDN w:val="0"/>
        <w:adjustRightInd w:val="0"/>
        <w:spacing w:after="0" w:line="240" w:lineRule="auto"/>
        <w:ind w:firstLine="720"/>
        <w:jc w:val="both"/>
        <w:rPr>
          <w:rFonts w:ascii="Times New Roman" w:hAnsi="Times New Roman"/>
          <w:i/>
          <w:sz w:val="24"/>
          <w:szCs w:val="24"/>
          <w:lang w:val="pt-BR"/>
        </w:rPr>
      </w:pPr>
      <w:r w:rsidRPr="000721AC">
        <w:rPr>
          <w:rFonts w:ascii="Times New Roman" w:hAnsi="Times New Roman"/>
          <w:sz w:val="24"/>
          <w:szCs w:val="24"/>
          <w:lang w:val="pt-BR"/>
        </w:rPr>
        <w:t>A definição tradicional da TCR de equilíbrio é aquela que é consistente com o balanço macroeconômico interno e externo, condicionado a valores sustentáveis de variáveis exógenas e de política (ou seja, ao equilíbrio intertemporal dos fundamentos). O balanço interno refere-se à situação em que os mercados de bens comercializáveis e não-comercializáveis estão em equilíbrio, e corresponde ao equilíbrio macroeconômico com pleno emprego. O balanço externo, por outro lado</w:t>
      </w:r>
      <w:r w:rsidRPr="00A6374D">
        <w:rPr>
          <w:rFonts w:ascii="Times New Roman" w:hAnsi="Times New Roman"/>
          <w:sz w:val="24"/>
          <w:szCs w:val="24"/>
          <w:lang w:val="pt-BR"/>
        </w:rPr>
        <w:t>, refere-se a uma situação em que o déficit em conta corrente da economia é igual ao valor intertemporal sustentável de entrada de fluxos de capitais que se espera receber. Assim, quando se aponta uma TCR de equilíbrio, não se refere a uma TCR obtida de qualquer equilíbrio arbitrariamente escolhido, mas sim de um equilíbrio sustentável intertemporalmente.</w:t>
      </w:r>
      <w:r>
        <w:rPr>
          <w:rFonts w:ascii="Times New Roman" w:hAnsi="Times New Roman"/>
          <w:sz w:val="24"/>
          <w:szCs w:val="24"/>
          <w:lang w:val="pt-BR"/>
        </w:rPr>
        <w:t xml:space="preserve"> Econometricamente, a TCR de equilíbrio pode ser obtida regredindo-se a TCR com seus fundamentos como regressores. A regressão, assim, é capaz de tornar visível como os fundamentos agem para estabelecer o equilíbrio da taxa de câmbio; a posição externa líquida, por exemplo, age naturalmente como um fundamento apreciador da TCR. O que a maioria das estimações de taxa de câmbio não contempla é o papel dos recursos naturais no nível de equilíbrio de longo prazo da TCR. A estratégia empírica deste trabalho é justamente fazer essa inclusão, utilizando como </w:t>
      </w:r>
      <w:r>
        <w:rPr>
          <w:rFonts w:ascii="Times New Roman" w:hAnsi="Times New Roman"/>
          <w:i/>
          <w:sz w:val="24"/>
          <w:szCs w:val="24"/>
          <w:lang w:val="pt-BR"/>
        </w:rPr>
        <w:t>proxy</w:t>
      </w:r>
      <w:r>
        <w:rPr>
          <w:rFonts w:ascii="Times New Roman" w:hAnsi="Times New Roman"/>
          <w:sz w:val="24"/>
          <w:szCs w:val="24"/>
          <w:lang w:val="pt-BR"/>
        </w:rPr>
        <w:t xml:space="preserve"> da riqueza relativa em recursos naturais de um pais o índice da participação percentual de </w:t>
      </w:r>
      <w:r>
        <w:rPr>
          <w:rFonts w:ascii="Times New Roman" w:hAnsi="Times New Roman"/>
          <w:i/>
          <w:sz w:val="24"/>
          <w:szCs w:val="24"/>
          <w:lang w:val="pt-BR"/>
        </w:rPr>
        <w:t>commodities</w:t>
      </w:r>
      <w:r>
        <w:rPr>
          <w:rFonts w:ascii="Times New Roman" w:hAnsi="Times New Roman"/>
          <w:sz w:val="24"/>
          <w:szCs w:val="24"/>
          <w:lang w:val="pt-BR"/>
        </w:rPr>
        <w:t xml:space="preserve"> nas exportações do país. Assim, além dos fundamentos, temos uma variável “</w:t>
      </w:r>
      <w:r>
        <w:rPr>
          <w:rFonts w:ascii="Times New Roman" w:hAnsi="Times New Roman"/>
          <w:i/>
          <w:sz w:val="24"/>
          <w:szCs w:val="24"/>
          <w:lang w:val="pt-BR"/>
        </w:rPr>
        <w:t>Commodity</w:t>
      </w:r>
      <w:r>
        <w:rPr>
          <w:rFonts w:ascii="Times New Roman" w:hAnsi="Times New Roman"/>
          <w:sz w:val="24"/>
          <w:szCs w:val="24"/>
          <w:lang w:val="pt-BR"/>
        </w:rPr>
        <w:t xml:space="preserve">” procurando esclarecer se há uma relação entre o comportamento da TCR e a abundância relativa de recursos naturais de um país. Uma relação positiva e significante da TCR com esse índice pode ser interpretado como evidência de que o fenômeno de </w:t>
      </w:r>
      <w:r>
        <w:rPr>
          <w:rFonts w:ascii="Times New Roman" w:hAnsi="Times New Roman"/>
          <w:i/>
          <w:sz w:val="24"/>
          <w:szCs w:val="24"/>
          <w:lang w:val="pt-BR"/>
        </w:rPr>
        <w:t>Dutch</w:t>
      </w:r>
      <w:r>
        <w:rPr>
          <w:rFonts w:ascii="Times New Roman" w:hAnsi="Times New Roman"/>
          <w:sz w:val="24"/>
          <w:szCs w:val="24"/>
          <w:lang w:val="pt-BR"/>
        </w:rPr>
        <w:t xml:space="preserve"> disease implique em sobrevalorização. Para investigar esse problema, nós construímos taxas de equilíbrio de longo prazo que incluem a “Commodity” – e, de acordo com esta lógica, embutem apreciação causada por exportação de produtos primários – com uma taxa de equilíbrio convencional, que não captaria esse fenômeno e tende a ser relativamente desvalorizada com relação à TCR de equilíbrio que embute a apreciação decorrente da </w:t>
      </w:r>
      <w:r w:rsidRPr="00DF3BDE">
        <w:rPr>
          <w:rFonts w:ascii="Times New Roman" w:hAnsi="Times New Roman"/>
          <w:i/>
          <w:sz w:val="24"/>
          <w:szCs w:val="24"/>
          <w:lang w:val="pt-BR"/>
        </w:rPr>
        <w:t>Dutch disease</w:t>
      </w:r>
      <w:r>
        <w:rPr>
          <w:rFonts w:ascii="Times New Roman" w:hAnsi="Times New Roman"/>
          <w:i/>
          <w:sz w:val="24"/>
          <w:szCs w:val="24"/>
          <w:lang w:val="pt-BR"/>
        </w:rPr>
        <w:t>.</w:t>
      </w:r>
    </w:p>
    <w:p w:rsidR="00553639" w:rsidRDefault="00553639" w:rsidP="00822B89">
      <w:pPr>
        <w:autoSpaceDE w:val="0"/>
        <w:autoSpaceDN w:val="0"/>
        <w:adjustRightInd w:val="0"/>
        <w:spacing w:after="0" w:line="240" w:lineRule="auto"/>
        <w:ind w:firstLine="720"/>
        <w:jc w:val="both"/>
        <w:rPr>
          <w:rFonts w:ascii="Times New Roman" w:hAnsi="Times New Roman"/>
          <w:i/>
          <w:sz w:val="24"/>
          <w:szCs w:val="24"/>
          <w:lang w:val="pt-BR"/>
        </w:rPr>
      </w:pPr>
    </w:p>
    <w:p w:rsidR="00553639"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i/>
          <w:sz w:val="24"/>
          <w:szCs w:val="24"/>
          <w:lang w:val="pt-BR"/>
        </w:rPr>
        <w:t xml:space="preserve">3.1 Modelos para taxas de câmbio de equilíbrio. </w:t>
      </w:r>
      <w:r>
        <w:rPr>
          <w:rFonts w:ascii="Times New Roman" w:hAnsi="Times New Roman"/>
          <w:sz w:val="24"/>
          <w:szCs w:val="24"/>
          <w:lang w:val="pt-BR"/>
        </w:rPr>
        <w:t>A defi</w:t>
      </w:r>
      <w:r w:rsidRPr="00472344">
        <w:rPr>
          <w:rFonts w:ascii="Times New Roman" w:hAnsi="Times New Roman"/>
          <w:sz w:val="24"/>
          <w:szCs w:val="24"/>
          <w:lang w:val="pt-BR"/>
        </w:rPr>
        <w:t>n</w:t>
      </w:r>
      <w:r>
        <w:rPr>
          <w:rFonts w:ascii="Times New Roman" w:hAnsi="Times New Roman"/>
          <w:sz w:val="24"/>
          <w:szCs w:val="24"/>
          <w:lang w:val="pt-BR"/>
        </w:rPr>
        <w:t>ição tradicional da TCR de equi</w:t>
      </w:r>
      <w:r w:rsidRPr="00472344">
        <w:rPr>
          <w:rFonts w:ascii="Times New Roman" w:hAnsi="Times New Roman"/>
          <w:sz w:val="24"/>
          <w:szCs w:val="24"/>
          <w:lang w:val="pt-BR"/>
        </w:rPr>
        <w:t>líbrio</w:t>
      </w:r>
      <w:r>
        <w:rPr>
          <w:rFonts w:ascii="Times New Roman" w:hAnsi="Times New Roman"/>
          <w:sz w:val="24"/>
          <w:szCs w:val="24"/>
          <w:lang w:val="pt-BR"/>
        </w:rPr>
        <w:t xml:space="preserve">, a </w:t>
      </w:r>
      <w:r>
        <w:rPr>
          <w:rFonts w:ascii="Times New Roman" w:hAnsi="Times New Roman"/>
          <w:i/>
          <w:sz w:val="24"/>
          <w:szCs w:val="24"/>
          <w:lang w:val="pt-BR"/>
        </w:rPr>
        <w:t>Fundamental Equilibrium Exchange Rate</w:t>
      </w:r>
      <w:r>
        <w:rPr>
          <w:rFonts w:ascii="Times New Roman" w:hAnsi="Times New Roman"/>
          <w:sz w:val="24"/>
          <w:szCs w:val="24"/>
          <w:lang w:val="pt-BR"/>
        </w:rPr>
        <w:t xml:space="preserve"> (Taxa de Câmbio de Equilíbrio, FEER),</w:t>
      </w:r>
      <w:r w:rsidRPr="00472344">
        <w:rPr>
          <w:rFonts w:ascii="Times New Roman" w:hAnsi="Times New Roman"/>
          <w:sz w:val="24"/>
          <w:szCs w:val="24"/>
          <w:lang w:val="pt-BR"/>
        </w:rPr>
        <w:t xml:space="preserve"> é aquela que é consistente com o balanço macroeconômico interno e externo,</w:t>
      </w:r>
      <w:r>
        <w:rPr>
          <w:rFonts w:ascii="Times New Roman" w:hAnsi="Times New Roman"/>
          <w:sz w:val="24"/>
          <w:szCs w:val="24"/>
          <w:lang w:val="pt-BR"/>
        </w:rPr>
        <w:t xml:space="preserve"> </w:t>
      </w:r>
      <w:r w:rsidRPr="00472344">
        <w:rPr>
          <w:rFonts w:ascii="Times New Roman" w:hAnsi="Times New Roman"/>
          <w:sz w:val="24"/>
          <w:szCs w:val="24"/>
          <w:lang w:val="pt-BR"/>
        </w:rPr>
        <w:t>condicionado a valores sustentáveis de variáveis exógenas e de política (ou seja, ao</w:t>
      </w:r>
      <w:r>
        <w:rPr>
          <w:rFonts w:ascii="Times New Roman" w:hAnsi="Times New Roman"/>
          <w:sz w:val="24"/>
          <w:szCs w:val="24"/>
          <w:lang w:val="pt-BR"/>
        </w:rPr>
        <w:t xml:space="preserve"> </w:t>
      </w:r>
      <w:r w:rsidRPr="00472344">
        <w:rPr>
          <w:rFonts w:ascii="Times New Roman" w:hAnsi="Times New Roman"/>
          <w:sz w:val="24"/>
          <w:szCs w:val="24"/>
          <w:lang w:val="pt-BR"/>
        </w:rPr>
        <w:t>equilíbrio intertemporal). O balanço interno refere-se à situação em que os mercados</w:t>
      </w:r>
      <w:r>
        <w:rPr>
          <w:rFonts w:ascii="Times New Roman" w:hAnsi="Times New Roman"/>
          <w:sz w:val="24"/>
          <w:szCs w:val="24"/>
          <w:lang w:val="pt-BR"/>
        </w:rPr>
        <w:t xml:space="preserve"> </w:t>
      </w:r>
      <w:r w:rsidRPr="00472344">
        <w:rPr>
          <w:rFonts w:ascii="Times New Roman" w:hAnsi="Times New Roman"/>
          <w:sz w:val="24"/>
          <w:szCs w:val="24"/>
          <w:lang w:val="pt-BR"/>
        </w:rPr>
        <w:t>de bens comercializáveis e não-comercializáveis est</w:t>
      </w:r>
      <w:r>
        <w:rPr>
          <w:rFonts w:ascii="Times New Roman" w:hAnsi="Times New Roman"/>
          <w:sz w:val="24"/>
          <w:szCs w:val="24"/>
          <w:lang w:val="pt-BR"/>
        </w:rPr>
        <w:t>ão ambos em equilíbrio, e corre</w:t>
      </w:r>
      <w:r w:rsidRPr="00472344">
        <w:rPr>
          <w:rFonts w:ascii="Times New Roman" w:hAnsi="Times New Roman"/>
          <w:sz w:val="24"/>
          <w:szCs w:val="24"/>
          <w:lang w:val="pt-BR"/>
        </w:rPr>
        <w:t>sponde ao equilíbrio macroeconômico com pleno emprego. O balanço externo, por</w:t>
      </w:r>
      <w:r>
        <w:rPr>
          <w:rFonts w:ascii="Times New Roman" w:hAnsi="Times New Roman"/>
          <w:sz w:val="24"/>
          <w:szCs w:val="24"/>
          <w:lang w:val="pt-BR"/>
        </w:rPr>
        <w:t xml:space="preserve"> </w:t>
      </w:r>
      <w:r w:rsidRPr="00472344">
        <w:rPr>
          <w:rFonts w:ascii="Times New Roman" w:hAnsi="Times New Roman"/>
          <w:sz w:val="24"/>
          <w:szCs w:val="24"/>
          <w:lang w:val="pt-BR"/>
        </w:rPr>
        <w:t>outro lado, refere-se a u</w:t>
      </w:r>
      <w:r>
        <w:rPr>
          <w:rFonts w:ascii="Times New Roman" w:hAnsi="Times New Roman"/>
          <w:sz w:val="24"/>
          <w:szCs w:val="24"/>
          <w:lang w:val="pt-BR"/>
        </w:rPr>
        <w:t>ma situação em que o défi</w:t>
      </w:r>
      <w:r w:rsidRPr="00472344">
        <w:rPr>
          <w:rFonts w:ascii="Times New Roman" w:hAnsi="Times New Roman"/>
          <w:sz w:val="24"/>
          <w:szCs w:val="24"/>
          <w:lang w:val="pt-BR"/>
        </w:rPr>
        <w:t>cit em conta corrente da economia</w:t>
      </w:r>
      <w:r>
        <w:rPr>
          <w:rFonts w:ascii="Times New Roman" w:hAnsi="Times New Roman"/>
          <w:sz w:val="24"/>
          <w:szCs w:val="24"/>
          <w:lang w:val="pt-BR"/>
        </w:rPr>
        <w:t xml:space="preserve"> </w:t>
      </w:r>
      <w:r w:rsidRPr="00472344">
        <w:rPr>
          <w:rFonts w:ascii="Times New Roman" w:hAnsi="Times New Roman"/>
          <w:sz w:val="24"/>
          <w:szCs w:val="24"/>
          <w:lang w:val="pt-BR"/>
        </w:rPr>
        <w:t>é igual ao valor intertemp</w:t>
      </w:r>
      <w:r>
        <w:rPr>
          <w:rFonts w:ascii="Times New Roman" w:hAnsi="Times New Roman"/>
          <w:sz w:val="24"/>
          <w:szCs w:val="24"/>
          <w:lang w:val="pt-BR"/>
        </w:rPr>
        <w:t>oral sustentável de entrada de fl</w:t>
      </w:r>
      <w:r w:rsidRPr="00472344">
        <w:rPr>
          <w:rFonts w:ascii="Times New Roman" w:hAnsi="Times New Roman"/>
          <w:sz w:val="24"/>
          <w:szCs w:val="24"/>
          <w:lang w:val="pt-BR"/>
        </w:rPr>
        <w:t>uxos de capitais que se</w:t>
      </w:r>
      <w:r>
        <w:rPr>
          <w:rFonts w:ascii="Times New Roman" w:hAnsi="Times New Roman"/>
          <w:sz w:val="24"/>
          <w:szCs w:val="24"/>
          <w:lang w:val="pt-BR"/>
        </w:rPr>
        <w:t xml:space="preserve"> </w:t>
      </w:r>
      <w:r w:rsidRPr="00472344">
        <w:rPr>
          <w:rFonts w:ascii="Times New Roman" w:hAnsi="Times New Roman"/>
          <w:sz w:val="24"/>
          <w:szCs w:val="24"/>
          <w:lang w:val="pt-BR"/>
        </w:rPr>
        <w:t xml:space="preserve">espera receber. </w:t>
      </w:r>
      <w:r>
        <w:rPr>
          <w:rFonts w:ascii="Times New Roman" w:hAnsi="Times New Roman"/>
          <w:sz w:val="24"/>
          <w:szCs w:val="24"/>
          <w:lang w:val="pt-BR"/>
        </w:rPr>
        <w:t xml:space="preserve"> Ele pode ser caracterizado por estimações empíricas de balanços de poupança-investimento ou por valores que são consistentes com a sustentabilidade do  equilíbrio externo. </w:t>
      </w:r>
      <w:r w:rsidRPr="00472344">
        <w:rPr>
          <w:rFonts w:ascii="Times New Roman" w:hAnsi="Times New Roman"/>
          <w:sz w:val="24"/>
          <w:szCs w:val="24"/>
          <w:lang w:val="pt-BR"/>
        </w:rPr>
        <w:t>Assim, quando se aponta uma TCR de equilíbrio, não se refere a</w:t>
      </w:r>
      <w:r>
        <w:rPr>
          <w:rFonts w:ascii="Times New Roman" w:hAnsi="Times New Roman"/>
          <w:sz w:val="24"/>
          <w:szCs w:val="24"/>
          <w:lang w:val="pt-BR"/>
        </w:rPr>
        <w:t xml:space="preserve"> </w:t>
      </w:r>
      <w:r w:rsidRPr="00472344">
        <w:rPr>
          <w:rFonts w:ascii="Times New Roman" w:hAnsi="Times New Roman"/>
          <w:sz w:val="24"/>
          <w:szCs w:val="24"/>
          <w:lang w:val="pt-BR"/>
        </w:rPr>
        <w:t>uma TCR obtida de qualquer equilíbrio arbitrariamente escolhido, mas sim de um</w:t>
      </w:r>
      <w:r>
        <w:rPr>
          <w:rFonts w:ascii="Times New Roman" w:hAnsi="Times New Roman"/>
          <w:sz w:val="24"/>
          <w:szCs w:val="24"/>
          <w:lang w:val="pt-BR"/>
        </w:rPr>
        <w:t xml:space="preserve"> </w:t>
      </w:r>
      <w:r w:rsidRPr="00472344">
        <w:rPr>
          <w:rFonts w:ascii="Times New Roman" w:hAnsi="Times New Roman"/>
          <w:sz w:val="24"/>
          <w:szCs w:val="24"/>
          <w:lang w:val="pt-BR"/>
        </w:rPr>
        <w:t>equilíbrio</w:t>
      </w:r>
      <w:r>
        <w:rPr>
          <w:rFonts w:ascii="Times New Roman" w:hAnsi="Times New Roman"/>
          <w:sz w:val="24"/>
          <w:szCs w:val="24"/>
          <w:lang w:val="pt-BR"/>
        </w:rPr>
        <w:t xml:space="preserve"> sustentável intertemporalmente, o que exige estimações das elasticidades de comércio. Esse enfoque foi utilizado de forma pioneira por Williansom (1994) e ainda é utilizado pelo FMI. </w:t>
      </w:r>
    </w:p>
    <w:p w:rsidR="00553639"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A abordagem FEER, embora intuitiva, traz alguns problemas aos pesquisadores. Primeiro, os resultados são muito sensíveis às elasticidades de comércio, que são comumente usadas como dadas por uma média de uma grande quantidade de países (Isard, 2007). Em segundo lugar, os balanços internos, usualmente calculados por hiatos de produtos, são difíceis de computar para países emergentes, e os métodos empregados em geral carecem de fundamentos teóricos (Isard e Faruqee (1998)). De forma geral, pode-se dizer que o cálculo dos hiatos de produtos não são apropriados para economias emergentes ou em transição porque suas transformações econômicas ainda estão em processo (Coudert e Couharde, 2007). E terceiro, estimar o equilíbrio externo sustentável não é tarefa fácil. Por um lado, a hipótese de sustentabilidade do débito externo usualmente termina por ser a manutenção do nível anterior de débito (IMF, 2007), qual seja o tamanho, o que leva a grandes desvios entre os países que são inexplicados. Por outro lado, rodar uma regressão </w:t>
      </w:r>
      <w:r>
        <w:rPr>
          <w:rFonts w:ascii="Times New Roman" w:hAnsi="Times New Roman"/>
          <w:i/>
          <w:sz w:val="24"/>
          <w:szCs w:val="24"/>
          <w:lang w:val="pt-BR"/>
        </w:rPr>
        <w:t>cross-country</w:t>
      </w:r>
      <w:r>
        <w:rPr>
          <w:rFonts w:ascii="Times New Roman" w:hAnsi="Times New Roman"/>
          <w:sz w:val="24"/>
          <w:szCs w:val="24"/>
          <w:lang w:val="pt-BR"/>
        </w:rPr>
        <w:t xml:space="preserve"> para estimar a conta corrente de equilíbrio pode resultar em grande diferenças com os dados obtidos e nos informar graves desalinhamentos. </w:t>
      </w:r>
    </w:p>
    <w:p w:rsidR="00553639"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Dado esses problemas, a literatura empírica de determinação da TCR têm utilizado técnicas de estimação diretas. Este enfoque é muitas vezes chamado de </w:t>
      </w:r>
      <w:r>
        <w:rPr>
          <w:rFonts w:ascii="Times New Roman" w:hAnsi="Times New Roman"/>
          <w:i/>
          <w:sz w:val="24"/>
          <w:szCs w:val="24"/>
          <w:lang w:val="pt-BR"/>
        </w:rPr>
        <w:t>Behavorial Equilibrium Exchange Rate</w:t>
      </w:r>
      <w:r>
        <w:rPr>
          <w:rFonts w:ascii="Times New Roman" w:hAnsi="Times New Roman"/>
          <w:sz w:val="24"/>
          <w:szCs w:val="24"/>
          <w:lang w:val="pt-BR"/>
        </w:rPr>
        <w:t xml:space="preserve"> (Taxa de Câmbio de Equilíbrio Comportamental, BEER), seguindo Clark e MacDonald (1998). Este enfoque econométrico foca em estimar uma forma reduzida relacionando a TCR e seus fundamentos (Edwards, 1997; Montiel, 1999; Chinn, 2000). Nestes modelos, a taxa de câmbio de equilíbrio é definida como o preço relativo de comercializáveis e não-comercializáveis que, tudo o mais constante, resulta na manutenção dos equilíbrios internos e externos: na prática, o método consiste em estimar uma forma reduzida da TCR com suas variáveis fundamentais:</w:t>
      </w:r>
    </w:p>
    <w:p w:rsidR="00553639" w:rsidRDefault="00553639" w:rsidP="00780BD6">
      <w:pPr>
        <w:tabs>
          <w:tab w:val="left" w:pos="720"/>
        </w:tabs>
        <w:autoSpaceDE w:val="0"/>
        <w:autoSpaceDN w:val="0"/>
        <w:adjustRightInd w:val="0"/>
        <w:spacing w:after="0" w:line="240" w:lineRule="auto"/>
        <w:ind w:firstLine="720"/>
        <w:jc w:val="center"/>
        <w:rPr>
          <w:rFonts w:ascii="Times New Roman" w:hAnsi="Times New Roman"/>
          <w:sz w:val="24"/>
          <w:szCs w:val="24"/>
          <w:lang w:val="pt-BR"/>
        </w:rPr>
      </w:pPr>
      <w:r w:rsidRPr="00B163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38B0&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2C38B0&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q&lt;/m:t&gt;&lt;/m:r&gt;&lt;/m:e&gt;&lt;m:sub&gt;&lt;m:r&gt;&lt;w:rPr&gt;&lt;w:rFonts w:ascii=&quot;Cambria Math&quot; w:h-ansi=&quot;Cambria Math&quot;/&gt;&lt;wx:font wx:val=&quot;Cambria Math&quot;/&gt;&lt;w:i/&gt;&lt;w:sz w:val=&quot;24&quot;/&gt;&lt;w:sz-cs w:val=&quot;24&quot;/&gt;&lt;w:lang w:val=&quot;PT-BR&quot;/&gt;&lt;/w:rPr&gt;&lt;m:t&gt;t&lt;/m:t&gt;&lt;/m:r&gt;&lt;/m:sub&gt;&lt;/m:sSub&gt;&lt;m:r&gt;&lt;w:rPr&gt;&lt;w:rFonts w:ascii=&quot;Cambria Math&quot; w:h-ansi=&quot;Cambria Math&quot;/&gt;&lt;wx:font wx:val=&quot;Cambria Math&quot;/&gt;&lt;w:i/&gt;&lt;w:sz w:val=&quot;24&quot;/&gt;&lt;w:sz-cs w:val=&quot;24&quot;/&gt;&lt;w:lang w:val=&quot;PT-BR&quot;/&gt;&lt;/w:rPr&gt;&lt;m:t&gt;=&lt;/m:t&gt;&lt;/m:r&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lt;/m:t&gt;&lt;/m:r&gt;&lt;/m:e&gt;&lt;m:sub&gt;&lt;m:r&gt;&lt;w:rPr&gt;&lt;w:rFonts w:ascii=&quot;Cambria Math&quot; w:h-ansi=&quot;Cambria Math&quot;/&gt;&lt;wx:font wx:val=&quot;Cambria Math&quot;/&gt;&lt;w:i/&gt;&lt;w:sz w:val=&quot;24&quot;/&gt;&lt;w:sz-cs w:val=&quot;24&quot;/&gt;&lt;w:lang w:val=&quot;PT-BR&quot;/&gt;&lt;/w:rPr&gt;&lt;m:t&gt;0&lt;/m:t&gt;&lt;/m:r&gt;&lt;/m:sub&gt;&lt;/m:sSub&gt;&lt;m:r&gt;&lt;w:rPr&gt;&lt;w:rFonts w:ascii=&quot;Cambria Math&quot; w:h-ansi=&quot;Cambria Math&quot;/&gt;&lt;wx:font wx:val=&quot;Cambria Math&quot;/&gt;&lt;w:i/&gt;&lt;w:sz w:val=&quot;24&quot;/&gt;&lt;w:sz-cs w:val=&quot;24&quot;/&gt;&lt;w:lang w:val=&quot;PT-BR&quot;/&gt;&lt;/w:rPr&gt;&lt;m:t&gt;+&lt;/m:t&gt;&lt;/m:r&gt;&lt;m:sSubSup&gt;&lt;m:sSubSupPr&gt;&lt;m:ctrlPr&gt;&lt;w:rPr&gt;&lt;w:rFonts w:ascii=&quot;Cambria Math&quot; w:h-ansi=&quot;Cambria Math&quot;/&gt;&lt;wx:font wx:val=&quot;Cambria Math&quot;/&gt;&lt;w:i/&gt;&lt;w:sz w:val=&quot;24&quot;/&gt;&lt;w:sz-cs w:val=&quot;24&quot;/&gt;&lt;w:lang w:val=&quot;PT-BR&quot;/&gt;&lt;/w:rPr&gt;&lt;/m:ctrlPr&gt;&lt;/m:sSubSupPr&gt;&lt;m:e&gt;&lt;m:r&gt;&lt;m:rPr&gt;&lt;m:sty m:val=&quot;p&quot;/&gt;&lt;/m:rPr&gt;&lt;w:rPr&gt;&lt;w:rFonts w:ascii=&quot;Cambria Math&quot; w:h-ansi=&quot;Cambria Math&quot;/&gt;&lt;wx:font wx:val=&quot;Cambria Math&quot;/&gt;&lt;w:sz w:val=&quot;24&quot;/&gt;&lt;w:sz-cs w:val=&quot;24&quot;/&gt;&lt;w:lang w:val=&quot;PT-BR&quot;/&gt;&lt;/w:rPr&gt;&lt;m:t&gt;Î£&lt;/m:t&gt;&lt;/m:r&gt;&lt;/m:e&gt;&lt;m:sub&gt;&lt;m:r&gt;&lt;w:rPr&gt;&lt;w:rFonts w:ascii=&quot;Cambria Math&quot; w:h-ansi=&quot;Cambria Math&quot;/&gt;&lt;wx:font wx:val=&quot;Cambria Math&quot;/&gt;&lt;w:i/&gt;&lt;w:sz w:val=&quot;24&quot;/&gt;&lt;w:sz-cs w:val=&quot;24&quot;/&gt;&lt;w:lang w:val=&quot;PT-BR&quot;/&gt;&lt;/w:rPr&gt;&lt;m:t&gt;j=1&lt;/m:t&gt;&lt;/m:r&gt;&lt;/m:sub&gt;&lt;m:sup&gt;&lt;m:r&gt;&lt;w:rPr&gt;&lt;w:rFonts w:ascii=&quot;Cambria Math&quot; w:h-ansi=&quot;Cambria Math&quot;/&gt;&lt;wx:font wx:val=&quot;Cambria Math&quot;/&gt;&lt;w:i/&gt;&lt;w:sz w:val=&quot;24&quot;/&gt;&lt;w:sz-cs w:val=&quot;24&quot;/&gt;&lt;w:lang w:val=&quot;PT-BR&quot;/&gt;&lt;/w:rPr&gt;&lt;m:t&gt;J&lt;/m:t&gt;&lt;/m:r&gt;&lt;/m:sup&gt;&lt;/m:sSubSup&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lt;/m:t&gt;&lt;/m:r&gt;&lt;/m:e&gt;&lt;m:sub&gt;&lt;m:r&gt;&lt;w:rPr&gt;&lt;w:rFonts w:ascii=&quot;Cambria Math&quot; w:h-ansi=&quot;Cambria Math&quot;/&gt;&lt;wx:font wx:val=&quot;Cambria Math&quot;/&gt;&lt;w:i/&gt;&lt;w:sz w:val=&quot;24&quot;/&gt;&lt;w:sz-cs w:val=&quot;24&quot;/&gt;&lt;w:lang w:val=&quot;PT-BR&quot;/&gt;&lt;/w:rPr&gt;&lt;m:t&gt;j&lt;/m:t&gt;&lt;/m:r&gt;&lt;/m:sub&gt;&lt;/m:sSub&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x&lt;/m:t&gt;&lt;/m:r&gt;&lt;/m:e&gt;&lt;m:sub&gt;&lt;m:r&gt;&lt;w:rPr&gt;&lt;w:rFonts w:ascii=&quot;Cambria Math&quot; w:h-ansi=&quot;Cambria Math&quot;/&gt;&lt;wx:font wx:val=&quot;Cambria Math&quot;/&gt;&lt;w:i/&gt;&lt;w:sz w:val=&quot;24&quot;/&gt;&lt;w:sz-cs w:val=&quot;24&quot;/&gt;&lt;w:lang w:val=&quot;PT-BR&quot;/&gt;&lt;/w:rPr&gt;&lt;m:t&gt;ij&lt;/m:t&gt;&lt;/m:r&gt;&lt;/m:sub&gt;&lt;/m:sSub&gt;&lt;m:r&gt;&lt;w:rPr&gt;&lt;w:rFonts w:ascii=&quot;Cambria Math&quot; w:h-ansi=&quot;Cambria Math&quot;/&gt;&lt;wx:font wx:val=&quot;Cambria Math&quot;/&gt;&lt;w:i/&gt;&lt;w:sz w:val=&quot;24&quot;/&gt;&lt;w:sz-cs w:val=&quot;24&quot;/&gt;&lt;w:lang w:val=&quot;PT-BR&quot;/&gt;&lt;/w:rPr&gt;&lt;m:t&gt;+&lt;/m:t&gt;&lt;/m:r&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µ&lt;/m:t&gt;&lt;/m:r&gt;&lt;/m:e&gt;&lt;m:sub&gt;&lt;m:r&gt;&lt;w:rPr&gt;&lt;w:rFonts w:ascii=&quot;Cambria Math&quot; w:h-ansi=&quot;Cambria Math&quot;/&gt;&lt;wx:font wx:val=&quot;Cambria Math&quot;/&gt;&lt;w:i/&gt;&lt;w:sz w:val=&quot;24&quot;/&gt;&lt;w:sz-cs w:val=&quot;24&quot;/&gt;&lt;w:lang w:val=&quot;PT-BR&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 o:title="" chromakey="white"/>
          </v:shape>
        </w:pict>
      </w:r>
    </w:p>
    <w:p w:rsidR="00553639" w:rsidRDefault="00553639" w:rsidP="00780BD6">
      <w:pPr>
        <w:tabs>
          <w:tab w:val="left" w:pos="720"/>
        </w:tabs>
        <w:autoSpaceDE w:val="0"/>
        <w:autoSpaceDN w:val="0"/>
        <w:adjustRightInd w:val="0"/>
        <w:spacing w:after="0" w:line="240" w:lineRule="auto"/>
        <w:rPr>
          <w:rFonts w:ascii="Times New Roman" w:hAnsi="Times New Roman"/>
          <w:sz w:val="24"/>
          <w:szCs w:val="24"/>
          <w:lang w:val="pt-BR"/>
        </w:rPr>
      </w:pPr>
    </w:p>
    <w:p w:rsidR="00553639" w:rsidRPr="00421117" w:rsidRDefault="00553639" w:rsidP="00780BD6">
      <w:pPr>
        <w:tabs>
          <w:tab w:val="left" w:pos="720"/>
        </w:tabs>
        <w:autoSpaceDE w:val="0"/>
        <w:autoSpaceDN w:val="0"/>
        <w:adjustRightInd w:val="0"/>
        <w:spacing w:after="0" w:line="240" w:lineRule="auto"/>
        <w:rPr>
          <w:rFonts w:ascii="Times New Roman" w:hAnsi="Times New Roman"/>
          <w:sz w:val="24"/>
          <w:szCs w:val="24"/>
          <w:lang w:val="pt-BR"/>
        </w:rPr>
      </w:pPr>
      <w:r>
        <w:rPr>
          <w:rFonts w:ascii="Times New Roman" w:hAnsi="Times New Roman"/>
          <w:sz w:val="24"/>
          <w:szCs w:val="24"/>
          <w:lang w:val="pt-BR"/>
        </w:rPr>
        <w:t xml:space="preserve">Onde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26" type="#_x0000_t75" style="width:1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2B39&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EF2B39&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x&lt;/m:t&gt;&lt;/m:r&gt;&lt;/m:e&gt;&lt;m:sub&gt;&lt;m:r&gt;&lt;w:rPr&gt;&lt;w:rFonts w:ascii=&quot;Cambria Math&quot; w:h-ansi=&quot;Cambria Math&quot;/&gt;&lt;wx:font wx:val=&quot;Cambria Math&quot;/&gt;&lt;w:i/&gt;&lt;w:sz w:val=&quot;24&quot;/&gt;&lt;w:sz-cs w:val=&quot;24&quot;/&gt;&lt;w:lang w:val=&quot;PT-BR&quot;/&gt;&lt;/w:rPr&gt;&lt;m:t&gt;ij&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27" type="#_x0000_t75" style="width:1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2B39&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EF2B39&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x&lt;/m:t&gt;&lt;/m:r&gt;&lt;/m:e&gt;&lt;m:sub&gt;&lt;m:r&gt;&lt;w:rPr&gt;&lt;w:rFonts w:ascii=&quot;Cambria Math&quot; w:h-ansi=&quot;Cambria Math&quot;/&gt;&lt;wx:font wx:val=&quot;Cambria Math&quot;/&gt;&lt;w:i/&gt;&lt;w:sz w:val=&quot;24&quot;/&gt;&lt;w:sz-cs w:val=&quot;24&quot;/&gt;&lt;w:lang w:val=&quot;PT-BR&quot;/&gt;&lt;/w:rPr&gt;&lt;m:t&gt;ij&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são as </w:t>
      </w:r>
      <w:r>
        <w:rPr>
          <w:rFonts w:ascii="Times New Roman" w:hAnsi="Times New Roman"/>
          <w:i/>
          <w:sz w:val="24"/>
          <w:szCs w:val="24"/>
          <w:lang w:val="pt-BR"/>
        </w:rPr>
        <w:t>J</w:t>
      </w:r>
      <w:r>
        <w:rPr>
          <w:rFonts w:ascii="Times New Roman" w:hAnsi="Times New Roman"/>
          <w:sz w:val="24"/>
          <w:szCs w:val="24"/>
          <w:lang w:val="pt-BR"/>
        </w:rPr>
        <w:t xml:space="preserve"> variáveis fundamentais,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28"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C0EF6&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3C0EF6&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µ&lt;/m:t&gt;&lt;/m:r&gt;&lt;/m:e&gt;&lt;m:sub&gt;&lt;m:r&gt;&lt;w:rPr&gt;&lt;w:rFonts w:ascii=&quot;Cambria Math&quot; w:h-ansi=&quot;Cambria Math&quot;/&gt;&lt;wx:font wx:val=&quot;Cambria Math&quot;/&gt;&lt;w:i/&gt;&lt;w:sz w:val=&quot;24&quot;/&gt;&lt;w:sz-cs w:val=&quot;24&quot;/&gt;&lt;w:lang w:val=&quot;PT-BR&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29"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C0EF6&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3C0EF6&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µ&lt;/m:t&gt;&lt;/m:r&gt;&lt;/m:e&gt;&lt;m:sub&gt;&lt;m:r&gt;&lt;w:rPr&gt;&lt;w:rFonts w:ascii=&quot;Cambria Math&quot; w:h-ansi=&quot;Cambria Math&quot;/&gt;&lt;wx:font wx:val=&quot;Cambria Math&quot;/&gt;&lt;w:i/&gt;&lt;w:sz w:val=&quot;24&quot;/&gt;&lt;w:sz-cs w:val=&quot;24&quot;/&gt;&lt;w:lang w:val=&quot;PT-BR&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é o termo erro da equação, 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30" type="#_x0000_t75" style="width:13.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A6E22&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7A6E22&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lt;/m:t&gt;&lt;/m:r&gt;&lt;/m:e&gt;&lt;m:sub&gt;&lt;m:r&gt;&lt;w:rPr&gt;&lt;w:rFonts w:ascii=&quot;Cambria Math&quot; w:h-ansi=&quot;Cambria Math&quot;/&gt;&lt;wx:font wx:val=&quot;Cambria Math&quot;/&gt;&lt;w:i/&gt;&lt;w:sz w:val=&quot;24&quot;/&gt;&lt;w:sz-cs w:val=&quot;24&quot;/&gt;&lt;w:lang w:val=&quot;PT-BR&quot;/&gt;&lt;/w:rPr&gt;&lt;m:t&gt;j&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31" type="#_x0000_t75" style="width:13.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A6E22&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7A6E22&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lt;/m:t&gt;&lt;/m:r&gt;&lt;/m:e&gt;&lt;m:sub&gt;&lt;m:r&gt;&lt;w:rPr&gt;&lt;w:rFonts w:ascii=&quot;Cambria Math&quot; w:h-ansi=&quot;Cambria Math&quot;/&gt;&lt;wx:font wx:val=&quot;Cambria Math&quot;/&gt;&lt;w:i/&gt;&lt;w:sz w:val=&quot;24&quot;/&gt;&lt;w:sz-cs w:val=&quot;24&quot;/&gt;&lt;w:lang w:val=&quot;PT-BR&quot;/&gt;&lt;/w:rPr&gt;&lt;m:t&gt;j&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são os coeficientes a serem estimados. </w:t>
      </w:r>
    </w:p>
    <w:p w:rsidR="00553639" w:rsidRDefault="00553639" w:rsidP="00780BD6">
      <w:pPr>
        <w:tabs>
          <w:tab w:val="left" w:pos="720"/>
        </w:tabs>
        <w:autoSpaceDE w:val="0"/>
        <w:autoSpaceDN w:val="0"/>
        <w:adjustRightInd w:val="0"/>
        <w:spacing w:after="0" w:line="240" w:lineRule="auto"/>
        <w:ind w:firstLine="720"/>
        <w:jc w:val="both"/>
        <w:rPr>
          <w:rFonts w:ascii="TTdcr10" w:hAnsi="TTdcr10" w:cs="TTdcr10"/>
          <w:sz w:val="24"/>
          <w:szCs w:val="24"/>
          <w:lang w:val="pt-BR"/>
        </w:rPr>
      </w:pPr>
      <w:r w:rsidRPr="00472344">
        <w:rPr>
          <w:rFonts w:ascii="Times New Roman" w:hAnsi="Times New Roman"/>
          <w:sz w:val="24"/>
          <w:szCs w:val="24"/>
          <w:lang w:val="pt-BR"/>
        </w:rPr>
        <w:t>Como observa Montiel (2003), se a TCR não for estacionária, modelos teóricos</w:t>
      </w:r>
      <w:r>
        <w:rPr>
          <w:rFonts w:ascii="Times New Roman" w:hAnsi="Times New Roman"/>
          <w:sz w:val="24"/>
          <w:szCs w:val="24"/>
          <w:lang w:val="pt-BR"/>
        </w:rPr>
        <w:t xml:space="preserve"> de determinação da TCR </w:t>
      </w:r>
      <w:r w:rsidRPr="00472344">
        <w:rPr>
          <w:rFonts w:ascii="Times New Roman" w:hAnsi="Times New Roman"/>
          <w:sz w:val="24"/>
          <w:szCs w:val="24"/>
          <w:lang w:val="pt-BR"/>
        </w:rPr>
        <w:t>sugerem que um subconjunto d</w:t>
      </w:r>
      <w:r>
        <w:rPr>
          <w:rFonts w:ascii="Times New Roman" w:hAnsi="Times New Roman"/>
          <w:sz w:val="24"/>
          <w:szCs w:val="24"/>
          <w:lang w:val="pt-BR"/>
        </w:rPr>
        <w:t>e fundamentos não deve ser esta</w:t>
      </w:r>
      <w:r w:rsidRPr="00472344">
        <w:rPr>
          <w:rFonts w:ascii="Times New Roman" w:hAnsi="Times New Roman"/>
          <w:sz w:val="24"/>
          <w:szCs w:val="24"/>
          <w:lang w:val="pt-BR"/>
        </w:rPr>
        <w:t>cionário também. Essa constatação sugere que o uso de equações de cointegração</w:t>
      </w:r>
      <w:r>
        <w:rPr>
          <w:rFonts w:ascii="Times New Roman" w:hAnsi="Times New Roman"/>
          <w:sz w:val="24"/>
          <w:szCs w:val="24"/>
          <w:lang w:val="pt-BR"/>
        </w:rPr>
        <w:t xml:space="preserve"> </w:t>
      </w:r>
      <w:r w:rsidRPr="00472344">
        <w:rPr>
          <w:rFonts w:ascii="Times New Roman" w:hAnsi="Times New Roman"/>
          <w:sz w:val="24"/>
          <w:szCs w:val="24"/>
          <w:lang w:val="pt-BR"/>
        </w:rPr>
        <w:t>ligando a TCR com um subconjunto relevante de "fundamentos", baseando-se nos</w:t>
      </w:r>
      <w:r>
        <w:rPr>
          <w:rFonts w:ascii="Times New Roman" w:hAnsi="Times New Roman"/>
          <w:sz w:val="24"/>
          <w:szCs w:val="24"/>
          <w:lang w:val="pt-BR"/>
        </w:rPr>
        <w:t xml:space="preserve"> </w:t>
      </w:r>
      <w:r w:rsidRPr="00472344">
        <w:rPr>
          <w:rFonts w:ascii="Times New Roman" w:hAnsi="Times New Roman"/>
          <w:sz w:val="24"/>
          <w:szCs w:val="24"/>
          <w:lang w:val="pt-BR"/>
        </w:rPr>
        <w:t>valores correntes observáveis da TCR e dos fundamentos. A teoria econométrica</w:t>
      </w:r>
      <w:r>
        <w:rPr>
          <w:rFonts w:ascii="Times New Roman" w:hAnsi="Times New Roman"/>
          <w:sz w:val="24"/>
          <w:szCs w:val="24"/>
          <w:lang w:val="pt-BR"/>
        </w:rPr>
        <w:t xml:space="preserve"> </w:t>
      </w:r>
      <w:r w:rsidRPr="00472344">
        <w:rPr>
          <w:rFonts w:ascii="Times New Roman" w:hAnsi="Times New Roman"/>
          <w:sz w:val="24"/>
          <w:szCs w:val="24"/>
          <w:lang w:val="pt-BR"/>
        </w:rPr>
        <w:t>sugere que quando nem a TCR nem um subconj</w:t>
      </w:r>
      <w:r>
        <w:rPr>
          <w:rFonts w:ascii="Times New Roman" w:hAnsi="Times New Roman"/>
          <w:sz w:val="24"/>
          <w:szCs w:val="24"/>
          <w:lang w:val="pt-BR"/>
        </w:rPr>
        <w:t>unto de determinantes "fundamen</w:t>
      </w:r>
      <w:r w:rsidRPr="00472344">
        <w:rPr>
          <w:rFonts w:ascii="Times New Roman" w:hAnsi="Times New Roman"/>
          <w:sz w:val="24"/>
          <w:szCs w:val="24"/>
          <w:lang w:val="pt-BR"/>
        </w:rPr>
        <w:t>tais" é estacionário, os parâmetros que ligam a TCR de longo prazo aos valores</w:t>
      </w:r>
      <w:r>
        <w:rPr>
          <w:rFonts w:ascii="Times New Roman" w:hAnsi="Times New Roman"/>
          <w:sz w:val="24"/>
          <w:szCs w:val="24"/>
          <w:lang w:val="pt-BR"/>
        </w:rPr>
        <w:t xml:space="preserve"> </w:t>
      </w:r>
      <w:r w:rsidRPr="00472344">
        <w:rPr>
          <w:rFonts w:ascii="Times New Roman" w:hAnsi="Times New Roman"/>
          <w:sz w:val="24"/>
          <w:szCs w:val="24"/>
          <w:lang w:val="pt-BR"/>
        </w:rPr>
        <w:t>permanentes dos fundamentos não-estacionários pode ser estimado desses valores</w:t>
      </w:r>
      <w:r>
        <w:rPr>
          <w:rFonts w:ascii="Times New Roman" w:hAnsi="Times New Roman"/>
          <w:sz w:val="24"/>
          <w:szCs w:val="24"/>
          <w:lang w:val="pt-BR"/>
        </w:rPr>
        <w:t xml:space="preserve"> observáveis</w:t>
      </w:r>
      <w:r w:rsidRPr="00472344">
        <w:rPr>
          <w:rFonts w:ascii="Times New Roman" w:hAnsi="Times New Roman"/>
          <w:sz w:val="24"/>
          <w:szCs w:val="24"/>
          <w:lang w:val="pt-BR"/>
        </w:rPr>
        <w:t>. Esses parâmetros estimados revelariam a relação de longo prazo entre</w:t>
      </w:r>
      <w:r>
        <w:rPr>
          <w:rFonts w:ascii="Times New Roman" w:hAnsi="Times New Roman"/>
          <w:sz w:val="24"/>
          <w:szCs w:val="24"/>
          <w:lang w:val="pt-BR"/>
        </w:rPr>
        <w:t xml:space="preserve"> </w:t>
      </w:r>
      <w:r w:rsidRPr="00472344">
        <w:rPr>
          <w:rFonts w:ascii="Times New Roman" w:hAnsi="Times New Roman"/>
          <w:sz w:val="24"/>
          <w:szCs w:val="24"/>
          <w:lang w:val="pt-BR"/>
        </w:rPr>
        <w:t>a TCR e seus determinantes fundamentais, permitindo assim a estimação de uma</w:t>
      </w:r>
      <w:r>
        <w:rPr>
          <w:rFonts w:ascii="Times New Roman" w:hAnsi="Times New Roman"/>
          <w:sz w:val="24"/>
          <w:szCs w:val="24"/>
          <w:lang w:val="pt-BR"/>
        </w:rPr>
        <w:t xml:space="preserve"> </w:t>
      </w:r>
      <w:r w:rsidRPr="00472344">
        <w:rPr>
          <w:rFonts w:ascii="Times New Roman" w:hAnsi="Times New Roman"/>
          <w:sz w:val="24"/>
          <w:szCs w:val="24"/>
          <w:lang w:val="pt-BR"/>
        </w:rPr>
        <w:t>TCR de longo-prazo.</w:t>
      </w:r>
      <w:r>
        <w:rPr>
          <w:rFonts w:ascii="Times New Roman" w:hAnsi="Times New Roman"/>
          <w:sz w:val="24"/>
          <w:szCs w:val="24"/>
          <w:lang w:val="pt-BR"/>
        </w:rPr>
        <w:t xml:space="preserve"> O Apêndice I traz um modelo simples de determinação do câmbio real de longo-prazo.</w:t>
      </w:r>
    </w:p>
    <w:p w:rsidR="00553639" w:rsidRPr="00472344"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r w:rsidRPr="00472344">
        <w:rPr>
          <w:rFonts w:ascii="Times New Roman" w:hAnsi="Times New Roman"/>
          <w:sz w:val="24"/>
          <w:szCs w:val="24"/>
          <w:lang w:val="pt-BR"/>
        </w:rPr>
        <w:t>Uma vez decidido qual o arcabouço teórico para lidar com a TCR, a aplicação dos conceitos relevantes do modelo necessita de uma medida empírica da TCR. A</w:t>
      </w:r>
      <w:r>
        <w:rPr>
          <w:rFonts w:ascii="Times New Roman" w:hAnsi="Times New Roman"/>
          <w:sz w:val="24"/>
          <w:szCs w:val="24"/>
          <w:lang w:val="pt-BR"/>
        </w:rPr>
        <w:t xml:space="preserve"> </w:t>
      </w:r>
      <w:r w:rsidRPr="00472344">
        <w:rPr>
          <w:rFonts w:ascii="Times New Roman" w:hAnsi="Times New Roman"/>
          <w:sz w:val="24"/>
          <w:szCs w:val="24"/>
          <w:lang w:val="pt-BR"/>
        </w:rPr>
        <w:t>escolha mais comum é a chamada taxa de câmbio real efetiva (TCRE)</w:t>
      </w:r>
      <w:r w:rsidRPr="00472344">
        <w:rPr>
          <w:rFonts w:ascii="Times New Roman" w:hAnsi="Times New Roman"/>
          <w:sz w:val="20"/>
          <w:szCs w:val="20"/>
          <w:lang w:val="pt-BR"/>
        </w:rPr>
        <w:t xml:space="preserve">. </w:t>
      </w:r>
      <w:r>
        <w:rPr>
          <w:rFonts w:ascii="Times New Roman" w:hAnsi="Times New Roman"/>
          <w:sz w:val="24"/>
          <w:szCs w:val="24"/>
          <w:lang w:val="pt-BR"/>
        </w:rPr>
        <w:t>Para con</w:t>
      </w:r>
      <w:r w:rsidRPr="00472344">
        <w:rPr>
          <w:rFonts w:ascii="Times New Roman" w:hAnsi="Times New Roman"/>
          <w:sz w:val="24"/>
          <w:szCs w:val="24"/>
          <w:lang w:val="pt-BR"/>
        </w:rPr>
        <w:t>struir um índice de desalinhamento da TCRE, são usadas as estimativas de longo</w:t>
      </w:r>
      <w:r>
        <w:rPr>
          <w:rFonts w:ascii="Times New Roman" w:hAnsi="Times New Roman"/>
          <w:sz w:val="24"/>
          <w:szCs w:val="24"/>
          <w:lang w:val="pt-BR"/>
        </w:rPr>
        <w:t xml:space="preserve"> </w:t>
      </w:r>
      <w:r w:rsidRPr="00472344">
        <w:rPr>
          <w:rFonts w:ascii="Times New Roman" w:hAnsi="Times New Roman"/>
          <w:sz w:val="24"/>
          <w:szCs w:val="24"/>
          <w:lang w:val="pt-BR"/>
        </w:rPr>
        <w:t>prazo dos fundamentos econômicos obtidos com DOLS (</w:t>
      </w:r>
      <w:r w:rsidRPr="00C422BB">
        <w:rPr>
          <w:rFonts w:ascii="Times New Roman" w:hAnsi="Times New Roman"/>
          <w:i/>
          <w:sz w:val="24"/>
          <w:szCs w:val="24"/>
          <w:lang w:val="pt-BR"/>
        </w:rPr>
        <w:t>Dynamic Ordinary Least Squares</w:t>
      </w:r>
      <w:r w:rsidRPr="00472344">
        <w:rPr>
          <w:rFonts w:ascii="Times New Roman" w:hAnsi="Times New Roman"/>
          <w:sz w:val="24"/>
          <w:szCs w:val="24"/>
          <w:lang w:val="pt-BR"/>
        </w:rPr>
        <w:t>) para computar os valores previstos da que seria a TCRE de equilíbrio.</w:t>
      </w:r>
    </w:p>
    <w:p w:rsidR="00553639"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r w:rsidRPr="00472344">
        <w:rPr>
          <w:rFonts w:ascii="Times New Roman" w:hAnsi="Times New Roman"/>
          <w:sz w:val="24"/>
          <w:szCs w:val="24"/>
          <w:lang w:val="pt-BR"/>
        </w:rPr>
        <w:t>Com</w:t>
      </w:r>
      <w:r>
        <w:rPr>
          <w:rFonts w:ascii="Times New Roman" w:hAnsi="Times New Roman"/>
          <w:sz w:val="24"/>
          <w:szCs w:val="24"/>
          <w:lang w:val="pt-BR"/>
        </w:rPr>
        <w:t>o aponta Alberola (2003), encon</w:t>
      </w:r>
      <w:r w:rsidRPr="00472344">
        <w:rPr>
          <w:rFonts w:ascii="Times New Roman" w:hAnsi="Times New Roman"/>
          <w:sz w:val="24"/>
          <w:szCs w:val="24"/>
          <w:lang w:val="pt-BR"/>
        </w:rPr>
        <w:t>trar a relação de cointegração de longo prazo entre a TCRE e seus fundamentos</w:t>
      </w:r>
      <w:r>
        <w:rPr>
          <w:rFonts w:ascii="Times New Roman" w:hAnsi="Times New Roman"/>
          <w:sz w:val="24"/>
          <w:szCs w:val="24"/>
          <w:lang w:val="pt-BR"/>
        </w:rPr>
        <w:t xml:space="preserve"> </w:t>
      </w:r>
      <w:r w:rsidRPr="00472344">
        <w:rPr>
          <w:rFonts w:ascii="Times New Roman" w:hAnsi="Times New Roman"/>
          <w:sz w:val="24"/>
          <w:szCs w:val="24"/>
          <w:lang w:val="pt-BR"/>
        </w:rPr>
        <w:t>daria uma estimação da taxa de equilíbrio se fosse po</w:t>
      </w:r>
      <w:r>
        <w:rPr>
          <w:rFonts w:ascii="Times New Roman" w:hAnsi="Times New Roman"/>
          <w:sz w:val="24"/>
          <w:szCs w:val="24"/>
          <w:lang w:val="pt-BR"/>
        </w:rPr>
        <w:t>ssível observar o nível de equi</w:t>
      </w:r>
      <w:r w:rsidRPr="00472344">
        <w:rPr>
          <w:rFonts w:ascii="Times New Roman" w:hAnsi="Times New Roman"/>
          <w:sz w:val="24"/>
          <w:szCs w:val="24"/>
          <w:lang w:val="pt-BR"/>
        </w:rPr>
        <w:t>líbrio dos fundamentos: ou seja, aqueles valores para fundamentos da TCR (como</w:t>
      </w:r>
      <w:r>
        <w:rPr>
          <w:rFonts w:ascii="Times New Roman" w:hAnsi="Times New Roman"/>
          <w:sz w:val="24"/>
          <w:szCs w:val="24"/>
          <w:lang w:val="pt-BR"/>
        </w:rPr>
        <w:t xml:space="preserve"> p</w:t>
      </w:r>
      <w:r w:rsidRPr="00472344">
        <w:rPr>
          <w:rFonts w:ascii="Times New Roman" w:hAnsi="Times New Roman"/>
          <w:sz w:val="24"/>
          <w:szCs w:val="24"/>
          <w:lang w:val="pt-BR"/>
        </w:rPr>
        <w:t>rodutividade</w:t>
      </w:r>
      <w:r>
        <w:rPr>
          <w:rFonts w:ascii="Times New Roman" w:hAnsi="Times New Roman"/>
          <w:sz w:val="24"/>
          <w:szCs w:val="24"/>
          <w:lang w:val="pt-BR"/>
        </w:rPr>
        <w:t xml:space="preserve"> ou passivos externos) que seriam</w:t>
      </w:r>
      <w:r w:rsidRPr="00472344">
        <w:rPr>
          <w:rFonts w:ascii="Times New Roman" w:hAnsi="Times New Roman"/>
          <w:sz w:val="24"/>
          <w:szCs w:val="24"/>
          <w:lang w:val="pt-BR"/>
        </w:rPr>
        <w:t xml:space="preserve"> sustentáveis com</w:t>
      </w:r>
      <w:r>
        <w:rPr>
          <w:rFonts w:ascii="Times New Roman" w:hAnsi="Times New Roman"/>
          <w:sz w:val="24"/>
          <w:szCs w:val="24"/>
          <w:lang w:val="pt-BR"/>
        </w:rPr>
        <w:t>o</w:t>
      </w:r>
      <w:r w:rsidRPr="00472344">
        <w:rPr>
          <w:rFonts w:ascii="Times New Roman" w:hAnsi="Times New Roman"/>
          <w:sz w:val="24"/>
          <w:szCs w:val="24"/>
          <w:lang w:val="pt-BR"/>
        </w:rPr>
        <w:t xml:space="preserve"> uma trajetória de</w:t>
      </w:r>
      <w:r>
        <w:rPr>
          <w:rFonts w:ascii="Times New Roman" w:hAnsi="Times New Roman"/>
          <w:sz w:val="24"/>
          <w:szCs w:val="24"/>
          <w:lang w:val="pt-BR"/>
        </w:rPr>
        <w:t xml:space="preserve"> </w:t>
      </w:r>
      <w:r w:rsidRPr="00472344">
        <w:rPr>
          <w:rFonts w:ascii="Times New Roman" w:hAnsi="Times New Roman"/>
          <w:sz w:val="24"/>
          <w:szCs w:val="24"/>
          <w:lang w:val="pt-BR"/>
        </w:rPr>
        <w:t>equilíbrio intertemporal. Entretanto, só é possível observar os valores conhecidos</w:t>
      </w:r>
      <w:r>
        <w:rPr>
          <w:rFonts w:ascii="Times New Roman" w:hAnsi="Times New Roman"/>
          <w:sz w:val="24"/>
          <w:szCs w:val="24"/>
          <w:lang w:val="pt-BR"/>
        </w:rPr>
        <w:t xml:space="preserve"> (</w:t>
      </w:r>
      <w:r w:rsidRPr="00472344">
        <w:rPr>
          <w:rFonts w:ascii="Times New Roman" w:hAnsi="Times New Roman"/>
          <w:sz w:val="24"/>
          <w:szCs w:val="24"/>
          <w:lang w:val="pt-BR"/>
        </w:rPr>
        <w:t>correntes</w:t>
      </w:r>
      <w:r>
        <w:rPr>
          <w:rFonts w:ascii="Times New Roman" w:hAnsi="Times New Roman"/>
          <w:sz w:val="24"/>
          <w:szCs w:val="24"/>
          <w:lang w:val="pt-BR"/>
        </w:rPr>
        <w:t xml:space="preserve"> e do passado</w:t>
      </w:r>
      <w:r w:rsidRPr="00472344">
        <w:rPr>
          <w:rFonts w:ascii="Times New Roman" w:hAnsi="Times New Roman"/>
          <w:sz w:val="24"/>
          <w:szCs w:val="24"/>
          <w:lang w:val="pt-BR"/>
        </w:rPr>
        <w:t>) destas variáveis. Assim, para calcular a TCRE de equilíbrio faz-se</w:t>
      </w:r>
      <w:r>
        <w:rPr>
          <w:rFonts w:ascii="Times New Roman" w:hAnsi="Times New Roman"/>
          <w:sz w:val="24"/>
          <w:szCs w:val="24"/>
          <w:lang w:val="pt-BR"/>
        </w:rPr>
        <w:t xml:space="preserve"> </w:t>
      </w:r>
      <w:r w:rsidRPr="00472344">
        <w:rPr>
          <w:rFonts w:ascii="Times New Roman" w:hAnsi="Times New Roman"/>
          <w:sz w:val="24"/>
          <w:szCs w:val="24"/>
          <w:lang w:val="pt-BR"/>
        </w:rPr>
        <w:t>necessário isolar os valores permanentes dos fundamentos macroeco</w:t>
      </w:r>
      <w:r>
        <w:rPr>
          <w:rFonts w:ascii="Times New Roman" w:hAnsi="Times New Roman"/>
          <w:sz w:val="24"/>
          <w:szCs w:val="24"/>
          <w:lang w:val="pt-BR"/>
        </w:rPr>
        <w:t>nômicos da influência de suas fl</w:t>
      </w:r>
      <w:r w:rsidRPr="00472344">
        <w:rPr>
          <w:rFonts w:ascii="Times New Roman" w:hAnsi="Times New Roman"/>
          <w:sz w:val="24"/>
          <w:szCs w:val="24"/>
          <w:lang w:val="pt-BR"/>
        </w:rPr>
        <w:t>utuações de curto prazo.</w:t>
      </w:r>
    </w:p>
    <w:p w:rsidR="00553639"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Há várias técnicas para fi</w:t>
      </w:r>
      <w:r w:rsidRPr="00472344">
        <w:rPr>
          <w:rFonts w:ascii="Times New Roman" w:hAnsi="Times New Roman"/>
          <w:sz w:val="24"/>
          <w:szCs w:val="24"/>
          <w:lang w:val="pt-BR"/>
        </w:rPr>
        <w:t>ltrar e decompor</w:t>
      </w:r>
      <w:r>
        <w:rPr>
          <w:rFonts w:ascii="Times New Roman" w:hAnsi="Times New Roman"/>
          <w:sz w:val="24"/>
          <w:szCs w:val="24"/>
          <w:lang w:val="pt-BR"/>
        </w:rPr>
        <w:t xml:space="preserve"> </w:t>
      </w:r>
      <w:r w:rsidRPr="00472344">
        <w:rPr>
          <w:rFonts w:ascii="Times New Roman" w:hAnsi="Times New Roman"/>
          <w:sz w:val="24"/>
          <w:szCs w:val="24"/>
          <w:lang w:val="pt-BR"/>
        </w:rPr>
        <w:t xml:space="preserve">séries de tempo. Neste trabalho foi utilizado o </w:t>
      </w:r>
      <w:r>
        <w:rPr>
          <w:rFonts w:ascii="Times New Roman" w:hAnsi="Times New Roman"/>
          <w:sz w:val="24"/>
          <w:szCs w:val="24"/>
          <w:lang w:val="pt-BR"/>
        </w:rPr>
        <w:t>fi</w:t>
      </w:r>
      <w:r w:rsidRPr="00472344">
        <w:rPr>
          <w:rFonts w:ascii="Times New Roman" w:hAnsi="Times New Roman"/>
          <w:sz w:val="24"/>
          <w:szCs w:val="24"/>
          <w:lang w:val="pt-BR"/>
        </w:rPr>
        <w:t>ltro Hodrick-Prescott (HP) para</w:t>
      </w:r>
      <w:r>
        <w:rPr>
          <w:rFonts w:ascii="Times New Roman" w:hAnsi="Times New Roman"/>
          <w:sz w:val="24"/>
          <w:szCs w:val="24"/>
          <w:lang w:val="pt-BR"/>
        </w:rPr>
        <w:t xml:space="preserve"> </w:t>
      </w:r>
      <w:r w:rsidRPr="00472344">
        <w:rPr>
          <w:rFonts w:ascii="Times New Roman" w:hAnsi="Times New Roman"/>
          <w:sz w:val="24"/>
          <w:szCs w:val="24"/>
          <w:lang w:val="pt-BR"/>
        </w:rPr>
        <w:t xml:space="preserve">obter os valores permanentes ou de equilíbrio das variáveis fundamentais. </w:t>
      </w:r>
      <w:r>
        <w:rPr>
          <w:rFonts w:ascii="Times New Roman" w:hAnsi="Times New Roman"/>
          <w:sz w:val="24"/>
          <w:szCs w:val="24"/>
          <w:lang w:val="pt-BR"/>
        </w:rPr>
        <w:t xml:space="preserve">Assim, </w:t>
      </w:r>
      <w:r w:rsidRPr="00472344">
        <w:rPr>
          <w:rFonts w:ascii="Times New Roman" w:hAnsi="Times New Roman"/>
          <w:sz w:val="24"/>
          <w:szCs w:val="24"/>
          <w:lang w:val="pt-BR"/>
        </w:rPr>
        <w:t>as estimativas da TCRE de longo prazo são obtidas substituindo-se os valores do</w:t>
      </w:r>
      <w:r>
        <w:rPr>
          <w:rFonts w:ascii="Times New Roman" w:hAnsi="Times New Roman"/>
          <w:sz w:val="24"/>
          <w:szCs w:val="24"/>
          <w:lang w:val="pt-BR"/>
        </w:rPr>
        <w:t xml:space="preserve"> </w:t>
      </w:r>
      <w:r w:rsidRPr="00472344">
        <w:rPr>
          <w:rFonts w:ascii="Times New Roman" w:hAnsi="Times New Roman"/>
          <w:sz w:val="24"/>
          <w:szCs w:val="24"/>
          <w:lang w:val="pt-BR"/>
        </w:rPr>
        <w:t>componente permanente na equação de cointegração. Os índices de desalinhamento</w:t>
      </w:r>
      <w:r>
        <w:rPr>
          <w:rFonts w:ascii="Times New Roman" w:hAnsi="Times New Roman"/>
          <w:sz w:val="24"/>
          <w:szCs w:val="24"/>
          <w:lang w:val="pt-BR"/>
        </w:rPr>
        <w:t xml:space="preserve"> </w:t>
      </w:r>
      <w:r w:rsidRPr="00472344">
        <w:rPr>
          <w:rFonts w:ascii="Times New Roman" w:hAnsi="Times New Roman"/>
          <w:sz w:val="24"/>
          <w:szCs w:val="24"/>
          <w:lang w:val="pt-BR"/>
        </w:rPr>
        <w:t>da TCRE computados correspondem à diferença entre a TCRE observada e a de</w:t>
      </w:r>
      <w:r>
        <w:rPr>
          <w:rFonts w:ascii="Times New Roman" w:hAnsi="Times New Roman"/>
          <w:sz w:val="24"/>
          <w:szCs w:val="24"/>
          <w:lang w:val="pt-BR"/>
        </w:rPr>
        <w:t xml:space="preserve"> </w:t>
      </w:r>
      <w:r w:rsidRPr="00472344">
        <w:rPr>
          <w:rFonts w:ascii="Times New Roman" w:hAnsi="Times New Roman"/>
          <w:sz w:val="24"/>
          <w:szCs w:val="24"/>
          <w:lang w:val="pt-BR"/>
        </w:rPr>
        <w:t xml:space="preserve">equilíbrio, tomadas em logaritmos. </w:t>
      </w:r>
    </w:p>
    <w:p w:rsidR="00553639"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p>
    <w:p w:rsidR="00553639"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r w:rsidRPr="00B16390">
        <w:pict>
          <v:shape id="_x0000_i1032" type="#_x0000_t75" style="width:264.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66481&quot;/&gt;&lt;wsp:rsid wsp:val=&quot;00F72A06&quot;/&gt;&lt;wsp:rsid wsp:val=&quot;00F8597D&quot;/&gt;&lt;wsp:rsid wsp:val=&quot;00F90573&quot;/&gt;&lt;wsp:rsid wsp:val=&quot;00FD59DC&quot;/&gt;&lt;/wsp:rsids&gt;&lt;/w:docPr&gt;&lt;w:body&gt;&lt;w:p wsp:rsidR=&quot;00000000&quot; wsp:rsidRDefault=&quot;00F66481&quot;&gt;&lt;m:oMathPara&gt;&lt;m:oMath&gt;&lt;m:func&gt;&lt;m:funcPr&gt;&lt;m:ctrlPr&gt;&lt;w:rPr&gt;&lt;w:rFonts w:ascii=&quot;Cambria Math&quot; w:h-ansi=&quot;Cambria Math&quot;/&gt;&lt;wx:font wx:val=&quot;Cambria Math&quot;/&gt;&lt;w:sz w:val=&quot;24&quot;/&gt;&lt;w:sz-cs w:val=&quot;24&quot;/&gt;&lt;w:lang w:val=&quot;PT-BR&quot;/&gt;&lt;/w:rPr&gt;&lt;/m:ctrlPr&gt;&lt;/m:funcPr&gt;&lt;m:fName&gt;&lt;m:r&gt;&lt;m:rPr&gt;&lt;m:sty m:val=&quot;p&quot;/&gt;&lt;/m:rPr&gt;&lt;w:rPr&gt;&lt;w:rFonts w:ascii=&quot;Cambria Math&quot; w:h-ansi=&quot;Cambria Math&quot;/&gt;&lt;wx:font wx:val=&quot;Cambria Math&quot;/&gt;&lt;w:sz w:val=&quot;24&quot;/&gt;&lt;w:sz-cs w:val=&quot;24&quot;/&gt;&lt;w:lang w:val=&quot;PT-BR&quot;/&gt;&lt;/w:rPr&gt;&lt;m:t&gt;ln&lt;/m:t&gt;&lt;/m:r&gt;&lt;/m:fName&gt;&lt;m:e&gt;&lt;m:d&gt;&lt;m:dPr&gt;&lt;m:ctrlPr&gt;&lt;w:rPr&gt;&lt;w:rFonts w:ascii=&quot;Cambria Math&quot; w:h-ansi=&quot;Cambria Math&quot;/&gt;&lt;wx:font wx:val=&quot;Cambria Math&quot;/&gt;&lt;w:i/&gt;&lt;w:sz w:val=&quot;24&quot;/&gt;&lt;w:sz-cs w:val=&quot;24&quot;/&gt;&lt;w:lang w:val=&quot;PT-BR&quot;/&gt;&lt;/w:rPr&gt;&lt;/m:ctrlPr&gt;&lt;/m:dPr&gt;&lt;m:e&gt;&lt;m:r&gt;&lt;w:rPr&gt;&lt;w:rFonts w:ascii=&quot;Cambria Math&quot; w:h-ansi=&quot;Cambria Math&quot;/&gt;&lt;wx:font wx:val=&quot;Cambria Math&quot;/&gt;&lt;w:i/&gt;&lt;w:sz w:val=&quot;24&quot;/&gt;&lt;w:sz-cs w:val=&quot;24&quot;/&gt;&lt;w:lang w:val=&quot;PT-BR&quot;/&gt;&lt;/w:rPr&gt;&lt;m:t&gt;SobrevalorizaÃ§Ã£o Real&lt;/m:t&gt;&lt;/m:r&gt;&lt;/m:e&gt;&lt;/m:d&gt;&lt;m:ctrlPr&gt;&lt;w:rPr&gt;&lt;w:rFonts w:ascii=&quot;Cambria Math&quot; w:h-ansi=&quot;Cambria Math&quot;/&gt;&lt;wx:font wx:val=&quot;Cambria Math&quot;/&gt;&lt;w:i/&gt;&lt;w:sz w:val=&quot;24&quot;/&gt;&lt;w:sz-cs w:val=&quot;24&quot;/&gt;&lt;w:lang w:val=&quot;PT-BR&quot;/&gt;&lt;/w:rPr&gt;&lt;/m:ctrlPr&gt;&lt;/m:e&gt;&lt;/m:func&gt;&lt;m:r&gt;&lt;w:rPr&gt;&lt;w:rFonts w:ascii=&quot;Cambria Math&quot; w:h-ansi=&quot;Cambria Math&quot;/&gt;&lt;wx:font wx:val=&quot;Cambria Math&quot;/&gt;&lt;w:i/&gt;&lt;w:sz w:val=&quot;24&quot;/&gt;&lt;w:sz-cs w:val=&quot;24&quot;/&gt;&lt;w:lang w:val=&quot;PT-BR&quot;/&gt;&lt;/w:rPr&gt;&lt;m:t&gt;=&lt;/m:t&gt;&lt;/m:r&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lnREER&lt;/m:t&gt;&lt;/m:r&gt;&lt;/m:e&gt;&lt;m:sub&gt;&lt;m:r&gt;&lt;w:rPr&gt;&lt;w:rFonts w:ascii=&quot;Cambria Math&quot; w:h-ansi=&quot;Cambria Math&quot;/&gt;&lt;wx:font wx:val=&quot;Cambria Math&quot;/&gt;&lt;w:i/&gt;&lt;w:sz w:val=&quot;24&quot;/&gt;&lt;w:sz-cs w:val=&quot;24&quot;/&gt;&lt;w:lang w:val=&quot;PT-BR&quot;/&gt;&lt;/w:rPr&gt;&lt;m:t&gt;it&lt;/m:t&gt;&lt;/m:r&gt;&lt;/m:sub&gt;&lt;/m:sSub&gt;&lt;m:r&gt;&lt;w:rPr&gt;&lt;w:rFonts w:ascii=&quot;Cambria Math&quot; w:h-ansi=&quot;Cambria Math&quot;/&gt;&lt;wx:font wx:val=&quot;Cambria Math&quot;/&gt;&lt;w:i/&gt;&lt;w:sz w:val=&quot;24&quot;/&gt;&lt;w:sz-cs w:val=&quot;24&quot;/&gt;&lt;w:lang w:val=&quot;PT-BR&quot;/&gt;&lt;/w:rPr&gt;&lt;m:t&gt;-&lt;/m:t&gt;&lt;/m:r&gt;&lt;m:sSub&gt;&lt;m:sSubPr&gt;&lt;m:ctrlPr&gt;&lt;w:rPr&gt;&lt;w:rFonts w:ascii=&quot;Cambria Math&quot; w:h-ansi=&quot;Cambria Math&quot;/&gt;&lt;wx:font wx:val=&quot;Cambria Math&quot;/&gt;&lt;w:i/&gt;&lt;w:sz w:val=&quot;24&quot;/&gt;&lt;w:sz-cs w:val=&quot;24&quot;/&gt;&lt;w:lang w:val=&quot;PT-BR&quot;/&gt;&lt;/w:rPr&gt;&lt;/m:ctrlPr&gt;&lt;/m:sSubPr&gt;&lt;m:e&gt;&lt;m:acc&gt;&lt;m:accPr&gt;&lt;m:ctrlPr&gt;&lt;w:rPr&gt;&lt;w:rFonts w:ascii=&quot;Cambria Math&quot; w:h-ansi=&quot;Cambria Math&quot;/&gt;&lt;wx:font wx:val=&quot;Cambria Math&quot;/&gt;&lt;w:i/&gt;&lt;w:sz w:val=&quot;24&quot;/&gt;&lt;w:sz-cs w:val=&quot;24&quot;/&gt;&lt;w:lang w:val=&quot;PT-BR&quot;/&gt;&lt;/w:rPr&gt;&lt;/m:ctrlPr&gt;&lt;/m:accPr&gt;&lt;m:e&gt;&lt;m:r&gt;&lt;w:rPr&gt;&lt;w:rFonts w:ascii=&quot;Cambria Math&quot; w:h-ansi=&quot;Cambria Math&quot;/&gt;&lt;wx:font wx:val=&quot;Cambria Math&quot;/&gt;&lt;w:i/&gt;&lt;w:sz w:val=&quot;24&quot;/&gt;&lt;w:sz-cs w:val=&quot;24&quot;/&gt;&lt;w:lang w:val=&quot;PT-BR&quot;/&gt;&lt;/w:rPr&gt;&lt;m:t&gt;lnREER&lt;/m:t&gt;&lt;/m:r&gt;&lt;/m:e&gt;&lt;/m:acc&gt;&lt;/m:e&gt;&lt;m:sub&gt;&lt;m:r&gt;&lt;w:rPr&gt;&lt;w:rFonts w:ascii=&quot;Cambria Math&quot; w:h-ansi=&quot;Cambria Math&quot;/&gt;&lt;wx:font wx:val=&quot;Cambria Math&quot;/&gt;&lt;w:i/&gt;&lt;w:sz w:val=&quot;24&quot;/&gt;&lt;w:sz-cs w:val=&quot;24&quot;/&gt;&lt;w:lang w:val=&quot;PT-BR&quot;/&gt;&lt;/w:rPr&gt;&lt;m:t&gt;i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p>
    <w:p w:rsidR="00553639"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p>
    <w:p w:rsidR="00553639" w:rsidRDefault="00553639" w:rsidP="00780BD6">
      <w:pPr>
        <w:tabs>
          <w:tab w:val="left" w:pos="720"/>
        </w:tabs>
        <w:autoSpaceDE w:val="0"/>
        <w:autoSpaceDN w:val="0"/>
        <w:adjustRightInd w:val="0"/>
        <w:spacing w:after="0" w:line="240" w:lineRule="auto"/>
        <w:ind w:firstLine="720"/>
        <w:jc w:val="both"/>
        <w:rPr>
          <w:rFonts w:ascii="Times New Roman" w:hAnsi="Times New Roman"/>
          <w:sz w:val="24"/>
          <w:szCs w:val="24"/>
          <w:lang w:val="pt-BR"/>
        </w:rPr>
      </w:pPr>
    </w:p>
    <w:p w:rsidR="00553639" w:rsidRPr="00472344" w:rsidRDefault="00553639" w:rsidP="000C7D2F">
      <w:pPr>
        <w:tabs>
          <w:tab w:val="left" w:pos="720"/>
        </w:tabs>
        <w:autoSpaceDE w:val="0"/>
        <w:autoSpaceDN w:val="0"/>
        <w:adjustRightInd w:val="0"/>
        <w:spacing w:after="0" w:line="240" w:lineRule="auto"/>
        <w:ind w:firstLine="720"/>
        <w:jc w:val="both"/>
        <w:rPr>
          <w:rFonts w:ascii="Times New Roman" w:hAnsi="Times New Roman"/>
          <w:sz w:val="24"/>
          <w:szCs w:val="24"/>
          <w:lang w:val="pt-BR"/>
        </w:rPr>
      </w:pPr>
      <w:r w:rsidRPr="00472344">
        <w:rPr>
          <w:rFonts w:ascii="Times New Roman" w:hAnsi="Times New Roman"/>
          <w:sz w:val="24"/>
          <w:szCs w:val="24"/>
          <w:lang w:val="pt-BR"/>
        </w:rPr>
        <w:t>A idéia é caracterizar a TCRE de equilíbrio de</w:t>
      </w:r>
      <w:r>
        <w:rPr>
          <w:rFonts w:ascii="Times New Roman" w:hAnsi="Times New Roman"/>
          <w:sz w:val="24"/>
          <w:szCs w:val="24"/>
          <w:lang w:val="pt-BR"/>
        </w:rPr>
        <w:t xml:space="preserve"> </w:t>
      </w:r>
      <w:r w:rsidRPr="00472344">
        <w:rPr>
          <w:rFonts w:ascii="Times New Roman" w:hAnsi="Times New Roman"/>
          <w:sz w:val="24"/>
          <w:szCs w:val="24"/>
          <w:lang w:val="pt-BR"/>
        </w:rPr>
        <w:t>longo prazo como aquela que corresponde aos valores sustentáveis dos fundamentos</w:t>
      </w:r>
      <w:r>
        <w:rPr>
          <w:rFonts w:ascii="Times New Roman" w:hAnsi="Times New Roman"/>
          <w:sz w:val="24"/>
          <w:szCs w:val="24"/>
          <w:lang w:val="pt-BR"/>
        </w:rPr>
        <w:t xml:space="preserve"> </w:t>
      </w:r>
      <w:r w:rsidRPr="00472344">
        <w:rPr>
          <w:rFonts w:ascii="Times New Roman" w:hAnsi="Times New Roman"/>
          <w:sz w:val="24"/>
          <w:szCs w:val="24"/>
          <w:lang w:val="pt-BR"/>
        </w:rPr>
        <w:t>macroeconô</w:t>
      </w:r>
      <w:r>
        <w:rPr>
          <w:rFonts w:ascii="Times New Roman" w:hAnsi="Times New Roman"/>
          <w:sz w:val="24"/>
          <w:szCs w:val="24"/>
          <w:lang w:val="pt-BR"/>
        </w:rPr>
        <w:t>micos. Assim, é possível identifi</w:t>
      </w:r>
      <w:r w:rsidRPr="00472344">
        <w:rPr>
          <w:rFonts w:ascii="Times New Roman" w:hAnsi="Times New Roman"/>
          <w:sz w:val="24"/>
          <w:szCs w:val="24"/>
          <w:lang w:val="pt-BR"/>
        </w:rPr>
        <w:t>car grandes episódios de desalinhamento</w:t>
      </w:r>
      <w:r>
        <w:rPr>
          <w:rFonts w:ascii="Times New Roman" w:hAnsi="Times New Roman"/>
          <w:sz w:val="24"/>
          <w:szCs w:val="24"/>
          <w:lang w:val="pt-BR"/>
        </w:rPr>
        <w:t xml:space="preserve"> </w:t>
      </w:r>
      <w:r w:rsidRPr="00472344">
        <w:rPr>
          <w:rFonts w:ascii="Times New Roman" w:hAnsi="Times New Roman"/>
          <w:sz w:val="24"/>
          <w:szCs w:val="24"/>
          <w:lang w:val="pt-BR"/>
        </w:rPr>
        <w:t>e prover um apontamento quantitativo da exte</w:t>
      </w:r>
      <w:r>
        <w:rPr>
          <w:rFonts w:ascii="Times New Roman" w:hAnsi="Times New Roman"/>
          <w:sz w:val="24"/>
          <w:szCs w:val="24"/>
          <w:lang w:val="pt-BR"/>
        </w:rPr>
        <w:t>nsão na qual a TCRE está em con</w:t>
      </w:r>
      <w:r w:rsidRPr="00472344">
        <w:rPr>
          <w:rFonts w:ascii="Times New Roman" w:hAnsi="Times New Roman"/>
          <w:sz w:val="24"/>
          <w:szCs w:val="24"/>
          <w:lang w:val="pt-BR"/>
        </w:rPr>
        <w:t>formidade com seus fundamentos econômicos sustentáveis de longo prazo. Uma vez</w:t>
      </w:r>
      <w:r>
        <w:rPr>
          <w:rFonts w:ascii="Times New Roman" w:hAnsi="Times New Roman"/>
          <w:sz w:val="24"/>
          <w:szCs w:val="24"/>
          <w:lang w:val="pt-BR"/>
        </w:rPr>
        <w:t xml:space="preserve"> </w:t>
      </w:r>
      <w:r w:rsidRPr="00472344">
        <w:rPr>
          <w:rFonts w:ascii="Times New Roman" w:hAnsi="Times New Roman"/>
          <w:sz w:val="24"/>
          <w:szCs w:val="24"/>
          <w:lang w:val="pt-BR"/>
        </w:rPr>
        <w:t>obtido o índice de desalinhamento, é possível buscar seus determinantes em variáveis</w:t>
      </w:r>
      <w:r>
        <w:rPr>
          <w:rFonts w:ascii="Times New Roman" w:hAnsi="Times New Roman"/>
          <w:sz w:val="24"/>
          <w:szCs w:val="24"/>
          <w:lang w:val="pt-BR"/>
        </w:rPr>
        <w:t xml:space="preserve"> </w:t>
      </w:r>
      <w:r w:rsidRPr="00472344">
        <w:rPr>
          <w:rFonts w:ascii="Times New Roman" w:hAnsi="Times New Roman"/>
          <w:sz w:val="24"/>
          <w:szCs w:val="24"/>
          <w:lang w:val="pt-BR"/>
        </w:rPr>
        <w:t>de política econômica a causa da persistência dos desalinhamentos da TCR, na linha</w:t>
      </w:r>
      <w:r>
        <w:rPr>
          <w:rFonts w:ascii="Times New Roman" w:hAnsi="Times New Roman"/>
          <w:sz w:val="24"/>
          <w:szCs w:val="24"/>
          <w:lang w:val="pt-BR"/>
        </w:rPr>
        <w:t xml:space="preserve"> </w:t>
      </w:r>
      <w:r w:rsidRPr="00472344">
        <w:rPr>
          <w:rFonts w:ascii="Times New Roman" w:hAnsi="Times New Roman"/>
          <w:sz w:val="24"/>
          <w:szCs w:val="24"/>
          <w:lang w:val="pt-BR"/>
        </w:rPr>
        <w:t xml:space="preserve">da argumentação </w:t>
      </w:r>
      <w:r>
        <w:rPr>
          <w:rFonts w:ascii="Times New Roman" w:hAnsi="Times New Roman"/>
          <w:sz w:val="24"/>
          <w:szCs w:val="24"/>
          <w:lang w:val="pt-BR"/>
        </w:rPr>
        <w:t>explicada</w:t>
      </w:r>
      <w:r w:rsidRPr="00472344">
        <w:rPr>
          <w:rFonts w:ascii="Times New Roman" w:hAnsi="Times New Roman"/>
          <w:sz w:val="24"/>
          <w:szCs w:val="24"/>
          <w:lang w:val="pt-BR"/>
        </w:rPr>
        <w:t xml:space="preserve"> a seguir</w:t>
      </w:r>
      <w:r>
        <w:rPr>
          <w:rFonts w:ascii="Times New Roman" w:hAnsi="Times New Roman"/>
          <w:sz w:val="24"/>
          <w:szCs w:val="24"/>
          <w:lang w:val="pt-BR"/>
        </w:rPr>
        <w:t>.</w:t>
      </w:r>
    </w:p>
    <w:p w:rsidR="00553639" w:rsidRPr="00472344" w:rsidRDefault="00553639" w:rsidP="000C7D2F">
      <w:pPr>
        <w:tabs>
          <w:tab w:val="left" w:pos="720"/>
        </w:tabs>
        <w:spacing w:after="0" w:line="240" w:lineRule="auto"/>
        <w:ind w:firstLine="720"/>
        <w:jc w:val="both"/>
        <w:rPr>
          <w:rFonts w:ascii="Times New Roman" w:hAnsi="Times New Roman"/>
          <w:sz w:val="24"/>
          <w:szCs w:val="24"/>
          <w:lang w:val="pt-BR"/>
        </w:rPr>
      </w:pPr>
    </w:p>
    <w:p w:rsidR="00553639" w:rsidRPr="00472344" w:rsidRDefault="00553639" w:rsidP="000C7D2F">
      <w:pPr>
        <w:tabs>
          <w:tab w:val="left" w:pos="720"/>
          <w:tab w:val="left" w:pos="9270"/>
        </w:tabs>
        <w:spacing w:after="0" w:line="240" w:lineRule="auto"/>
        <w:ind w:firstLine="720"/>
        <w:rPr>
          <w:rFonts w:ascii="Times New Roman" w:hAnsi="Times New Roman"/>
          <w:sz w:val="24"/>
          <w:szCs w:val="24"/>
          <w:lang w:val="pt-BR"/>
        </w:rPr>
      </w:pPr>
      <w:r>
        <w:rPr>
          <w:rFonts w:ascii="Times New Roman" w:hAnsi="Times New Roman"/>
          <w:i/>
          <w:sz w:val="24"/>
          <w:szCs w:val="24"/>
          <w:lang w:val="pt-BR"/>
        </w:rPr>
        <w:t>3.2</w:t>
      </w:r>
      <w:r w:rsidRPr="00472344">
        <w:rPr>
          <w:rFonts w:ascii="Times New Roman" w:hAnsi="Times New Roman"/>
          <w:i/>
          <w:sz w:val="24"/>
          <w:szCs w:val="24"/>
          <w:lang w:val="pt-BR"/>
        </w:rPr>
        <w:t xml:space="preserve">. </w:t>
      </w:r>
      <w:r>
        <w:rPr>
          <w:rFonts w:ascii="Times New Roman" w:hAnsi="Times New Roman"/>
          <w:i/>
          <w:sz w:val="24"/>
          <w:szCs w:val="24"/>
          <w:lang w:val="pt-BR"/>
        </w:rPr>
        <w:t>Determinantes de desalinhamento da TCR</w:t>
      </w:r>
      <w:r w:rsidRPr="00472344">
        <w:rPr>
          <w:rFonts w:ascii="Times New Roman" w:hAnsi="Times New Roman"/>
          <w:i/>
          <w:sz w:val="24"/>
          <w:szCs w:val="24"/>
          <w:lang w:val="pt-BR"/>
        </w:rPr>
        <w:t>.</w:t>
      </w:r>
    </w:p>
    <w:p w:rsidR="00553639" w:rsidRDefault="00553639" w:rsidP="000C7D2F">
      <w:pPr>
        <w:tabs>
          <w:tab w:val="left" w:pos="720"/>
          <w:tab w:val="left" w:pos="9270"/>
        </w:tabs>
        <w:spacing w:after="0" w:line="240" w:lineRule="auto"/>
        <w:ind w:firstLine="720"/>
        <w:jc w:val="both"/>
        <w:rPr>
          <w:rFonts w:ascii="Times New Roman" w:hAnsi="Times New Roman"/>
          <w:sz w:val="24"/>
          <w:szCs w:val="24"/>
          <w:lang w:val="pt-BR"/>
        </w:rPr>
      </w:pPr>
    </w:p>
    <w:p w:rsidR="00553639" w:rsidRPr="00472344" w:rsidRDefault="00553639" w:rsidP="000C7D2F">
      <w:pPr>
        <w:tabs>
          <w:tab w:val="left" w:pos="720"/>
          <w:tab w:val="left" w:pos="9270"/>
        </w:tabs>
        <w:spacing w:after="0" w:line="240" w:lineRule="auto"/>
        <w:ind w:firstLine="720"/>
        <w:jc w:val="both"/>
        <w:rPr>
          <w:rFonts w:ascii="Times New Roman" w:hAnsi="Times New Roman"/>
          <w:sz w:val="24"/>
          <w:szCs w:val="24"/>
          <w:lang w:val="pt-BR"/>
        </w:rPr>
      </w:pPr>
      <w:r w:rsidRPr="00472344">
        <w:rPr>
          <w:rFonts w:ascii="Times New Roman" w:hAnsi="Times New Roman"/>
          <w:sz w:val="24"/>
          <w:szCs w:val="24"/>
          <w:lang w:val="pt-BR"/>
        </w:rPr>
        <w:t xml:space="preserve">Para propósitos de política e análise, é útil distinguir as causas de desalinhamentos que a literatura </w:t>
      </w:r>
      <w:r>
        <w:rPr>
          <w:rFonts w:ascii="Times New Roman" w:hAnsi="Times New Roman"/>
          <w:sz w:val="24"/>
          <w:szCs w:val="24"/>
          <w:lang w:val="pt-BR"/>
        </w:rPr>
        <w:t>tem sublinhado, além da discussão já estabelecida entre exportação de bens primários e sobre-apreciação cambial.</w:t>
      </w:r>
    </w:p>
    <w:p w:rsidR="00553639" w:rsidRPr="00DA10E3" w:rsidRDefault="00553639" w:rsidP="000C7D2F">
      <w:pPr>
        <w:tabs>
          <w:tab w:val="left" w:pos="720"/>
          <w:tab w:val="left" w:pos="927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Há também</w:t>
      </w:r>
      <w:r w:rsidRPr="00DA10E3">
        <w:rPr>
          <w:rFonts w:ascii="Times New Roman" w:hAnsi="Times New Roman"/>
          <w:sz w:val="24"/>
          <w:szCs w:val="24"/>
          <w:lang w:val="pt-BR"/>
        </w:rPr>
        <w:t xml:space="preserve"> desalinhamento induzido pela macroeconomia, que ocorre devido às inconsistências entre as políticas macroeconômicas, especialmente a monetária, e o sistema oficial de taxa de câmbio nominal, ou o regime cambial (Edwards, 1988). Por exemplo, quando temos uma política monetária expansiva – seja devido a um déficit fiscal ou por outras razões – e excede a trajetória compatível com a de uma taxa de câmbio nominal no âmbito de um regime fixo, o preço dos bens domésticos tenderão a crescer a uma taxa maior do que a inflação mundial. Como resultado, a TCR experimentará uma apreciação real que pode ser persistente e nociva. A inflação tem aí sua contribuição para a existência do desalinhamento</w:t>
      </w:r>
      <w:r w:rsidRPr="00635FFF">
        <w:rPr>
          <w:rStyle w:val="FootnoteReference"/>
          <w:rFonts w:ascii="Times New Roman" w:hAnsi="Times New Roman"/>
          <w:sz w:val="24"/>
          <w:szCs w:val="24"/>
          <w:lang w:val="pt-BR"/>
        </w:rPr>
        <w:footnoteReference w:id="3"/>
      </w:r>
      <w:r w:rsidRPr="00DA10E3">
        <w:rPr>
          <w:rFonts w:ascii="Times New Roman" w:hAnsi="Times New Roman"/>
          <w:sz w:val="24"/>
          <w:szCs w:val="24"/>
          <w:lang w:val="pt-BR"/>
        </w:rPr>
        <w:t xml:space="preserve">. </w:t>
      </w:r>
    </w:p>
    <w:p w:rsidR="00553639" w:rsidRPr="00DA10E3" w:rsidRDefault="00553639" w:rsidP="000C7D2F">
      <w:pPr>
        <w:tabs>
          <w:tab w:val="left" w:pos="720"/>
          <w:tab w:val="left" w:pos="9270"/>
        </w:tabs>
        <w:spacing w:after="0" w:line="240" w:lineRule="auto"/>
        <w:ind w:firstLine="720"/>
        <w:jc w:val="both"/>
        <w:rPr>
          <w:lang w:val="pt-BR"/>
        </w:rPr>
      </w:pPr>
      <w:r>
        <w:rPr>
          <w:rFonts w:ascii="Times New Roman" w:hAnsi="Times New Roman"/>
          <w:sz w:val="24"/>
          <w:szCs w:val="24"/>
          <w:lang w:val="pt-BR"/>
        </w:rPr>
        <w:t xml:space="preserve">É comum a ocorrência de </w:t>
      </w:r>
      <w:r w:rsidRPr="00DA10E3">
        <w:rPr>
          <w:rFonts w:ascii="Times New Roman" w:hAnsi="Times New Roman"/>
          <w:sz w:val="24"/>
          <w:szCs w:val="24"/>
          <w:lang w:val="pt-BR"/>
        </w:rPr>
        <w:t>desalinhamento</w:t>
      </w:r>
      <w:r>
        <w:rPr>
          <w:rFonts w:ascii="Times New Roman" w:hAnsi="Times New Roman"/>
          <w:sz w:val="24"/>
          <w:szCs w:val="24"/>
          <w:lang w:val="pt-BR"/>
        </w:rPr>
        <w:t>s estruturais</w:t>
      </w:r>
      <w:r w:rsidRPr="00DA10E3">
        <w:rPr>
          <w:rFonts w:ascii="Times New Roman" w:hAnsi="Times New Roman"/>
          <w:sz w:val="24"/>
          <w:szCs w:val="24"/>
          <w:lang w:val="pt-BR"/>
        </w:rPr>
        <w:t xml:space="preserve"> de curto prazo, que existe quando há mudança nos determinantes reais ou fundamentais da TCR de equilíbrio que não é no curto prazo traduzido em reais mudanças na TCR (choques de produtividade, como o efeito Balassa-Samuelson, por exemplo). Esse desalinhamento é temporário, fruto de mudanças nas variáveis de equilíbrio dos fundamentos, que tomam certo prazo de ajuste e não persiste no longo-prazo</w:t>
      </w:r>
      <w:r w:rsidRPr="00635FFF">
        <w:rPr>
          <w:rStyle w:val="FootnoteReference"/>
          <w:rFonts w:ascii="Times New Roman" w:hAnsi="Times New Roman"/>
          <w:sz w:val="24"/>
          <w:szCs w:val="24"/>
          <w:lang w:val="pt-BR"/>
        </w:rPr>
        <w:footnoteReference w:id="4"/>
      </w:r>
      <w:r w:rsidRPr="00DA10E3">
        <w:rPr>
          <w:rFonts w:ascii="Times New Roman" w:hAnsi="Times New Roman"/>
          <w:sz w:val="24"/>
          <w:szCs w:val="24"/>
          <w:lang w:val="pt-BR"/>
        </w:rPr>
        <w:t xml:space="preserve"> (Montiel, 2008)</w:t>
      </w:r>
      <w:r>
        <w:rPr>
          <w:rFonts w:ascii="Times New Roman" w:hAnsi="Times New Roman"/>
          <w:sz w:val="24"/>
          <w:szCs w:val="24"/>
          <w:lang w:val="pt-BR"/>
        </w:rPr>
        <w:t>, mas podem</w:t>
      </w:r>
      <w:r w:rsidRPr="00DA10E3">
        <w:rPr>
          <w:rFonts w:ascii="Times New Roman" w:hAnsi="Times New Roman"/>
          <w:sz w:val="24"/>
          <w:szCs w:val="24"/>
          <w:lang w:val="pt-BR"/>
        </w:rPr>
        <w:t xml:space="preserve"> servir como variáveis de controle para estudar os determinantes da persistência eventual de desalinhamentos, por exemplo.</w:t>
      </w:r>
    </w:p>
    <w:p w:rsidR="00553639" w:rsidRPr="006120DF" w:rsidRDefault="00553639" w:rsidP="000C7D2F">
      <w:pPr>
        <w:tabs>
          <w:tab w:val="left" w:pos="720"/>
        </w:tabs>
        <w:spacing w:after="0" w:line="240" w:lineRule="auto"/>
        <w:ind w:firstLine="720"/>
        <w:jc w:val="both"/>
        <w:rPr>
          <w:rFonts w:ascii="Times New Roman" w:hAnsi="Times New Roman"/>
          <w:sz w:val="24"/>
          <w:szCs w:val="24"/>
          <w:lang w:val="pt-BR"/>
        </w:rPr>
      </w:pPr>
      <w:r w:rsidRPr="002231A9">
        <w:rPr>
          <w:rFonts w:ascii="Times New Roman" w:hAnsi="Times New Roman"/>
          <w:sz w:val="24"/>
          <w:szCs w:val="24"/>
          <w:lang w:val="pt-BR"/>
        </w:rPr>
        <w:t>Desde os m</w:t>
      </w:r>
      <w:r>
        <w:rPr>
          <w:rFonts w:ascii="Times New Roman" w:hAnsi="Times New Roman"/>
          <w:sz w:val="24"/>
          <w:szCs w:val="24"/>
          <w:lang w:val="pt-BR"/>
        </w:rPr>
        <w:t>odelos simples Mundell Fleming a</w:t>
      </w:r>
      <w:r w:rsidRPr="002231A9">
        <w:rPr>
          <w:rFonts w:ascii="Times New Roman" w:hAnsi="Times New Roman"/>
          <w:sz w:val="24"/>
          <w:szCs w:val="24"/>
          <w:lang w:val="pt-BR"/>
        </w:rPr>
        <w:t xml:space="preserve"> modelos mais sofisticados, os economistas enunciam que a abertura à fluxos de capitais</w:t>
      </w:r>
      <w:r>
        <w:rPr>
          <w:rFonts w:ascii="Times New Roman" w:hAnsi="Times New Roman"/>
          <w:sz w:val="24"/>
          <w:szCs w:val="24"/>
          <w:lang w:val="pt-BR"/>
        </w:rPr>
        <w:t xml:space="preserve"> de um país detém forte influência sobre o nível de determinação TCR. </w:t>
      </w:r>
      <w:r w:rsidRPr="0099159B">
        <w:rPr>
          <w:rFonts w:ascii="Times New Roman" w:hAnsi="Times New Roman"/>
          <w:sz w:val="24"/>
          <w:szCs w:val="24"/>
          <w:lang w:val="pt-BR"/>
        </w:rPr>
        <w:t xml:space="preserve">Historicamente, muitos países tem se apoiado em diversas formas de restrição </w:t>
      </w:r>
      <w:r>
        <w:rPr>
          <w:rFonts w:ascii="Times New Roman" w:hAnsi="Times New Roman"/>
          <w:sz w:val="24"/>
          <w:szCs w:val="24"/>
          <w:lang w:val="pt-BR"/>
        </w:rPr>
        <w:t>d</w:t>
      </w:r>
      <w:r w:rsidRPr="0099159B">
        <w:rPr>
          <w:rFonts w:ascii="Times New Roman" w:hAnsi="Times New Roman"/>
          <w:sz w:val="24"/>
          <w:szCs w:val="24"/>
          <w:lang w:val="pt-BR"/>
        </w:rPr>
        <w:t>a</w:t>
      </w:r>
      <w:r>
        <w:rPr>
          <w:rFonts w:ascii="Times New Roman" w:hAnsi="Times New Roman"/>
          <w:sz w:val="24"/>
          <w:szCs w:val="24"/>
          <w:lang w:val="pt-BR"/>
        </w:rPr>
        <w:t>s</w:t>
      </w:r>
      <w:r w:rsidRPr="0099159B">
        <w:rPr>
          <w:rFonts w:ascii="Times New Roman" w:hAnsi="Times New Roman"/>
          <w:sz w:val="24"/>
          <w:szCs w:val="24"/>
          <w:lang w:val="pt-BR"/>
        </w:rPr>
        <w:t xml:space="preserve"> suas contas de capitais</w:t>
      </w:r>
      <w:r>
        <w:rPr>
          <w:rFonts w:ascii="Times New Roman" w:hAnsi="Times New Roman"/>
          <w:sz w:val="24"/>
          <w:szCs w:val="24"/>
          <w:lang w:val="pt-BR"/>
        </w:rPr>
        <w:t xml:space="preserve"> aos fluxos financeiros</w:t>
      </w:r>
      <w:r w:rsidRPr="0099159B">
        <w:rPr>
          <w:rFonts w:ascii="Times New Roman" w:hAnsi="Times New Roman"/>
          <w:sz w:val="24"/>
          <w:szCs w:val="24"/>
          <w:lang w:val="pt-BR"/>
        </w:rPr>
        <w:t xml:space="preserve">. Como aponta Edwards (1999), enquanto a maior parte do mundo no período pós Segunda Guerra Mundial tinham por objetivo evitar a flutuação do capital, mais recentemente os países têm tentado evitar ou reduzir grandes influxos </w:t>
      </w:r>
      <w:r>
        <w:rPr>
          <w:rFonts w:ascii="Times New Roman" w:hAnsi="Times New Roman"/>
          <w:sz w:val="24"/>
          <w:szCs w:val="24"/>
          <w:lang w:val="pt-BR"/>
        </w:rPr>
        <w:t>de capitais: controles da taxa de câmbio, seja para impedir sobrevalorizações, seja como parte de estratégias de crescimento orientadas às exportações, são o que muitas vezes estão subjacente a estas políticas. Há, entretanto, muitos analistas que apontam</w:t>
      </w:r>
      <w:r w:rsidRPr="0099159B">
        <w:rPr>
          <w:rFonts w:ascii="Times New Roman" w:hAnsi="Times New Roman"/>
          <w:sz w:val="24"/>
          <w:szCs w:val="24"/>
          <w:lang w:val="pt-BR"/>
        </w:rPr>
        <w:t xml:space="preserve"> que os impedimentos legais na mobilidade dos capitais nem sempre são exitosos em se tornar reais restrições </w:t>
      </w:r>
      <w:r>
        <w:rPr>
          <w:rFonts w:ascii="Times New Roman" w:hAnsi="Times New Roman"/>
          <w:sz w:val="24"/>
          <w:szCs w:val="24"/>
          <w:lang w:val="pt-BR"/>
        </w:rPr>
        <w:t>de movimentos nesses fluxos. P</w:t>
      </w:r>
      <w:r w:rsidRPr="0099159B">
        <w:rPr>
          <w:rFonts w:ascii="Times New Roman" w:hAnsi="Times New Roman"/>
          <w:sz w:val="24"/>
          <w:szCs w:val="24"/>
          <w:lang w:val="pt-BR"/>
        </w:rPr>
        <w:t>ortanto,</w:t>
      </w:r>
      <w:r>
        <w:rPr>
          <w:rFonts w:ascii="Times New Roman" w:hAnsi="Times New Roman"/>
          <w:sz w:val="24"/>
          <w:szCs w:val="24"/>
          <w:lang w:val="pt-BR"/>
        </w:rPr>
        <w:t xml:space="preserve"> existe</w:t>
      </w:r>
      <w:r w:rsidRPr="0099159B">
        <w:rPr>
          <w:rFonts w:ascii="Times New Roman" w:hAnsi="Times New Roman"/>
          <w:sz w:val="24"/>
          <w:szCs w:val="24"/>
          <w:lang w:val="pt-BR"/>
        </w:rPr>
        <w:t xml:space="preserve"> uma distinção razoável entre a mobi</w:t>
      </w:r>
      <w:r>
        <w:rPr>
          <w:rFonts w:ascii="Times New Roman" w:hAnsi="Times New Roman"/>
          <w:sz w:val="24"/>
          <w:szCs w:val="24"/>
          <w:lang w:val="pt-BR"/>
        </w:rPr>
        <w:t>lidade de capital observada e a efetiva</w:t>
      </w:r>
      <w:r w:rsidRPr="0099159B">
        <w:rPr>
          <w:rFonts w:ascii="Times New Roman" w:hAnsi="Times New Roman"/>
          <w:sz w:val="24"/>
          <w:szCs w:val="24"/>
          <w:lang w:val="pt-BR"/>
        </w:rPr>
        <w:t>, que tem sido sujeita a muito debate entre os economistas.</w:t>
      </w:r>
      <w:r>
        <w:rPr>
          <w:rFonts w:ascii="Times New Roman" w:hAnsi="Times New Roman"/>
          <w:sz w:val="24"/>
          <w:szCs w:val="24"/>
          <w:lang w:val="pt-BR"/>
        </w:rPr>
        <w:t xml:space="preserve"> Este trabalho inova ao buscar entender se esses fluxos têm algum impacto no desalinhamento da taxa de câmbio real, utilizando séries históricas de </w:t>
      </w:r>
      <w:r>
        <w:rPr>
          <w:rFonts w:ascii="Times New Roman" w:hAnsi="Times New Roman"/>
          <w:i/>
          <w:sz w:val="24"/>
          <w:szCs w:val="24"/>
          <w:lang w:val="pt-BR"/>
        </w:rPr>
        <w:t>facto</w:t>
      </w:r>
      <w:r>
        <w:rPr>
          <w:rFonts w:ascii="Times New Roman" w:hAnsi="Times New Roman"/>
          <w:sz w:val="24"/>
          <w:szCs w:val="24"/>
          <w:lang w:val="pt-BR"/>
        </w:rPr>
        <w:t xml:space="preserve"> como índice: a </w:t>
      </w:r>
      <w:r>
        <w:rPr>
          <w:rFonts w:ascii="Times New Roman" w:hAnsi="Times New Roman"/>
          <w:i/>
          <w:sz w:val="24"/>
          <w:szCs w:val="24"/>
          <w:lang w:val="pt-BR"/>
        </w:rPr>
        <w:t>KAOPEN</w:t>
      </w:r>
      <w:r>
        <w:rPr>
          <w:rFonts w:ascii="Times New Roman" w:hAnsi="Times New Roman"/>
          <w:sz w:val="24"/>
          <w:szCs w:val="24"/>
          <w:lang w:val="pt-BR"/>
        </w:rPr>
        <w:t>,</w:t>
      </w:r>
      <w:r>
        <w:rPr>
          <w:rFonts w:ascii="Times New Roman" w:hAnsi="Times New Roman"/>
          <w:i/>
          <w:sz w:val="24"/>
          <w:szCs w:val="24"/>
          <w:lang w:val="pt-BR"/>
        </w:rPr>
        <w:t xml:space="preserve"> </w:t>
      </w:r>
      <w:r>
        <w:rPr>
          <w:rFonts w:ascii="Times New Roman" w:hAnsi="Times New Roman"/>
          <w:sz w:val="24"/>
          <w:szCs w:val="24"/>
          <w:lang w:val="pt-BR"/>
        </w:rPr>
        <w:t>de Chinn e Ito (2005).</w:t>
      </w:r>
    </w:p>
    <w:p w:rsidR="00553639" w:rsidRDefault="00553639" w:rsidP="000C7D2F">
      <w:pPr>
        <w:tabs>
          <w:tab w:val="left" w:pos="720"/>
        </w:tabs>
        <w:spacing w:line="240" w:lineRule="auto"/>
        <w:jc w:val="both"/>
        <w:rPr>
          <w:rFonts w:ascii="Times New Roman" w:hAnsi="Times New Roman"/>
          <w:i/>
          <w:sz w:val="24"/>
          <w:szCs w:val="24"/>
          <w:lang w:val="pt-BR"/>
        </w:rPr>
      </w:pPr>
    </w:p>
    <w:p w:rsidR="00553639" w:rsidRPr="00A63B07" w:rsidRDefault="00553639" w:rsidP="000C7D2F">
      <w:pPr>
        <w:tabs>
          <w:tab w:val="left" w:pos="720"/>
        </w:tabs>
        <w:spacing w:line="240" w:lineRule="auto"/>
        <w:jc w:val="both"/>
        <w:rPr>
          <w:rFonts w:ascii="Times New Roman" w:hAnsi="Times New Roman"/>
          <w:b/>
          <w:sz w:val="24"/>
          <w:szCs w:val="24"/>
          <w:lang w:val="pt-BR"/>
        </w:rPr>
      </w:pPr>
      <w:r>
        <w:rPr>
          <w:rFonts w:ascii="Times New Roman" w:hAnsi="Times New Roman"/>
          <w:b/>
          <w:sz w:val="24"/>
          <w:szCs w:val="24"/>
          <w:lang w:val="pt-BR"/>
        </w:rPr>
        <w:t>4. Base de Dados</w:t>
      </w:r>
    </w:p>
    <w:p w:rsidR="00553639" w:rsidRDefault="00553639" w:rsidP="000C7D2F">
      <w:pPr>
        <w:tabs>
          <w:tab w:val="left" w:pos="720"/>
        </w:tabs>
        <w:spacing w:line="240" w:lineRule="auto"/>
        <w:jc w:val="both"/>
        <w:rPr>
          <w:rFonts w:ascii="Times New Roman" w:hAnsi="Times New Roman"/>
          <w:sz w:val="24"/>
          <w:szCs w:val="24"/>
          <w:lang w:val="pt-BR"/>
        </w:rPr>
      </w:pPr>
      <w:r>
        <w:rPr>
          <w:rFonts w:ascii="Times New Roman" w:hAnsi="Times New Roman"/>
          <w:i/>
          <w:sz w:val="24"/>
          <w:szCs w:val="24"/>
          <w:lang w:val="pt-BR"/>
        </w:rPr>
        <w:t>4.1 Dados utilizados para painel da TCR e desalinhamento.</w:t>
      </w:r>
      <w:r>
        <w:rPr>
          <w:rFonts w:ascii="Times New Roman" w:hAnsi="Times New Roman"/>
          <w:sz w:val="24"/>
          <w:szCs w:val="24"/>
          <w:lang w:val="pt-BR"/>
        </w:rPr>
        <w:t xml:space="preserve"> </w:t>
      </w:r>
    </w:p>
    <w:p w:rsidR="00553639" w:rsidRPr="00E53F77" w:rsidRDefault="00553639" w:rsidP="00041D94">
      <w:pPr>
        <w:tabs>
          <w:tab w:val="left" w:pos="720"/>
        </w:tabs>
        <w:spacing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Os dados para as variáveis Produtividade Relativa e Peso do Governo vieram da </w:t>
      </w:r>
      <w:r>
        <w:rPr>
          <w:rFonts w:ascii="Times New Roman" w:hAnsi="Times New Roman"/>
          <w:i/>
          <w:sz w:val="24"/>
          <w:szCs w:val="24"/>
          <w:lang w:val="pt-BR"/>
        </w:rPr>
        <w:t>World Penn Tables</w:t>
      </w:r>
      <w:r>
        <w:rPr>
          <w:rFonts w:ascii="Times New Roman" w:hAnsi="Times New Roman"/>
          <w:sz w:val="24"/>
          <w:szCs w:val="24"/>
          <w:lang w:val="pt-BR"/>
        </w:rPr>
        <w:t xml:space="preserve"> de Heston, Summers e Atina (2008). Os dados para “Ativos Estrangeiros Líquidos/PIB” são de Lane e Milesi-Ferretti (2004) Os demais dados, com exceção dos que descrevem a abertura da conta de capital, são do </w:t>
      </w:r>
      <w:r>
        <w:rPr>
          <w:rFonts w:ascii="Times New Roman" w:hAnsi="Times New Roman"/>
          <w:i/>
          <w:sz w:val="24"/>
          <w:szCs w:val="24"/>
          <w:lang w:val="pt-BR"/>
        </w:rPr>
        <w:t>World Development Indicators</w:t>
      </w:r>
      <w:r>
        <w:rPr>
          <w:rFonts w:ascii="Times New Roman" w:hAnsi="Times New Roman"/>
          <w:sz w:val="24"/>
          <w:szCs w:val="24"/>
          <w:lang w:val="pt-BR"/>
        </w:rPr>
        <w:t>, banco de dados do Banco Mundial</w:t>
      </w:r>
      <w:r>
        <w:rPr>
          <w:rFonts w:ascii="Times New Roman" w:hAnsi="Times New Roman"/>
          <w:i/>
          <w:sz w:val="24"/>
          <w:szCs w:val="24"/>
          <w:lang w:val="pt-BR"/>
        </w:rPr>
        <w:t xml:space="preserve">. </w:t>
      </w:r>
      <w:r>
        <w:rPr>
          <w:rFonts w:ascii="Times New Roman" w:hAnsi="Times New Roman"/>
          <w:sz w:val="24"/>
          <w:szCs w:val="24"/>
          <w:lang w:val="pt-BR"/>
        </w:rPr>
        <w:t>Cabe explicar que a variável “</w:t>
      </w:r>
      <w:r w:rsidRPr="00973DB8">
        <w:rPr>
          <w:rFonts w:ascii="Times New Roman" w:hAnsi="Times New Roman"/>
          <w:i/>
          <w:sz w:val="24"/>
          <w:szCs w:val="24"/>
          <w:lang w:val="pt-BR"/>
        </w:rPr>
        <w:t>Commodities</w:t>
      </w:r>
      <w:r>
        <w:rPr>
          <w:rFonts w:ascii="Times New Roman" w:hAnsi="Times New Roman"/>
          <w:sz w:val="24"/>
          <w:szCs w:val="24"/>
          <w:lang w:val="pt-BR"/>
        </w:rPr>
        <w:t xml:space="preserve">/Exportações” é a soma do peercentual nas exportações dos países de exportação de Petróleo, Ouro e Metais, Materiais Primários de Agricultura e Comida, seguindo classificação do Banco Mundial. A variável “Manufaturas/Exportações” constitui um dos itens do banco de dados do </w:t>
      </w:r>
      <w:r>
        <w:rPr>
          <w:rFonts w:ascii="Times New Roman" w:hAnsi="Times New Roman"/>
          <w:i/>
          <w:sz w:val="24"/>
          <w:szCs w:val="24"/>
          <w:lang w:val="pt-BR"/>
        </w:rPr>
        <w:t>World Development Indicators.</w:t>
      </w:r>
      <w:r>
        <w:rPr>
          <w:rFonts w:ascii="Times New Roman" w:hAnsi="Times New Roman"/>
          <w:sz w:val="24"/>
          <w:szCs w:val="24"/>
          <w:lang w:val="pt-BR"/>
        </w:rPr>
        <w:t xml:space="preserve"> O Apêndice II exibe os países que compuseram as amostras utilizadas nos exercícios econométricos que se seguem.</w:t>
      </w:r>
    </w:p>
    <w:p w:rsidR="00553639" w:rsidRPr="001D687E" w:rsidRDefault="00553639" w:rsidP="000C7D2F">
      <w:pPr>
        <w:tabs>
          <w:tab w:val="left" w:pos="720"/>
        </w:tabs>
        <w:spacing w:line="240" w:lineRule="auto"/>
        <w:jc w:val="both"/>
        <w:rPr>
          <w:rFonts w:ascii="Times New Roman" w:hAnsi="Times New Roman"/>
          <w:sz w:val="24"/>
          <w:szCs w:val="24"/>
          <w:lang w:val="pt-BR"/>
        </w:rPr>
      </w:pPr>
    </w:p>
    <w:p w:rsidR="00553639" w:rsidRPr="00CF2103" w:rsidRDefault="00553639" w:rsidP="000C7D2F">
      <w:pPr>
        <w:tabs>
          <w:tab w:val="left" w:pos="720"/>
        </w:tabs>
        <w:spacing w:line="240" w:lineRule="auto"/>
        <w:jc w:val="both"/>
        <w:rPr>
          <w:rFonts w:ascii="Times New Roman" w:hAnsi="Times New Roman"/>
          <w:i/>
          <w:sz w:val="24"/>
          <w:szCs w:val="24"/>
          <w:lang w:val="pt-BR"/>
        </w:rPr>
      </w:pPr>
      <w:r>
        <w:rPr>
          <w:rFonts w:ascii="Times New Roman" w:hAnsi="Times New Roman"/>
          <w:i/>
          <w:sz w:val="24"/>
          <w:szCs w:val="24"/>
          <w:lang w:val="pt-BR"/>
        </w:rPr>
        <w:t>4.2</w:t>
      </w:r>
      <w:r w:rsidRPr="00CF2103">
        <w:rPr>
          <w:rFonts w:ascii="Times New Roman" w:hAnsi="Times New Roman"/>
          <w:i/>
          <w:sz w:val="24"/>
          <w:szCs w:val="24"/>
          <w:lang w:val="pt-BR"/>
        </w:rPr>
        <w:t xml:space="preserve"> Índices de grau de abertura da conta de capital</w:t>
      </w:r>
    </w:p>
    <w:p w:rsidR="00553639" w:rsidRDefault="00553639" w:rsidP="00C51F00">
      <w:pPr>
        <w:tabs>
          <w:tab w:val="left" w:pos="720"/>
        </w:tabs>
        <w:spacing w:after="0" w:line="240" w:lineRule="auto"/>
        <w:ind w:firstLine="720"/>
        <w:jc w:val="both"/>
        <w:rPr>
          <w:rFonts w:ascii="Times New Roman" w:hAnsi="Times New Roman"/>
          <w:sz w:val="24"/>
          <w:szCs w:val="24"/>
          <w:lang w:val="pt-BR"/>
        </w:rPr>
      </w:pPr>
      <w:r w:rsidRPr="0099159B">
        <w:rPr>
          <w:rFonts w:ascii="Times New Roman" w:hAnsi="Times New Roman"/>
          <w:sz w:val="24"/>
          <w:szCs w:val="24"/>
          <w:lang w:val="pt-BR"/>
        </w:rPr>
        <w:t>A</w:t>
      </w:r>
      <w:r>
        <w:rPr>
          <w:rFonts w:ascii="Times New Roman" w:hAnsi="Times New Roman"/>
          <w:sz w:val="24"/>
          <w:szCs w:val="24"/>
          <w:lang w:val="pt-BR"/>
        </w:rPr>
        <w:t>s</w:t>
      </w:r>
      <w:r w:rsidRPr="0099159B">
        <w:rPr>
          <w:rFonts w:ascii="Times New Roman" w:hAnsi="Times New Roman"/>
          <w:sz w:val="24"/>
          <w:szCs w:val="24"/>
          <w:lang w:val="pt-BR"/>
        </w:rPr>
        <w:t xml:space="preserve"> tentativa</w:t>
      </w:r>
      <w:r>
        <w:rPr>
          <w:rFonts w:ascii="Times New Roman" w:hAnsi="Times New Roman"/>
          <w:sz w:val="24"/>
          <w:szCs w:val="24"/>
          <w:lang w:val="pt-BR"/>
        </w:rPr>
        <w:t>s</w:t>
      </w:r>
      <w:r w:rsidRPr="0099159B">
        <w:rPr>
          <w:rFonts w:ascii="Times New Roman" w:hAnsi="Times New Roman"/>
          <w:sz w:val="24"/>
          <w:szCs w:val="24"/>
          <w:lang w:val="pt-BR"/>
        </w:rPr>
        <w:t xml:space="preserve"> de criarem-se graus de integração efetiva dos mercados de capitais geraram extensa literatura. Mais recentemente, como Alesina, Grilli e Milesi-Ferreti (1994), Rodrik (1998), Klein e Olivei (1999) usaram as informações contidas no </w:t>
      </w:r>
      <w:r w:rsidRPr="00753273">
        <w:rPr>
          <w:rFonts w:ascii="Times New Roman" w:hAnsi="Times New Roman"/>
          <w:i/>
          <w:sz w:val="24"/>
          <w:szCs w:val="24"/>
          <w:lang w:val="pt-BR"/>
        </w:rPr>
        <w:t>Exchange Arrangements and Exchange Restrictions</w:t>
      </w:r>
      <w:r w:rsidRPr="0099159B">
        <w:rPr>
          <w:rFonts w:ascii="Times New Roman" w:hAnsi="Times New Roman"/>
          <w:sz w:val="24"/>
          <w:szCs w:val="24"/>
          <w:lang w:val="pt-BR"/>
        </w:rPr>
        <w:t xml:space="preserve"> do Fundo Monetário Internacional para construir um painel de índices de controle de capitais. </w:t>
      </w:r>
    </w:p>
    <w:p w:rsidR="00553639" w:rsidRDefault="00553639" w:rsidP="000C7D2F">
      <w:pPr>
        <w:tabs>
          <w:tab w:val="left" w:pos="720"/>
        </w:tabs>
        <w:spacing w:after="0" w:line="240" w:lineRule="auto"/>
        <w:ind w:firstLine="720"/>
        <w:jc w:val="both"/>
        <w:rPr>
          <w:rFonts w:ascii="Times New Roman" w:hAnsi="Times New Roman"/>
          <w:sz w:val="24"/>
          <w:szCs w:val="24"/>
          <w:lang w:val="pt-BR"/>
        </w:rPr>
      </w:pPr>
      <w:r w:rsidRPr="0099159B">
        <w:rPr>
          <w:rFonts w:ascii="Times New Roman" w:hAnsi="Times New Roman"/>
          <w:sz w:val="24"/>
          <w:szCs w:val="24"/>
          <w:lang w:val="pt-BR"/>
        </w:rPr>
        <w:t xml:space="preserve">Muitos estudos utilizam uma classificação padrão de regimes cambiais, como o </w:t>
      </w:r>
      <w:r w:rsidRPr="00A46E70">
        <w:rPr>
          <w:rFonts w:ascii="Times New Roman" w:hAnsi="Times New Roman"/>
          <w:i/>
          <w:sz w:val="24"/>
          <w:szCs w:val="24"/>
          <w:lang w:val="pt-BR"/>
        </w:rPr>
        <w:t>Annual Report on Exchange Rate Arrangements and Exchange Restrictions</w:t>
      </w:r>
      <w:r w:rsidRPr="0099159B">
        <w:rPr>
          <w:rFonts w:ascii="Times New Roman" w:hAnsi="Times New Roman"/>
          <w:sz w:val="24"/>
          <w:szCs w:val="24"/>
          <w:lang w:val="pt-BR"/>
        </w:rPr>
        <w:t>, publicadas pelo Fundo Monetário Internacional (FMI)</w:t>
      </w:r>
      <w:r>
        <w:rPr>
          <w:rStyle w:val="FootnoteReference"/>
          <w:rFonts w:ascii="Times New Roman" w:hAnsi="Times New Roman"/>
          <w:sz w:val="24"/>
          <w:szCs w:val="24"/>
          <w:lang w:val="pt-BR"/>
        </w:rPr>
        <w:footnoteReference w:id="5"/>
      </w:r>
      <w:r>
        <w:rPr>
          <w:rFonts w:ascii="Times New Roman" w:hAnsi="Times New Roman"/>
          <w:sz w:val="24"/>
          <w:szCs w:val="24"/>
          <w:lang w:val="pt-BR"/>
        </w:rPr>
        <w:t xml:space="preserve">. </w:t>
      </w:r>
      <w:r w:rsidRPr="0099159B">
        <w:rPr>
          <w:rFonts w:ascii="Times New Roman" w:hAnsi="Times New Roman"/>
          <w:sz w:val="24"/>
          <w:szCs w:val="24"/>
          <w:lang w:val="pt-BR"/>
        </w:rPr>
        <w:t xml:space="preserve">Entretanto, uma leitura mais acurada das experiências de regimes cambiais sugere que estas classificações oficiais falham muitas vezes em descrever as práticas dos países, e que o gap entre de </w:t>
      </w:r>
      <w:r w:rsidRPr="00A46E70">
        <w:rPr>
          <w:rFonts w:ascii="Times New Roman" w:hAnsi="Times New Roman"/>
          <w:i/>
          <w:sz w:val="24"/>
          <w:szCs w:val="24"/>
          <w:lang w:val="pt-BR"/>
        </w:rPr>
        <w:t>facto</w:t>
      </w:r>
      <w:r w:rsidRPr="0099159B">
        <w:rPr>
          <w:rFonts w:ascii="Times New Roman" w:hAnsi="Times New Roman"/>
          <w:sz w:val="24"/>
          <w:szCs w:val="24"/>
          <w:lang w:val="pt-BR"/>
        </w:rPr>
        <w:t xml:space="preserve"> e de </w:t>
      </w:r>
      <w:r w:rsidRPr="00A46E70">
        <w:rPr>
          <w:rFonts w:ascii="Times New Roman" w:hAnsi="Times New Roman"/>
          <w:i/>
          <w:sz w:val="24"/>
          <w:szCs w:val="24"/>
          <w:lang w:val="pt-BR"/>
        </w:rPr>
        <w:t>jure</w:t>
      </w:r>
      <w:r w:rsidRPr="0099159B">
        <w:rPr>
          <w:rFonts w:ascii="Times New Roman" w:hAnsi="Times New Roman"/>
          <w:sz w:val="24"/>
          <w:szCs w:val="24"/>
          <w:lang w:val="pt-BR"/>
        </w:rPr>
        <w:t xml:space="preserve"> pode ser extenso. </w:t>
      </w:r>
      <w:r>
        <w:rPr>
          <w:rFonts w:ascii="Times New Roman" w:hAnsi="Times New Roman"/>
          <w:sz w:val="24"/>
          <w:szCs w:val="24"/>
          <w:lang w:val="pt-BR"/>
        </w:rPr>
        <w:t>Muitas das</w:t>
      </w:r>
      <w:r w:rsidRPr="0099159B">
        <w:rPr>
          <w:rFonts w:ascii="Times New Roman" w:hAnsi="Times New Roman"/>
          <w:sz w:val="24"/>
          <w:szCs w:val="24"/>
          <w:lang w:val="pt-BR"/>
        </w:rPr>
        <w:t xml:space="preserve"> tentativas </w:t>
      </w:r>
      <w:r>
        <w:rPr>
          <w:rFonts w:ascii="Times New Roman" w:hAnsi="Times New Roman"/>
          <w:sz w:val="24"/>
          <w:szCs w:val="24"/>
          <w:lang w:val="pt-BR"/>
        </w:rPr>
        <w:t xml:space="preserve">de estudar o fluxo de capitais, entretanto, </w:t>
      </w:r>
      <w:r w:rsidRPr="0099159B">
        <w:rPr>
          <w:rFonts w:ascii="Times New Roman" w:hAnsi="Times New Roman"/>
          <w:sz w:val="24"/>
          <w:szCs w:val="24"/>
          <w:lang w:val="pt-BR"/>
        </w:rPr>
        <w:t>resultaram em índices binários de classificação da abertura. Uma grande limitação desses índices, entretanto, é de que não distinguem acuradamente entre diferentes intensidades de restrições de capitais.</w:t>
      </w:r>
      <w:r>
        <w:rPr>
          <w:rFonts w:ascii="Times New Roman" w:hAnsi="Times New Roman"/>
          <w:sz w:val="24"/>
          <w:szCs w:val="24"/>
          <w:lang w:val="pt-BR"/>
        </w:rPr>
        <w:t xml:space="preserve"> Por isso, utilizamos a série de integração financeira </w:t>
      </w:r>
      <w:r>
        <w:rPr>
          <w:rFonts w:ascii="Times New Roman" w:hAnsi="Times New Roman"/>
          <w:i/>
          <w:sz w:val="24"/>
          <w:szCs w:val="24"/>
          <w:lang w:val="pt-BR"/>
        </w:rPr>
        <w:t>KAOPEN</w:t>
      </w:r>
      <w:r>
        <w:rPr>
          <w:rFonts w:ascii="Times New Roman" w:hAnsi="Times New Roman"/>
          <w:sz w:val="24"/>
          <w:szCs w:val="24"/>
          <w:lang w:val="pt-BR"/>
        </w:rPr>
        <w:t xml:space="preserve"> de Chinn e Ito (2008). Esses autores também se mostram insatisfeitos com a incapacidade de bases de dados anteriores quantificarem a intensidade dos controles de capitais. Para eles, além de ser meramente uma variável binária, as categorias do </w:t>
      </w:r>
      <w:r>
        <w:rPr>
          <w:rFonts w:ascii="Times New Roman" w:hAnsi="Times New Roman"/>
          <w:i/>
          <w:sz w:val="24"/>
          <w:szCs w:val="24"/>
          <w:lang w:val="pt-BR"/>
        </w:rPr>
        <w:t>Annual Report on Exchange Arrangements and Exchange Restrictions</w:t>
      </w:r>
      <w:r>
        <w:rPr>
          <w:rFonts w:ascii="Times New Roman" w:hAnsi="Times New Roman"/>
          <w:sz w:val="24"/>
          <w:szCs w:val="24"/>
          <w:lang w:val="pt-BR"/>
        </w:rPr>
        <w:t xml:space="preserve"> do FMI é muito agregada para captar a sutileza envolvida em controles de capitais. Além disso, a distinção </w:t>
      </w:r>
      <w:r>
        <w:rPr>
          <w:rFonts w:ascii="Times New Roman" w:hAnsi="Times New Roman"/>
          <w:i/>
          <w:sz w:val="24"/>
          <w:szCs w:val="24"/>
          <w:lang w:val="pt-BR"/>
        </w:rPr>
        <w:t xml:space="preserve">de jure </w:t>
      </w:r>
      <w:r>
        <w:rPr>
          <w:rFonts w:ascii="Times New Roman" w:hAnsi="Times New Roman"/>
          <w:sz w:val="24"/>
          <w:szCs w:val="24"/>
          <w:lang w:val="pt-BR"/>
        </w:rPr>
        <w:t xml:space="preserve">e </w:t>
      </w:r>
      <w:r>
        <w:rPr>
          <w:rFonts w:ascii="Times New Roman" w:hAnsi="Times New Roman"/>
          <w:i/>
          <w:sz w:val="24"/>
          <w:szCs w:val="24"/>
          <w:lang w:val="pt-BR"/>
        </w:rPr>
        <w:t>de facto</w:t>
      </w:r>
      <w:r>
        <w:rPr>
          <w:rFonts w:ascii="Times New Roman" w:hAnsi="Times New Roman"/>
          <w:sz w:val="24"/>
          <w:szCs w:val="24"/>
          <w:lang w:val="pt-BR"/>
        </w:rPr>
        <w:t xml:space="preserve"> é bastante prejudicada nessas classificações oficiais. Muitas vezes, as políticas de controle de capitais são executadas sem metas políticas específicas para que haja controle do volume ou tipo de controle de capitais. De forma diversa, como aponta Edwards (1999), é muito comum que o setor privado circunscreva as restrições na conta de capitais, anulando o efeito esperado desses controles regulatórios. Por isso, uma classificação </w:t>
      </w:r>
      <w:r>
        <w:rPr>
          <w:rFonts w:ascii="Times New Roman" w:hAnsi="Times New Roman"/>
          <w:i/>
          <w:sz w:val="24"/>
          <w:szCs w:val="24"/>
          <w:lang w:val="pt-BR"/>
        </w:rPr>
        <w:t>de facto</w:t>
      </w:r>
      <w:r>
        <w:rPr>
          <w:rFonts w:ascii="Times New Roman" w:hAnsi="Times New Roman"/>
          <w:sz w:val="24"/>
          <w:szCs w:val="24"/>
          <w:lang w:val="pt-BR"/>
        </w:rPr>
        <w:t xml:space="preserve"> se torna crucial para entender como as medidas efetivamente afetam os fluxos comerciais e, para nossos propósitos, o câmbio real. </w:t>
      </w:r>
    </w:p>
    <w:p w:rsidR="00553639" w:rsidRDefault="00553639" w:rsidP="000C7D2F">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Dadas essas considerações, Chinn e Ito (2008) constroem uma base de dados com um índice, </w:t>
      </w:r>
      <w:r>
        <w:rPr>
          <w:rFonts w:ascii="Times New Roman" w:hAnsi="Times New Roman"/>
          <w:i/>
          <w:sz w:val="24"/>
          <w:szCs w:val="24"/>
          <w:lang w:val="pt-BR"/>
        </w:rPr>
        <w:t>KAOPEN</w:t>
      </w:r>
      <w:r>
        <w:rPr>
          <w:rFonts w:ascii="Times New Roman" w:hAnsi="Times New Roman"/>
          <w:sz w:val="24"/>
          <w:szCs w:val="24"/>
          <w:lang w:val="pt-BR"/>
        </w:rPr>
        <w:t xml:space="preserve">, que mede a extensão da abertura das transações na conta de capital. O índice cobre o período de 1970 a 2005, sendo utilizado a 2004 (o índice de Edwards vai até 2000). A construção de </w:t>
      </w:r>
      <w:r>
        <w:rPr>
          <w:rFonts w:ascii="Times New Roman" w:hAnsi="Times New Roman"/>
          <w:i/>
          <w:sz w:val="24"/>
          <w:szCs w:val="24"/>
          <w:lang w:val="pt-BR"/>
        </w:rPr>
        <w:t>KAOPEN</w:t>
      </w:r>
      <w:r>
        <w:rPr>
          <w:rFonts w:ascii="Times New Roman" w:hAnsi="Times New Roman"/>
          <w:sz w:val="24"/>
          <w:szCs w:val="24"/>
          <w:lang w:val="pt-BR"/>
        </w:rPr>
        <w:t xml:space="preserve"> é baseada nas variáveis binárias do </w:t>
      </w:r>
      <w:r>
        <w:rPr>
          <w:rFonts w:ascii="Times New Roman" w:hAnsi="Times New Roman"/>
          <w:i/>
          <w:sz w:val="24"/>
          <w:szCs w:val="24"/>
          <w:lang w:val="pt-BR"/>
        </w:rPr>
        <w:t>Annual Report on Exchange Arrangements and Exchange Restrictions</w:t>
      </w:r>
      <w:r>
        <w:rPr>
          <w:rFonts w:ascii="Times New Roman" w:hAnsi="Times New Roman"/>
          <w:sz w:val="24"/>
          <w:szCs w:val="24"/>
          <w:lang w:val="pt-BR"/>
        </w:rPr>
        <w:t>, com algumas modificações. Até 1996, os autores codificaram as variáveis para quatro categorias amplas de restrição nas contas externas, que são:</w:t>
      </w:r>
    </w:p>
    <w:p w:rsidR="00553639" w:rsidRDefault="00553639" w:rsidP="000C7D2F">
      <w:pPr>
        <w:pStyle w:val="ListParagraph"/>
        <w:numPr>
          <w:ilvl w:val="0"/>
          <w:numId w:val="9"/>
        </w:numPr>
        <w:tabs>
          <w:tab w:val="left" w:pos="720"/>
        </w:tabs>
        <w:spacing w:after="0" w:line="240" w:lineRule="auto"/>
        <w:jc w:val="both"/>
        <w:rPr>
          <w:rFonts w:ascii="Times New Roman" w:hAnsi="Times New Roman"/>
          <w:sz w:val="24"/>
          <w:szCs w:val="24"/>
          <w:lang w:val="pt-BR"/>
        </w:rPr>
      </w:pPr>
      <w:r>
        <w:rPr>
          <w:rFonts w:ascii="Times New Roman" w:hAnsi="Times New Roman"/>
          <w:sz w:val="24"/>
          <w:szCs w:val="24"/>
          <w:lang w:val="pt-BR"/>
        </w:rPr>
        <w:t>Variável que indicam a presença de múltiplas taxas de câmbio;</w:t>
      </w:r>
    </w:p>
    <w:p w:rsidR="00553639" w:rsidRDefault="00553639" w:rsidP="000C7D2F">
      <w:pPr>
        <w:pStyle w:val="ListParagraph"/>
        <w:numPr>
          <w:ilvl w:val="0"/>
          <w:numId w:val="9"/>
        </w:numPr>
        <w:tabs>
          <w:tab w:val="left" w:pos="720"/>
        </w:tabs>
        <w:spacing w:after="0" w:line="240" w:lineRule="auto"/>
        <w:jc w:val="both"/>
        <w:rPr>
          <w:rFonts w:ascii="Times New Roman" w:hAnsi="Times New Roman"/>
          <w:sz w:val="24"/>
          <w:szCs w:val="24"/>
          <w:lang w:val="pt-BR"/>
        </w:rPr>
      </w:pPr>
      <w:r>
        <w:rPr>
          <w:rFonts w:ascii="Times New Roman" w:hAnsi="Times New Roman"/>
          <w:sz w:val="24"/>
          <w:szCs w:val="24"/>
          <w:lang w:val="pt-BR"/>
        </w:rPr>
        <w:t>Variável que indicam a restrição na transação da conta corrente;</w:t>
      </w:r>
    </w:p>
    <w:p w:rsidR="00553639" w:rsidRDefault="00553639" w:rsidP="000C7D2F">
      <w:pPr>
        <w:pStyle w:val="ListParagraph"/>
        <w:numPr>
          <w:ilvl w:val="0"/>
          <w:numId w:val="9"/>
        </w:numPr>
        <w:tabs>
          <w:tab w:val="left" w:pos="720"/>
        </w:tabs>
        <w:spacing w:after="0" w:line="240" w:lineRule="auto"/>
        <w:jc w:val="both"/>
        <w:rPr>
          <w:rFonts w:ascii="Times New Roman" w:hAnsi="Times New Roman"/>
          <w:sz w:val="24"/>
          <w:szCs w:val="24"/>
          <w:lang w:val="pt-BR"/>
        </w:rPr>
      </w:pPr>
      <w:r>
        <w:rPr>
          <w:rFonts w:ascii="Times New Roman" w:hAnsi="Times New Roman"/>
          <w:sz w:val="24"/>
          <w:szCs w:val="24"/>
          <w:lang w:val="pt-BR"/>
        </w:rPr>
        <w:t>Variável que indicam a restrição na conta de capitais;</w:t>
      </w:r>
    </w:p>
    <w:p w:rsidR="00553639" w:rsidRDefault="00553639" w:rsidP="000C7D2F">
      <w:pPr>
        <w:pStyle w:val="ListParagraph"/>
        <w:numPr>
          <w:ilvl w:val="0"/>
          <w:numId w:val="9"/>
        </w:numPr>
        <w:tabs>
          <w:tab w:val="left" w:pos="720"/>
        </w:tabs>
        <w:spacing w:after="0" w:line="240" w:lineRule="auto"/>
        <w:jc w:val="both"/>
        <w:rPr>
          <w:rFonts w:ascii="Times New Roman" w:hAnsi="Times New Roman"/>
          <w:sz w:val="24"/>
          <w:szCs w:val="24"/>
          <w:lang w:val="pt-BR"/>
        </w:rPr>
      </w:pPr>
      <w:r>
        <w:rPr>
          <w:rFonts w:ascii="Times New Roman" w:hAnsi="Times New Roman"/>
          <w:sz w:val="24"/>
          <w:szCs w:val="24"/>
          <w:lang w:val="pt-BR"/>
        </w:rPr>
        <w:t>Variável que indicam requerimento de procedimentos para exportação.</w:t>
      </w:r>
    </w:p>
    <w:p w:rsidR="00553639" w:rsidRPr="009279D4" w:rsidRDefault="00553639" w:rsidP="000C7D2F">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Em 1996, a classificação do FMI mudou e Chinn e Ito desagregaram essas quatro categorias mais ainda num esforço para captar melhor a complexidade das políticas de controle de capitais. A partir de 1996, os autores seguiram os procedimentos de Mody e Murshid (2005).</w:t>
      </w:r>
    </w:p>
    <w:p w:rsidR="00553639" w:rsidRDefault="00553639" w:rsidP="000C7D2F">
      <w:pPr>
        <w:tabs>
          <w:tab w:val="left" w:pos="720"/>
          <w:tab w:val="left" w:pos="9270"/>
        </w:tabs>
        <w:spacing w:after="0" w:line="240" w:lineRule="auto"/>
        <w:jc w:val="both"/>
        <w:rPr>
          <w:rFonts w:ascii="Times New Roman" w:hAnsi="Times New Roman"/>
          <w:sz w:val="24"/>
          <w:szCs w:val="24"/>
          <w:lang w:val="pt-BR"/>
        </w:rPr>
      </w:pPr>
    </w:p>
    <w:p w:rsidR="00553639" w:rsidRDefault="00553639" w:rsidP="00A63B07">
      <w:pPr>
        <w:tabs>
          <w:tab w:val="left" w:pos="720"/>
        </w:tabs>
        <w:spacing w:after="0" w:line="240" w:lineRule="auto"/>
        <w:jc w:val="both"/>
        <w:rPr>
          <w:rFonts w:ascii="Times New Roman" w:hAnsi="Times New Roman"/>
          <w:b/>
          <w:sz w:val="24"/>
          <w:szCs w:val="24"/>
          <w:lang w:val="pt-BR"/>
        </w:rPr>
      </w:pPr>
      <w:r w:rsidRPr="00A63B07">
        <w:rPr>
          <w:rFonts w:ascii="Times New Roman" w:hAnsi="Times New Roman"/>
          <w:b/>
          <w:sz w:val="24"/>
          <w:szCs w:val="24"/>
          <w:lang w:val="pt-BR"/>
        </w:rPr>
        <w:t>5. Modelo Econométrico</w:t>
      </w:r>
    </w:p>
    <w:p w:rsidR="00553639" w:rsidRPr="00A63B07" w:rsidRDefault="00553639" w:rsidP="00A63B07">
      <w:pPr>
        <w:tabs>
          <w:tab w:val="left" w:pos="720"/>
        </w:tabs>
        <w:spacing w:after="0" w:line="240" w:lineRule="auto"/>
        <w:jc w:val="both"/>
        <w:rPr>
          <w:rFonts w:ascii="Times New Roman" w:hAnsi="Times New Roman"/>
          <w:b/>
          <w:sz w:val="24"/>
          <w:szCs w:val="24"/>
          <w:lang w:val="pt-BR"/>
        </w:rPr>
      </w:pPr>
    </w:p>
    <w:p w:rsidR="00553639" w:rsidRPr="00B5130D" w:rsidRDefault="00553639" w:rsidP="000C7D2F">
      <w:pPr>
        <w:tabs>
          <w:tab w:val="left" w:pos="720"/>
        </w:tabs>
        <w:spacing w:after="0" w:line="240" w:lineRule="auto"/>
        <w:jc w:val="both"/>
        <w:rPr>
          <w:rFonts w:ascii="Times New Roman" w:hAnsi="Times New Roman"/>
          <w:i/>
          <w:sz w:val="24"/>
          <w:szCs w:val="24"/>
          <w:lang w:val="pt-BR"/>
        </w:rPr>
      </w:pPr>
      <w:r w:rsidRPr="00B5130D">
        <w:rPr>
          <w:rFonts w:ascii="Times New Roman" w:hAnsi="Times New Roman"/>
          <w:i/>
          <w:sz w:val="24"/>
          <w:szCs w:val="24"/>
          <w:lang w:val="pt-BR"/>
        </w:rPr>
        <w:t xml:space="preserve"> </w:t>
      </w:r>
      <w:r>
        <w:rPr>
          <w:rFonts w:ascii="Times New Roman" w:hAnsi="Times New Roman"/>
          <w:i/>
          <w:sz w:val="24"/>
          <w:szCs w:val="24"/>
          <w:lang w:val="pt-BR"/>
        </w:rPr>
        <w:t xml:space="preserve">5.1 </w:t>
      </w:r>
      <w:r w:rsidRPr="00B5130D">
        <w:rPr>
          <w:rFonts w:ascii="Times New Roman" w:hAnsi="Times New Roman"/>
          <w:i/>
          <w:sz w:val="24"/>
          <w:szCs w:val="24"/>
          <w:lang w:val="pt-BR"/>
        </w:rPr>
        <w:t>Testes de raiz unitária e especificação do modelo.</w:t>
      </w:r>
    </w:p>
    <w:p w:rsidR="00553639" w:rsidRDefault="00553639" w:rsidP="000C7D2F">
      <w:pPr>
        <w:tabs>
          <w:tab w:val="left" w:pos="720"/>
          <w:tab w:val="left" w:pos="9270"/>
        </w:tabs>
        <w:spacing w:after="0" w:line="240" w:lineRule="auto"/>
        <w:ind w:firstLine="720"/>
        <w:jc w:val="both"/>
        <w:rPr>
          <w:rFonts w:ascii="Times New Roman" w:hAnsi="Times New Roman"/>
          <w:sz w:val="24"/>
          <w:szCs w:val="24"/>
          <w:lang w:val="pt-BR"/>
        </w:rPr>
      </w:pPr>
    </w:p>
    <w:p w:rsidR="00553639" w:rsidRDefault="00553639" w:rsidP="000C7D2F">
      <w:pPr>
        <w:tabs>
          <w:tab w:val="left" w:pos="720"/>
          <w:tab w:val="left" w:pos="927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Para examinar os determinantes do desalinhamento utilizamos uma amostra de 102 países no período de 1970-2004. Os detalhes a respeito da amostra utilizada estão no Apêndice I. Nossa amostra total cobre cerca de 90% do Produto Nacional Bruto, em valores de 2005. Os países selecionados tiveram nesse período experiência suficiente de mudanças de regimes cambiais e alterações no controle da conta de capital para que a amostra que compõe o painel seja rica de informações para o experimento. </w:t>
      </w:r>
    </w:p>
    <w:p w:rsidR="00553639" w:rsidRDefault="00553639" w:rsidP="00041D94">
      <w:pPr>
        <w:tabs>
          <w:tab w:val="left" w:pos="720"/>
          <w:tab w:val="left" w:pos="9270"/>
        </w:tabs>
        <w:spacing w:after="0" w:line="240" w:lineRule="auto"/>
        <w:ind w:firstLine="720"/>
        <w:jc w:val="both"/>
        <w:rPr>
          <w:rFonts w:ascii="Times New Roman" w:hAnsi="Times New Roman"/>
          <w:b/>
          <w:sz w:val="24"/>
          <w:szCs w:val="24"/>
          <w:lang w:val="pt-BR"/>
        </w:rPr>
      </w:pPr>
      <w:r w:rsidRPr="00635FFF">
        <w:rPr>
          <w:rFonts w:ascii="Times New Roman" w:hAnsi="Times New Roman"/>
          <w:sz w:val="24"/>
          <w:szCs w:val="24"/>
          <w:lang w:val="pt-BR"/>
        </w:rPr>
        <w:t>Os componentes que estão na equação de determinação de longo prazo cointegrada são aqueles que possuem raiz unitária e</w:t>
      </w:r>
      <w:r>
        <w:rPr>
          <w:rFonts w:ascii="Times New Roman" w:hAnsi="Times New Roman"/>
          <w:sz w:val="24"/>
          <w:szCs w:val="24"/>
          <w:lang w:val="pt-BR"/>
        </w:rPr>
        <w:t xml:space="preserve"> passaram no teste de cointegração</w:t>
      </w:r>
      <w:r w:rsidRPr="00635FFF">
        <w:rPr>
          <w:rFonts w:ascii="Times New Roman" w:hAnsi="Times New Roman"/>
          <w:sz w:val="24"/>
          <w:szCs w:val="24"/>
          <w:lang w:val="pt-BR"/>
        </w:rPr>
        <w:t xml:space="preserve"> em painel de Pedroni. A idéia é de que estes componentes são fundamentos </w:t>
      </w:r>
      <w:r w:rsidRPr="00CF2103">
        <w:rPr>
          <w:rFonts w:ascii="Times New Roman" w:hAnsi="Times New Roman"/>
          <w:i/>
          <w:sz w:val="24"/>
          <w:szCs w:val="24"/>
          <w:lang w:val="pt-BR"/>
        </w:rPr>
        <w:t>que determinam no longo prazo o comportamento da taxa de câmbio, não determinando trajetórias transitórias para esta taxa</w:t>
      </w:r>
      <w:r w:rsidRPr="00635FFF">
        <w:rPr>
          <w:rFonts w:ascii="Times New Roman" w:hAnsi="Times New Roman"/>
          <w:sz w:val="24"/>
          <w:szCs w:val="24"/>
          <w:lang w:val="pt-BR"/>
        </w:rPr>
        <w:t>. Já os componentes elencados na equação de determinação do alinhamento do câmbio à sua trajetória de longo prazo</w:t>
      </w:r>
      <w:r>
        <w:rPr>
          <w:rFonts w:ascii="Times New Roman" w:hAnsi="Times New Roman"/>
          <w:sz w:val="24"/>
          <w:szCs w:val="24"/>
          <w:lang w:val="pt-BR"/>
        </w:rPr>
        <w:t>, na seção posterior,</w:t>
      </w:r>
      <w:r w:rsidRPr="00635FFF">
        <w:rPr>
          <w:rFonts w:ascii="Times New Roman" w:hAnsi="Times New Roman"/>
          <w:sz w:val="24"/>
          <w:szCs w:val="24"/>
          <w:lang w:val="pt-BR"/>
        </w:rPr>
        <w:t xml:space="preserve"> são aqueles de </w:t>
      </w:r>
      <w:r w:rsidRPr="00AB0277">
        <w:rPr>
          <w:rFonts w:ascii="Times New Roman" w:hAnsi="Times New Roman"/>
          <w:i/>
          <w:sz w:val="24"/>
          <w:szCs w:val="24"/>
          <w:lang w:val="pt-BR"/>
        </w:rPr>
        <w:t>natureza de ajuste transitória</w:t>
      </w:r>
      <w:r w:rsidRPr="00635FFF">
        <w:rPr>
          <w:rFonts w:ascii="Times New Roman" w:hAnsi="Times New Roman"/>
          <w:sz w:val="24"/>
          <w:szCs w:val="24"/>
          <w:lang w:val="pt-BR"/>
        </w:rPr>
        <w:t xml:space="preserve">; são estacionários e, por isso, não perfazem com a REER uma cointegração estatisticamente significante. Nesse caso, é </w:t>
      </w:r>
      <w:r>
        <w:rPr>
          <w:rFonts w:ascii="Times New Roman" w:hAnsi="Times New Roman"/>
          <w:sz w:val="24"/>
          <w:szCs w:val="24"/>
          <w:lang w:val="pt-BR"/>
        </w:rPr>
        <w:t>notável</w:t>
      </w:r>
      <w:r w:rsidRPr="00635FFF">
        <w:rPr>
          <w:rFonts w:ascii="Times New Roman" w:hAnsi="Times New Roman"/>
          <w:sz w:val="24"/>
          <w:szCs w:val="24"/>
          <w:lang w:val="pt-BR"/>
        </w:rPr>
        <w:t xml:space="preserve"> que a variável ‘</w:t>
      </w:r>
      <w:r w:rsidRPr="00AB0277">
        <w:rPr>
          <w:rFonts w:ascii="Times New Roman" w:hAnsi="Times New Roman"/>
          <w:i/>
          <w:sz w:val="24"/>
          <w:szCs w:val="24"/>
          <w:lang w:val="pt-BR"/>
        </w:rPr>
        <w:t>Termos de Troca’</w:t>
      </w:r>
      <w:r w:rsidRPr="00635FFF">
        <w:rPr>
          <w:rFonts w:ascii="Times New Roman" w:hAnsi="Times New Roman"/>
          <w:sz w:val="24"/>
          <w:szCs w:val="24"/>
          <w:lang w:val="pt-BR"/>
        </w:rPr>
        <w:t xml:space="preserve"> não faça parte da equação de determinação do câmbio no longo prazo</w:t>
      </w:r>
      <w:r>
        <w:rPr>
          <w:rFonts w:ascii="Times New Roman" w:hAnsi="Times New Roman"/>
          <w:sz w:val="24"/>
          <w:szCs w:val="24"/>
          <w:lang w:val="pt-BR"/>
        </w:rPr>
        <w:t>, ou “</w:t>
      </w:r>
      <w:r>
        <w:rPr>
          <w:rFonts w:ascii="Times New Roman" w:hAnsi="Times New Roman"/>
          <w:i/>
          <w:sz w:val="24"/>
          <w:szCs w:val="24"/>
          <w:lang w:val="pt-BR"/>
        </w:rPr>
        <w:t>Inflação Relativa”</w:t>
      </w:r>
      <w:r w:rsidRPr="00635FFF">
        <w:rPr>
          <w:rFonts w:ascii="Times New Roman" w:hAnsi="Times New Roman"/>
          <w:sz w:val="24"/>
          <w:szCs w:val="24"/>
          <w:lang w:val="pt-BR"/>
        </w:rPr>
        <w:t>; todavia, para a amostra em questão, esta variável se mostrou estacionária</w:t>
      </w:r>
      <w:r>
        <w:rPr>
          <w:rFonts w:ascii="Times New Roman" w:hAnsi="Times New Roman"/>
          <w:sz w:val="24"/>
          <w:szCs w:val="24"/>
          <w:lang w:val="pt-BR"/>
        </w:rPr>
        <w:t xml:space="preserve"> estatisticamente. Configura,</w:t>
      </w:r>
      <w:r w:rsidRPr="00635FFF">
        <w:rPr>
          <w:rFonts w:ascii="Times New Roman" w:hAnsi="Times New Roman"/>
          <w:sz w:val="24"/>
          <w:szCs w:val="24"/>
          <w:lang w:val="pt-BR"/>
        </w:rPr>
        <w:t xml:space="preserve"> portanto</w:t>
      </w:r>
      <w:r>
        <w:rPr>
          <w:rFonts w:ascii="Times New Roman" w:hAnsi="Times New Roman"/>
          <w:sz w:val="24"/>
          <w:szCs w:val="24"/>
          <w:lang w:val="pt-BR"/>
        </w:rPr>
        <w:t>, um elemento de natureza mais</w:t>
      </w:r>
      <w:r w:rsidRPr="00635FFF">
        <w:rPr>
          <w:rFonts w:ascii="Times New Roman" w:hAnsi="Times New Roman"/>
          <w:sz w:val="24"/>
          <w:szCs w:val="24"/>
          <w:lang w:val="pt-BR"/>
        </w:rPr>
        <w:t xml:space="preserve"> transitória</w:t>
      </w:r>
      <w:r>
        <w:rPr>
          <w:rFonts w:ascii="Times New Roman" w:hAnsi="Times New Roman"/>
          <w:sz w:val="24"/>
          <w:szCs w:val="24"/>
          <w:lang w:val="pt-BR"/>
        </w:rPr>
        <w:t xml:space="preserve"> do que os outros componentes</w:t>
      </w:r>
      <w:r w:rsidRPr="00635FFF">
        <w:rPr>
          <w:rFonts w:ascii="Times New Roman" w:hAnsi="Times New Roman"/>
          <w:sz w:val="24"/>
          <w:szCs w:val="24"/>
          <w:lang w:val="pt-BR"/>
        </w:rPr>
        <w:t xml:space="preserve"> da determinação do câmbio</w:t>
      </w:r>
      <w:r>
        <w:rPr>
          <w:rFonts w:ascii="Times New Roman" w:hAnsi="Times New Roman"/>
          <w:sz w:val="24"/>
          <w:szCs w:val="24"/>
          <w:lang w:val="pt-BR"/>
        </w:rPr>
        <w:t xml:space="preserve"> de longo prazo comumente apontadas nos modelos teóricos</w:t>
      </w:r>
      <w:r w:rsidRPr="00635FFF">
        <w:rPr>
          <w:rFonts w:ascii="Times New Roman" w:hAnsi="Times New Roman"/>
          <w:sz w:val="24"/>
          <w:szCs w:val="24"/>
          <w:lang w:val="pt-BR"/>
        </w:rPr>
        <w:t xml:space="preserve"> como Ativos Est</w:t>
      </w:r>
      <w:r>
        <w:rPr>
          <w:rFonts w:ascii="Times New Roman" w:hAnsi="Times New Roman"/>
          <w:sz w:val="24"/>
          <w:szCs w:val="24"/>
          <w:lang w:val="pt-BR"/>
        </w:rPr>
        <w:t>rangeiros Líquidos, por exemplo, variável integrada de ordem I(1). A Tabela 1 detalha os testes de raiz unitário feitos sobre as séries de importância.</w:t>
      </w:r>
      <w:r w:rsidRPr="00635FFF">
        <w:rPr>
          <w:rFonts w:ascii="Times New Roman" w:hAnsi="Times New Roman"/>
          <w:sz w:val="24"/>
          <w:szCs w:val="24"/>
          <w:lang w:val="pt-BR"/>
        </w:rPr>
        <w:t xml:space="preserve"> </w:t>
      </w:r>
      <w:r>
        <w:rPr>
          <w:rFonts w:ascii="Times New Roman" w:hAnsi="Times New Roman"/>
          <w:sz w:val="24"/>
          <w:szCs w:val="24"/>
          <w:lang w:val="pt-BR"/>
        </w:rPr>
        <w:t xml:space="preserve">As variáveis tais como termos de troca e inflação relativa, que fazem parte dos modelos de determinação de câmbio, mas não são integradas, foram utilizadas como variáveis de controle na equação que explica os desalinhamentos cambiais, na seção posterior. As demais séries utilizadas para compor os painéis </w:t>
      </w:r>
      <w:r>
        <w:rPr>
          <w:rFonts w:ascii="Times New Roman" w:hAnsi="Times New Roman"/>
          <w:i/>
          <w:sz w:val="24"/>
          <w:szCs w:val="24"/>
          <w:lang w:val="pt-BR"/>
        </w:rPr>
        <w:t>System-</w:t>
      </w:r>
      <w:r>
        <w:rPr>
          <w:rFonts w:ascii="Times New Roman" w:hAnsi="Times New Roman"/>
          <w:sz w:val="24"/>
          <w:szCs w:val="24"/>
          <w:lang w:val="pt-BR"/>
        </w:rPr>
        <w:t xml:space="preserve">GMM se revelaram todas estacionárias em nível; os resultados dos testes em nível foram omitidos da exposição por </w:t>
      </w:r>
      <w:r w:rsidRPr="000C7D2F">
        <w:rPr>
          <w:rFonts w:ascii="Times New Roman" w:hAnsi="Times New Roman"/>
          <w:sz w:val="24"/>
          <w:szCs w:val="24"/>
          <w:lang w:val="pt-BR"/>
        </w:rPr>
        <w:t>conveniência e espaço, podendo ser obtidas diretamente com os autores.</w:t>
      </w:r>
    </w:p>
    <w:p w:rsidR="00553639" w:rsidRDefault="00553639" w:rsidP="000C7D2F">
      <w:pPr>
        <w:tabs>
          <w:tab w:val="left" w:pos="720"/>
        </w:tabs>
        <w:spacing w:after="0" w:line="240" w:lineRule="auto"/>
        <w:ind w:firstLine="720"/>
        <w:jc w:val="center"/>
        <w:rPr>
          <w:rFonts w:ascii="Times New Roman" w:hAnsi="Times New Roman"/>
          <w:b/>
          <w:sz w:val="24"/>
          <w:szCs w:val="24"/>
          <w:lang w:val="pt-BR"/>
        </w:rPr>
      </w:pPr>
    </w:p>
    <w:p w:rsidR="00553639" w:rsidRPr="000C7D2F" w:rsidRDefault="00553639" w:rsidP="000C7D2F">
      <w:pPr>
        <w:tabs>
          <w:tab w:val="left" w:pos="720"/>
        </w:tabs>
        <w:spacing w:after="0" w:line="240" w:lineRule="auto"/>
        <w:ind w:firstLine="720"/>
        <w:jc w:val="center"/>
        <w:rPr>
          <w:rFonts w:ascii="Times New Roman" w:hAnsi="Times New Roman"/>
          <w:b/>
          <w:sz w:val="24"/>
          <w:szCs w:val="24"/>
          <w:lang w:val="pt-BR"/>
        </w:rPr>
      </w:pPr>
      <w:r w:rsidRPr="000C7D2F">
        <w:rPr>
          <w:rFonts w:ascii="Times New Roman" w:hAnsi="Times New Roman"/>
          <w:b/>
          <w:sz w:val="24"/>
          <w:szCs w:val="24"/>
          <w:lang w:val="pt-BR"/>
        </w:rPr>
        <w:t>Tabela 1 –Testes de Raiz Unitária para as Séries Utilizadas no Painel Cointegrado</w:t>
      </w:r>
    </w:p>
    <w:p w:rsidR="00553639" w:rsidRPr="000C7D2F" w:rsidRDefault="00553639" w:rsidP="000C7D2F">
      <w:pPr>
        <w:tabs>
          <w:tab w:val="left" w:pos="720"/>
        </w:tabs>
        <w:spacing w:after="0" w:line="240" w:lineRule="auto"/>
        <w:ind w:firstLine="720"/>
        <w:jc w:val="center"/>
        <w:rPr>
          <w:rFonts w:ascii="Times New Roman" w:hAnsi="Times New Roman"/>
          <w:b/>
          <w:sz w:val="24"/>
          <w:szCs w:val="24"/>
          <w:lang w:val="pt-BR"/>
        </w:rPr>
      </w:pPr>
    </w:p>
    <w:tbl>
      <w:tblPr>
        <w:tblW w:w="9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3"/>
        <w:gridCol w:w="1541"/>
        <w:gridCol w:w="1105"/>
        <w:gridCol w:w="1515"/>
        <w:gridCol w:w="1908"/>
      </w:tblGrid>
      <w:tr w:rsidR="00553639" w:rsidRPr="000C7D2F" w:rsidTr="000C7D2F">
        <w:trPr>
          <w:trHeight w:val="468"/>
        </w:trPr>
        <w:tc>
          <w:tcPr>
            <w:tcW w:w="3604" w:type="dxa"/>
          </w:tcPr>
          <w:p w:rsidR="00553639" w:rsidRPr="000C7D2F" w:rsidRDefault="00553639" w:rsidP="000C7D2F">
            <w:pPr>
              <w:tabs>
                <w:tab w:val="left" w:pos="720"/>
              </w:tabs>
              <w:autoSpaceDE w:val="0"/>
              <w:autoSpaceDN w:val="0"/>
              <w:adjustRightInd w:val="0"/>
              <w:spacing w:after="0" w:line="240" w:lineRule="auto"/>
              <w:rPr>
                <w:rFonts w:ascii="Times New Roman" w:hAnsi="Times New Roman"/>
                <w:i/>
                <w:sz w:val="20"/>
                <w:szCs w:val="20"/>
                <w:lang w:val="pt-BR"/>
              </w:rPr>
            </w:pPr>
            <w:r w:rsidRPr="000C7D2F">
              <w:rPr>
                <w:rFonts w:ascii="Times New Roman" w:hAnsi="Times New Roman"/>
                <w:i/>
                <w:sz w:val="20"/>
                <w:szCs w:val="20"/>
                <w:lang w:val="pt-BR"/>
              </w:rPr>
              <w:t>Nula: Raiz Unitária</w:t>
            </w:r>
          </w:p>
        </w:tc>
        <w:tc>
          <w:tcPr>
            <w:tcW w:w="1558"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lnREER I(1)</w:t>
            </w:r>
          </w:p>
        </w:tc>
        <w:tc>
          <w:tcPr>
            <w:tcW w:w="993"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NFA/GDP I(1)</w:t>
            </w:r>
          </w:p>
        </w:tc>
        <w:tc>
          <w:tcPr>
            <w:tcW w:w="152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Abertura Comercial I(1)</w:t>
            </w:r>
          </w:p>
        </w:tc>
        <w:tc>
          <w:tcPr>
            <w:tcW w:w="1921"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Produtividade</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Relativa I(1)</w:t>
            </w:r>
          </w:p>
        </w:tc>
      </w:tr>
      <w:tr w:rsidR="00553639" w:rsidRPr="000C7D2F" w:rsidTr="000C7D2F">
        <w:trPr>
          <w:trHeight w:val="468"/>
        </w:trPr>
        <w:tc>
          <w:tcPr>
            <w:tcW w:w="3604" w:type="dxa"/>
          </w:tcPr>
          <w:p w:rsidR="00553639" w:rsidRPr="000C7D2F" w:rsidRDefault="00553639" w:rsidP="000C7D2F">
            <w:pPr>
              <w:tabs>
                <w:tab w:val="left" w:pos="720"/>
              </w:tabs>
              <w:autoSpaceDE w:val="0"/>
              <w:autoSpaceDN w:val="0"/>
              <w:adjustRightInd w:val="0"/>
              <w:spacing w:after="0" w:line="240" w:lineRule="auto"/>
              <w:rPr>
                <w:rFonts w:ascii="Times New Roman" w:hAnsi="Times New Roman"/>
                <w:sz w:val="20"/>
                <w:szCs w:val="20"/>
                <w:lang w:val="pt-BR"/>
              </w:rPr>
            </w:pPr>
            <w:r w:rsidRPr="000C7D2F">
              <w:rPr>
                <w:rFonts w:ascii="Times New Roman" w:hAnsi="Times New Roman"/>
                <w:sz w:val="20"/>
                <w:szCs w:val="20"/>
                <w:lang w:val="pt-BR"/>
              </w:rPr>
              <w:t>Teste Levin, Lin &amp; Chu</w:t>
            </w:r>
          </w:p>
        </w:tc>
        <w:tc>
          <w:tcPr>
            <w:tcW w:w="1558"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-1,14838</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(0,1254)</w:t>
            </w:r>
          </w:p>
        </w:tc>
        <w:tc>
          <w:tcPr>
            <w:tcW w:w="993"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 0,14957</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(0,5594)</w:t>
            </w:r>
          </w:p>
        </w:tc>
        <w:tc>
          <w:tcPr>
            <w:tcW w:w="152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 2,75325</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(0,9970)</w:t>
            </w:r>
          </w:p>
        </w:tc>
        <w:tc>
          <w:tcPr>
            <w:tcW w:w="1921"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-2,32547</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 (0,0100)</w:t>
            </w:r>
          </w:p>
        </w:tc>
      </w:tr>
      <w:tr w:rsidR="00553639" w:rsidRPr="000C7D2F" w:rsidTr="000C7D2F">
        <w:trPr>
          <w:trHeight w:val="468"/>
        </w:trPr>
        <w:tc>
          <w:tcPr>
            <w:tcW w:w="3604" w:type="dxa"/>
          </w:tcPr>
          <w:p w:rsidR="00553639" w:rsidRPr="000C7D2F" w:rsidRDefault="00553639" w:rsidP="000C7D2F">
            <w:pPr>
              <w:tabs>
                <w:tab w:val="left" w:pos="720"/>
              </w:tabs>
              <w:autoSpaceDE w:val="0"/>
              <w:autoSpaceDN w:val="0"/>
              <w:adjustRightInd w:val="0"/>
              <w:spacing w:after="0" w:line="240" w:lineRule="auto"/>
              <w:rPr>
                <w:rFonts w:ascii="Times New Roman" w:hAnsi="Times New Roman"/>
                <w:sz w:val="20"/>
                <w:szCs w:val="20"/>
                <w:lang w:val="pt-BR"/>
              </w:rPr>
            </w:pPr>
            <w:r w:rsidRPr="000C7D2F">
              <w:rPr>
                <w:rFonts w:ascii="Times New Roman" w:hAnsi="Times New Roman"/>
                <w:sz w:val="20"/>
                <w:szCs w:val="20"/>
                <w:lang w:val="pt-BR"/>
              </w:rPr>
              <w:t>Breitung t-stat</w:t>
            </w:r>
          </w:p>
        </w:tc>
        <w:tc>
          <w:tcPr>
            <w:tcW w:w="1558"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-1,14163</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 (0,1268)</w:t>
            </w:r>
          </w:p>
        </w:tc>
        <w:tc>
          <w:tcPr>
            <w:tcW w:w="993"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 5,43283</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 (1,0000)</w:t>
            </w:r>
          </w:p>
        </w:tc>
        <w:tc>
          <w:tcPr>
            <w:tcW w:w="152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  8,25170</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(1,0000)</w:t>
            </w:r>
          </w:p>
        </w:tc>
        <w:tc>
          <w:tcPr>
            <w:tcW w:w="1921"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 8,32312</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(1,0000)</w:t>
            </w:r>
          </w:p>
        </w:tc>
      </w:tr>
      <w:tr w:rsidR="00553639" w:rsidRPr="000C7D2F" w:rsidTr="000C7D2F">
        <w:trPr>
          <w:trHeight w:val="468"/>
        </w:trPr>
        <w:tc>
          <w:tcPr>
            <w:tcW w:w="3604" w:type="dxa"/>
          </w:tcPr>
          <w:p w:rsidR="00553639" w:rsidRPr="000C7D2F" w:rsidRDefault="00553639" w:rsidP="000C7D2F">
            <w:pPr>
              <w:tabs>
                <w:tab w:val="left" w:pos="720"/>
              </w:tabs>
              <w:autoSpaceDE w:val="0"/>
              <w:autoSpaceDN w:val="0"/>
              <w:adjustRightInd w:val="0"/>
              <w:spacing w:after="0" w:line="240" w:lineRule="auto"/>
              <w:rPr>
                <w:rFonts w:ascii="Times New Roman" w:hAnsi="Times New Roman"/>
                <w:sz w:val="20"/>
                <w:szCs w:val="20"/>
                <w:lang w:val="pt-BR"/>
              </w:rPr>
            </w:pPr>
            <w:r w:rsidRPr="000C7D2F">
              <w:rPr>
                <w:rFonts w:ascii="Times New Roman" w:hAnsi="Times New Roman"/>
                <w:sz w:val="20"/>
                <w:szCs w:val="20"/>
                <w:lang w:val="pt-BR"/>
              </w:rPr>
              <w:t>Im, Pesaran e Shin W-stat</w:t>
            </w:r>
          </w:p>
        </w:tc>
        <w:tc>
          <w:tcPr>
            <w:tcW w:w="1558"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-0,85091</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 (0,1974)</w:t>
            </w:r>
          </w:p>
        </w:tc>
        <w:tc>
          <w:tcPr>
            <w:tcW w:w="993"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1,55362</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(0,9399)</w:t>
            </w:r>
          </w:p>
        </w:tc>
        <w:tc>
          <w:tcPr>
            <w:tcW w:w="152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0,20736</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(0,5821)</w:t>
            </w:r>
          </w:p>
        </w:tc>
        <w:tc>
          <w:tcPr>
            <w:tcW w:w="1921"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 1,27991</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 (0,8997)</w:t>
            </w:r>
          </w:p>
        </w:tc>
      </w:tr>
      <w:tr w:rsidR="00553639" w:rsidRPr="000C7D2F" w:rsidTr="000C7D2F">
        <w:trPr>
          <w:trHeight w:val="468"/>
        </w:trPr>
        <w:tc>
          <w:tcPr>
            <w:tcW w:w="3604" w:type="dxa"/>
          </w:tcPr>
          <w:p w:rsidR="00553639" w:rsidRPr="000C7D2F" w:rsidRDefault="00553639" w:rsidP="000C7D2F">
            <w:pPr>
              <w:tabs>
                <w:tab w:val="left" w:pos="720"/>
              </w:tabs>
              <w:autoSpaceDE w:val="0"/>
              <w:autoSpaceDN w:val="0"/>
              <w:adjustRightInd w:val="0"/>
              <w:spacing w:after="0" w:line="240" w:lineRule="auto"/>
              <w:rPr>
                <w:rFonts w:ascii="Times New Roman" w:hAnsi="Times New Roman"/>
                <w:sz w:val="20"/>
                <w:szCs w:val="20"/>
                <w:lang w:val="pt-BR"/>
              </w:rPr>
            </w:pPr>
            <w:r w:rsidRPr="000C7D2F">
              <w:rPr>
                <w:rFonts w:ascii="Times New Roman" w:hAnsi="Times New Roman"/>
                <w:sz w:val="20"/>
                <w:szCs w:val="20"/>
                <w:lang w:val="pt-BR"/>
              </w:rPr>
              <w:t>ADF – Fisher Qui-Quadrado</w:t>
            </w:r>
          </w:p>
        </w:tc>
        <w:tc>
          <w:tcPr>
            <w:tcW w:w="1558"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278,591</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(0,1807)</w:t>
            </w:r>
          </w:p>
        </w:tc>
        <w:tc>
          <w:tcPr>
            <w:tcW w:w="993"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 415,913</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 (0,0000)</w:t>
            </w:r>
          </w:p>
        </w:tc>
        <w:tc>
          <w:tcPr>
            <w:tcW w:w="152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 532,060</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(0,0000)</w:t>
            </w:r>
          </w:p>
        </w:tc>
        <w:tc>
          <w:tcPr>
            <w:tcW w:w="1921"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389,692</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 (0,2537)</w:t>
            </w:r>
          </w:p>
        </w:tc>
      </w:tr>
      <w:tr w:rsidR="00553639" w:rsidRPr="000C7D2F" w:rsidTr="000C7D2F">
        <w:trPr>
          <w:trHeight w:val="468"/>
        </w:trPr>
        <w:tc>
          <w:tcPr>
            <w:tcW w:w="3604" w:type="dxa"/>
          </w:tcPr>
          <w:p w:rsidR="00553639" w:rsidRPr="000C7D2F" w:rsidRDefault="00553639" w:rsidP="000C7D2F">
            <w:pPr>
              <w:tabs>
                <w:tab w:val="left" w:pos="720"/>
              </w:tabs>
              <w:autoSpaceDE w:val="0"/>
              <w:autoSpaceDN w:val="0"/>
              <w:adjustRightInd w:val="0"/>
              <w:spacing w:after="0" w:line="240" w:lineRule="auto"/>
              <w:rPr>
                <w:rFonts w:ascii="Times New Roman" w:hAnsi="Times New Roman"/>
                <w:sz w:val="20"/>
                <w:szCs w:val="20"/>
                <w:lang w:val="pt-BR"/>
              </w:rPr>
            </w:pPr>
            <w:r w:rsidRPr="000C7D2F">
              <w:rPr>
                <w:rFonts w:ascii="Times New Roman" w:hAnsi="Times New Roman"/>
                <w:sz w:val="20"/>
                <w:szCs w:val="20"/>
                <w:lang w:val="pt-BR"/>
              </w:rPr>
              <w:t>PP – Fisher Qui-Quadrado</w:t>
            </w:r>
          </w:p>
        </w:tc>
        <w:tc>
          <w:tcPr>
            <w:tcW w:w="1558"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 297,870</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 (0,0445)</w:t>
            </w:r>
          </w:p>
        </w:tc>
        <w:tc>
          <w:tcPr>
            <w:tcW w:w="993"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257,208</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 (0,8715)</w:t>
            </w:r>
          </w:p>
        </w:tc>
        <w:tc>
          <w:tcPr>
            <w:tcW w:w="152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503,799</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(0,0000)</w:t>
            </w:r>
          </w:p>
        </w:tc>
        <w:tc>
          <w:tcPr>
            <w:tcW w:w="1921"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color w:val="000000"/>
                <w:sz w:val="20"/>
                <w:szCs w:val="20"/>
              </w:rPr>
            </w:pPr>
            <w:r w:rsidRPr="000C7D2F">
              <w:rPr>
                <w:rFonts w:ascii="Times New Roman" w:hAnsi="Times New Roman"/>
                <w:color w:val="000000"/>
                <w:sz w:val="20"/>
                <w:szCs w:val="20"/>
              </w:rPr>
              <w:t>501,084</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color w:val="000000"/>
                <w:sz w:val="20"/>
                <w:szCs w:val="20"/>
              </w:rPr>
              <w:t>(0,0000)</w:t>
            </w:r>
          </w:p>
        </w:tc>
      </w:tr>
    </w:tbl>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4"/>
          <w:szCs w:val="24"/>
          <w:lang w:val="pt-BR"/>
        </w:rPr>
      </w:pP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sz w:val="20"/>
          <w:szCs w:val="20"/>
          <w:lang w:val="pt-BR"/>
        </w:rPr>
      </w:pPr>
      <w:r w:rsidRPr="000C7D2F">
        <w:rPr>
          <w:rFonts w:ascii="Times New Roman" w:hAnsi="Times New Roman"/>
          <w:sz w:val="20"/>
          <w:szCs w:val="20"/>
          <w:lang w:val="pt-BR"/>
        </w:rPr>
        <w:t>*Com a inclusão de tendências individuais lineares e interceptos. As defasagens foram selecionadas de acordo com o critério BIC. Entre parênteses, o p-valor das estatísticas. Diferenciações da</w:t>
      </w:r>
      <w:r>
        <w:rPr>
          <w:rFonts w:ascii="Times New Roman" w:hAnsi="Times New Roman"/>
          <w:sz w:val="20"/>
          <w:szCs w:val="20"/>
          <w:lang w:val="pt-BR"/>
        </w:rPr>
        <w:t xml:space="preserve"> variável indicaram as variáveis</w:t>
      </w:r>
      <w:r w:rsidRPr="000C7D2F">
        <w:rPr>
          <w:rFonts w:ascii="Times New Roman" w:hAnsi="Times New Roman"/>
          <w:sz w:val="20"/>
          <w:szCs w:val="20"/>
          <w:lang w:val="pt-BR"/>
        </w:rPr>
        <w:t xml:space="preserve"> como I(0) e foram omitidas por conveniência.</w:t>
      </w:r>
    </w:p>
    <w:p w:rsidR="00553639" w:rsidRPr="000C7D2F" w:rsidRDefault="00553639" w:rsidP="000C7D2F">
      <w:pPr>
        <w:tabs>
          <w:tab w:val="left" w:pos="720"/>
        </w:tabs>
        <w:spacing w:after="0" w:line="240" w:lineRule="auto"/>
        <w:ind w:firstLine="720"/>
        <w:rPr>
          <w:rFonts w:ascii="Times New Roman" w:hAnsi="Times New Roman"/>
          <w:sz w:val="20"/>
          <w:szCs w:val="20"/>
          <w:lang w:val="pt-BR"/>
        </w:rPr>
      </w:pPr>
    </w:p>
    <w:p w:rsidR="00553639" w:rsidRDefault="00553639" w:rsidP="000C7D2F">
      <w:pPr>
        <w:tabs>
          <w:tab w:val="left" w:pos="720"/>
        </w:tabs>
        <w:spacing w:after="0" w:line="240" w:lineRule="auto"/>
        <w:ind w:firstLine="720"/>
        <w:rPr>
          <w:rFonts w:ascii="Times New Roman" w:hAnsi="Times New Roman"/>
          <w:sz w:val="24"/>
          <w:szCs w:val="24"/>
          <w:lang w:val="pt-BR"/>
        </w:rPr>
      </w:pPr>
    </w:p>
    <w:p w:rsidR="00553639" w:rsidRDefault="00553639" w:rsidP="000C7D2F">
      <w:pPr>
        <w:tabs>
          <w:tab w:val="left" w:pos="720"/>
        </w:tabs>
        <w:spacing w:after="0" w:line="240" w:lineRule="auto"/>
        <w:ind w:firstLine="720"/>
        <w:rPr>
          <w:rFonts w:ascii="Times New Roman" w:hAnsi="Times New Roman"/>
          <w:sz w:val="24"/>
          <w:szCs w:val="24"/>
          <w:lang w:val="pt-BR"/>
        </w:rPr>
      </w:pPr>
    </w:p>
    <w:p w:rsidR="00553639" w:rsidRDefault="00553639" w:rsidP="000C7D2F">
      <w:pPr>
        <w:tabs>
          <w:tab w:val="left" w:pos="720"/>
        </w:tabs>
        <w:spacing w:after="0" w:line="240" w:lineRule="auto"/>
        <w:ind w:firstLine="720"/>
        <w:rPr>
          <w:rFonts w:ascii="Times New Roman" w:hAnsi="Times New Roman"/>
          <w:sz w:val="24"/>
          <w:szCs w:val="24"/>
          <w:lang w:val="pt-BR"/>
        </w:rPr>
      </w:pPr>
    </w:p>
    <w:p w:rsidR="00553639" w:rsidRPr="000C7D2F" w:rsidRDefault="00553639" w:rsidP="000C7D2F">
      <w:pPr>
        <w:tabs>
          <w:tab w:val="left" w:pos="720"/>
        </w:tabs>
        <w:spacing w:after="0" w:line="240" w:lineRule="auto"/>
        <w:ind w:firstLine="720"/>
        <w:rPr>
          <w:rFonts w:ascii="Times New Roman" w:hAnsi="Times New Roman"/>
          <w:sz w:val="24"/>
          <w:szCs w:val="24"/>
          <w:lang w:val="pt-BR"/>
        </w:rPr>
      </w:pPr>
      <w:r w:rsidRPr="000C7D2F">
        <w:rPr>
          <w:rFonts w:ascii="Times New Roman" w:hAnsi="Times New Roman"/>
          <w:sz w:val="24"/>
          <w:szCs w:val="24"/>
          <w:lang w:val="pt-BR"/>
        </w:rPr>
        <w:t>Para executar os testes de cointegração em painel, são aplicados os sete testes propostos por Pedroni (1999). A relação a ser estimada pelo teste é a seguinte:</w:t>
      </w:r>
    </w:p>
    <w:p w:rsidR="00553639" w:rsidRPr="000C7D2F" w:rsidRDefault="00553639" w:rsidP="000C7D2F">
      <w:pPr>
        <w:tabs>
          <w:tab w:val="left" w:pos="720"/>
        </w:tabs>
        <w:spacing w:after="0" w:line="240" w:lineRule="auto"/>
        <w:ind w:firstLine="720"/>
        <w:rPr>
          <w:rFonts w:ascii="Times New Roman" w:hAnsi="Times New Roman"/>
          <w:sz w:val="24"/>
          <w:szCs w:val="24"/>
          <w:lang w:val="pt-BR"/>
        </w:rPr>
      </w:pPr>
    </w:p>
    <w:p w:rsidR="00553639" w:rsidRPr="000C7D2F" w:rsidRDefault="00553639" w:rsidP="000C7D2F">
      <w:pPr>
        <w:tabs>
          <w:tab w:val="left" w:pos="720"/>
        </w:tabs>
        <w:spacing w:after="0" w:line="240" w:lineRule="auto"/>
        <w:ind w:firstLine="720"/>
        <w:jc w:val="center"/>
        <w:rPr>
          <w:rFonts w:ascii="Times New Roman" w:hAnsi="Times New Roman"/>
          <w:sz w:val="24"/>
          <w:szCs w:val="24"/>
          <w:lang w:val="pt-BR"/>
        </w:rPr>
      </w:pPr>
      <w:r w:rsidRPr="00B16390">
        <w:pict>
          <v:shape id="_x0000_i1033" type="#_x0000_t75" style="width:18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55EF2&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C55EF2&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q&lt;/m:t&gt;&lt;/m:r&gt;&lt;/m:e&gt;&lt;m:sub&gt;&lt;m:r&gt;&lt;w:rPr&gt;&lt;w:rFonts w:ascii=&quot;Cambria Math&quot; w:h-ansi=&quot;Cambria Math&quot;/&gt;&lt;wx:font wx:val=&quot;Cambria Math&quot;/&gt;&lt;w:i/&gt;&lt;w:sz w:val=&quot;24&quot;/&gt;&lt;w:sz-cs w:val=&quot;24&quot;/&gt;&lt;w:lang w:val=&quot;PT-BR&quot;/&gt;&lt;/w:rPr&gt;&lt;m:t&gt;it&lt;/m:t&gt;&lt;/m:r&gt;&lt;/m:sub&gt;&lt;/m:sSub&gt;&lt;m:r&gt;&lt;w:rPr&gt;&lt;w:rFonts w:ascii=&quot;Cambria Math&quot; w:h-ansi=&quot;Cambria Math&quot;/&gt;&lt;wx:font wx:val=&quot;Cambria Math&quot;/&gt;&lt;w:i/&gt;&lt;w:sz w:val=&quot;24&quot;/&gt;&lt;w:sz-cs w:val=&quot;24&quot;/&gt;&lt;w:lang w:val=&quot;PT-BR&quot;/&gt;&lt;/w:rPr&gt;&lt;m:t&gt;=&lt;/m:t&gt;&lt;/m:r&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Ï†&lt;/m:t&gt;&lt;/m:r&gt;&lt;/m:e&gt;&lt;m:sub&gt;&lt;m:r&gt;&lt;w:rPr&gt;&lt;w:rFonts w:ascii=&quot;Cambria Math&quot; w:h-ansi=&quot;Cambria Math&quot;/&gt;&lt;wx:font wx:val=&quot;Cambria Math&quot;/&gt;&lt;w:i/&gt;&lt;w:sz w:val=&quot;24&quot;/&gt;&lt;w:sz-cs w:val=&quot;24&quot;/&gt;&lt;w:lang w:val=&quot;PT-BR&quot;/&gt;&lt;/w:rPr&gt;&lt;m:t&gt;0i&lt;/m:t&gt;&lt;/m:r&gt;&lt;/m:sub&gt;&lt;/m:sSub&gt;&lt;m:r&gt;&lt;w:rPr&gt;&lt;w:rFonts w:ascii=&quot;Cambria Math&quot; w:h-ansi=&quot;Cambria Math&quot;/&gt;&lt;wx:font wx:val=&quot;Cambria Math&quot;/&gt;&lt;w:i/&gt;&lt;w:sz w:val=&quot;24&quot;/&gt;&lt;w:sz-cs w:val=&quot;24&quot;/&gt;&lt;w:lang w:val=&quot;PT-BR&quot;/&gt;&lt;/w:rPr&gt;&lt;m:t&gt;+&lt;/m:t&gt;&lt;/m:r&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¼&lt;/m:t&gt;&lt;/m:r&gt;&lt;/m:e&gt;&lt;m:sub&gt;&lt;m:r&gt;&lt;w:rPr&gt;&lt;w:rFonts w:ascii=&quot;Cambria Math&quot; w:h-ansi=&quot;Cambria Math&quot;/&gt;&lt;wx:font wx:val=&quot;Cambria Math&quot;/&gt;&lt;w:i/&gt;&lt;w:sz w:val=&quot;24&quot;/&gt;&lt;w:sz-cs w:val=&quot;24&quot;/&gt;&lt;w:lang w:val=&quot;PT-BR&quot;/&gt;&lt;/w:rPr&gt;&lt;m:t&gt;1i&lt;/m:t&gt;&lt;/m:r&gt;&lt;/m:sub&gt;&lt;/m:sSub&gt;&lt;m:r&gt;&lt;w:rPr&gt;&lt;w:rFonts w:ascii=&quot;Cambria Math&quot; w:h-ansi=&quot;Cambria Math&quot;/&gt;&lt;wx:font wx:val=&quot;Cambria Math&quot;/&gt;&lt;w:i/&gt;&lt;w:sz w:val=&quot;24&quot;/&gt;&lt;w:sz-cs w:val=&quot;24&quot;/&gt;&lt;w:lang w:val=&quot;PT-BR&quot;/&gt;&lt;/w:rPr&gt;&lt;m:t&gt;+&lt;/m:t&gt;&lt;/m:r&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Ï†&lt;/m:t&gt;&lt;/m:r&gt;&lt;/m:e&gt;&lt;m:sub&gt;&lt;m:r&gt;&lt;w:rPr&gt;&lt;w:rFonts w:ascii=&quot;Cambria Math&quot; w:h-ansi=&quot;Cambria Math&quot;/&gt;&lt;wx:font wx:val=&quot;Cambria Math&quot;/&gt;&lt;w:i/&gt;&lt;w:sz w:val=&quot;24&quot;/&gt;&lt;w:sz-cs w:val=&quot;24&quot;/&gt;&lt;w:lang w:val=&quot;PT-BR&quot;/&gt;&lt;/w:rPr&gt;&lt;m:t&gt;1i&lt;/m:t&gt;&lt;/m:r&gt;&lt;/m:sub&gt;&lt;/m:sSub&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y&lt;/m:t&gt;&lt;/m:r&gt;&lt;/m:e&gt;&lt;m:sub&gt;&lt;m:r&gt;&lt;w:rPr&gt;&lt;w:rFonts w:ascii=&quot;Cambria Math&quot; w:h-ansi=&quot;Cambria Math&quot;/&gt;&lt;wx:font wx:val=&quot;Cambria Math&quot;/&gt;&lt;w:i/&gt;&lt;w:sz w:val=&quot;24&quot;/&gt;&lt;w:sz-cs w:val=&quot;24&quot;/&gt;&lt;w:lang w:val=&quot;PT-BR&quot;/&gt;&lt;/w:rPr&gt;&lt;m:t&gt;it&lt;/m:t&gt;&lt;/m:r&gt;&lt;/m:sub&gt;&lt;/m:sSub&gt;&lt;m:r&gt;&lt;w:rPr&gt;&lt;w:rFonts w:ascii=&quot;Cambria Math&quot; w:h-ansi=&quot;Cambria Math&quot;/&gt;&lt;wx:font wx:val=&quot;Cambria Math&quot;/&gt;&lt;w:i/&gt;&lt;w:sz w:val=&quot;24&quot;/&gt;&lt;w:sz-cs w:val=&quot;24&quot;/&gt;&lt;w:lang w:val=&quot;PT-BR&quot;/&gt;&lt;/w:rPr&gt;&lt;m:t&gt;+&lt;/m:t&gt;&lt;/m:r&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Ï†&lt;/m:t&gt;&lt;/m:r&gt;&lt;/m:e&gt;&lt;m:sub&gt;&lt;m:r&gt;&lt;w:rPr&gt;&lt;w:rFonts w:ascii=&quot;Cambria Math&quot; w:h-ansi=&quot;Cambria Math&quot;/&gt;&lt;wx:font wx:val=&quot;Cambria Math&quot;/&gt;&lt;w:i/&gt;&lt;w:sz w:val=&quot;24&quot;/&gt;&lt;w:sz-cs w:val=&quot;24&quot;/&gt;&lt;w:lang w:val=&quot;PT-BR&quot;/&gt;&lt;/w:rPr&gt;&lt;m:t&gt;2i&lt;/m:t&gt;&lt;/m:r&gt;&lt;/m:sub&gt;&lt;/m:sSub&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a&lt;/m:t&gt;&lt;/m:r&gt;&lt;/m:e&gt;&lt;m:sub&gt;&lt;m:r&gt;&lt;w:rPr&gt;&lt;w:rFonts w:ascii=&quot;Cambria Math&quot; w:h-ansi=&quot;Cambria Math&quot;/&gt;&lt;wx:font wx:val=&quot;Cambria Math&quot;/&gt;&lt;w:i/&gt;&lt;w:sz w:val=&quot;24&quot;/&gt;&lt;w:sz-cs w:val=&quot;24&quot;/&gt;&lt;w:lang w:val=&quot;PT-BR&quot;/&gt;&lt;/w:rPr&gt;&lt;m:t&gt;it&lt;/m:t&gt;&lt;/m:r&gt;&lt;/m:sub&gt;&lt;/m:sSub&gt;&lt;m:r&gt;&lt;w:rPr&gt;&lt;w:rFonts w:ascii=&quot;Cambria Math&quot; w:h-ansi=&quot;Cambria Math&quot;/&gt;&lt;wx:font wx:val=&quot;Cambria Math&quot;/&gt;&lt;w:i/&gt;&lt;w:sz w:val=&quot;24&quot;/&gt;&lt;w:sz-cs w:val=&quot;24&quot;/&gt;&lt;w:lang w:val=&quot;PT-BR&quot;/&gt;&lt;/w:rPr&gt;&lt;m:t&gt;+&lt;/m:t&gt;&lt;/m:r&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lt;/m:t&gt;&lt;/m:r&gt;&lt;/m:e&gt;&lt;m:sub&gt;&lt;m:r&gt;&lt;w:rPr&gt;&lt;w:rFonts w:ascii=&quot;Cambria Math&quot; w:h-ansi=&quot;Cambria Math&quot;/&gt;&lt;wx:font wx:val=&quot;Cambria Math&quot;/&gt;&lt;w:i/&gt;&lt;w:sz w:val=&quot;24&quot;/&gt;&lt;w:sz-cs w:val=&quot;24&quot;/&gt;&lt;w:lang w:val=&quot;PT-BR&quot;/&gt;&lt;/w:rPr&gt;&lt;m:t&gt;i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p>
    <w:p w:rsidR="00553639" w:rsidRPr="000C7D2F" w:rsidRDefault="00553639" w:rsidP="000C7D2F">
      <w:pPr>
        <w:tabs>
          <w:tab w:val="left" w:pos="720"/>
        </w:tabs>
        <w:spacing w:after="0" w:line="240" w:lineRule="auto"/>
        <w:ind w:firstLine="720"/>
        <w:rPr>
          <w:rFonts w:ascii="Times New Roman" w:hAnsi="Times New Roman"/>
          <w:sz w:val="24"/>
          <w:szCs w:val="24"/>
          <w:lang w:val="pt-BR"/>
        </w:rPr>
      </w:pPr>
    </w:p>
    <w:p w:rsidR="00553639" w:rsidRDefault="00553639" w:rsidP="000C7D2F">
      <w:pPr>
        <w:tabs>
          <w:tab w:val="left" w:pos="720"/>
        </w:tabs>
        <w:spacing w:after="0" w:line="240" w:lineRule="auto"/>
        <w:jc w:val="both"/>
        <w:rPr>
          <w:rFonts w:ascii="Times New Roman" w:hAnsi="Times New Roman"/>
          <w:sz w:val="24"/>
          <w:szCs w:val="24"/>
          <w:lang w:val="pt-BR"/>
        </w:rPr>
      </w:pPr>
      <w:r w:rsidRPr="000C7D2F">
        <w:rPr>
          <w:rFonts w:ascii="Times New Roman" w:hAnsi="Times New Roman"/>
          <w:sz w:val="24"/>
          <w:szCs w:val="24"/>
          <w:lang w:val="pt-BR"/>
        </w:rPr>
        <w:t xml:space="preserve">Onde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34"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008CA&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2008CA&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Ï†&lt;/m:t&gt;&lt;/m:r&gt;&lt;/m:e&gt;&lt;m:sub&gt;&lt;m:r&gt;&lt;w:rPr&gt;&lt;w:rFonts w:ascii=&quot;Cambria Math&quot; w:h-ansi=&quot;Cambria Math&quot;/&gt;&lt;wx:font wx:val=&quot;Cambria Math&quot;/&gt;&lt;w:i/&gt;&lt;w:sz w:val=&quot;24&quot;/&gt;&lt;w:sz-cs w:val=&quot;24&quot;/&gt;&lt;w:lang w:val=&quot;PT-BR&quot;/&gt;&lt;/w:rPr&gt;&lt;m:t&gt;0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35"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008CA&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2008CA&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Ï†&lt;/m:t&gt;&lt;/m:r&gt;&lt;/m:e&gt;&lt;m:sub&gt;&lt;m:r&gt;&lt;w:rPr&gt;&lt;w:rFonts w:ascii=&quot;Cambria Math&quot; w:h-ansi=&quot;Cambria Math&quot;/&gt;&lt;wx:font wx:val=&quot;Cambria Math&quot;/&gt;&lt;w:i/&gt;&lt;w:sz w:val=&quot;24&quot;/&gt;&lt;w:sz-cs w:val=&quot;24&quot;/&gt;&lt;w:lang w:val=&quot;PT-BR&quot;/&gt;&lt;/w:rPr&gt;&lt;m:t&gt;0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B16390">
        <w:rPr>
          <w:rFonts w:ascii="Times New Roman" w:hAnsi="Times New Roman"/>
          <w:sz w:val="24"/>
          <w:szCs w:val="24"/>
          <w:lang w:val="pt-BR"/>
        </w:rPr>
        <w:fldChar w:fldCharType="end"/>
      </w:r>
      <w:r w:rsidRPr="000C7D2F">
        <w:rPr>
          <w:rFonts w:ascii="Times New Roman" w:hAnsi="Times New Roman"/>
          <w:sz w:val="24"/>
          <w:szCs w:val="24"/>
          <w:lang w:val="pt-BR"/>
        </w:rPr>
        <w:t xml:space="preserv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36"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97441&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97441&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Ï†&lt;/m:t&gt;&lt;/m:r&gt;&lt;/m:e&gt;&lt;m:sub&gt;&lt;m:r&gt;&lt;w:rPr&gt;&lt;w:rFonts w:ascii=&quot;Cambria Math&quot; w:h-ansi=&quot;Cambria Math&quot;/&gt;&lt;wx:font wx:val=&quot;Cambria Math&quot;/&gt;&lt;w:i/&gt;&lt;w:sz w:val=&quot;24&quot;/&gt;&lt;w:sz-cs w:val=&quot;24&quot;/&gt;&lt;w:lang w:val=&quot;PT-BR&quot;/&gt;&lt;/w:rPr&gt;&lt;m:t&gt;1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37"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97441&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97441&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Ï†&lt;/m:t&gt;&lt;/m:r&gt;&lt;/m:e&gt;&lt;m:sub&gt;&lt;m:r&gt;&lt;w:rPr&gt;&lt;w:rFonts w:ascii=&quot;Cambria Math&quot; w:h-ansi=&quot;Cambria Math&quot;/&gt;&lt;wx:font wx:val=&quot;Cambria Math&quot;/&gt;&lt;w:i/&gt;&lt;w:sz w:val=&quot;24&quot;/&gt;&lt;w:sz-cs w:val=&quot;24&quot;/&gt;&lt;w:lang w:val=&quot;PT-BR&quot;/&gt;&lt;/w:rPr&gt;&lt;m:t&gt;1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B16390">
        <w:rPr>
          <w:rFonts w:ascii="Times New Roman" w:hAnsi="Times New Roman"/>
          <w:sz w:val="24"/>
          <w:szCs w:val="24"/>
          <w:lang w:val="pt-BR"/>
        </w:rPr>
        <w:fldChar w:fldCharType="end"/>
      </w:r>
      <w:r w:rsidRPr="000C7D2F">
        <w:rPr>
          <w:rFonts w:ascii="Times New Roman" w:hAnsi="Times New Roman"/>
          <w:sz w:val="24"/>
          <w:szCs w:val="24"/>
          <w:lang w:val="pt-BR"/>
        </w:rPr>
        <w:t xml:space="preserve"> 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38"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B22FE&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8B22FE&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Ï†&lt;/m:t&gt;&lt;/m:r&gt;&lt;/m:e&gt;&lt;m:sub&gt;&lt;m:r&gt;&lt;w:rPr&gt;&lt;w:rFonts w:ascii=&quot;Cambria Math&quot; w:h-ansi=&quot;Cambria Math&quot;/&gt;&lt;wx:font wx:val=&quot;Cambria Math&quot;/&gt;&lt;w:i/&gt;&lt;w:sz w:val=&quot;24&quot;/&gt;&lt;w:sz-cs w:val=&quot;24&quot;/&gt;&lt;w:lang w:val=&quot;PT-BR&quot;/&gt;&lt;/w:rPr&gt;&lt;m:t&gt;2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39"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B22FE&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8B22FE&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Ï†&lt;/m:t&gt;&lt;/m:r&gt;&lt;/m:e&gt;&lt;m:sub&gt;&lt;m:r&gt;&lt;w:rPr&gt;&lt;w:rFonts w:ascii=&quot;Cambria Math&quot; w:h-ansi=&quot;Cambria Math&quot;/&gt;&lt;wx:font wx:val=&quot;Cambria Math&quot;/&gt;&lt;w:i/&gt;&lt;w:sz w:val=&quot;24&quot;/&gt;&lt;w:sz-cs w:val=&quot;24&quot;/&gt;&lt;w:lang w:val=&quot;PT-BR&quot;/&gt;&lt;/w:rPr&gt;&lt;m:t&gt;2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B16390">
        <w:rPr>
          <w:rFonts w:ascii="Times New Roman" w:hAnsi="Times New Roman"/>
          <w:sz w:val="24"/>
          <w:szCs w:val="24"/>
          <w:lang w:val="pt-BR"/>
        </w:rPr>
        <w:fldChar w:fldCharType="end"/>
      </w:r>
      <w:r w:rsidRPr="000C7D2F">
        <w:rPr>
          <w:rFonts w:ascii="Times New Roman" w:hAnsi="Times New Roman"/>
          <w:sz w:val="24"/>
          <w:szCs w:val="24"/>
          <w:lang w:val="pt-BR"/>
        </w:rPr>
        <w:t xml:space="preserve"> são os parâmetros a serem estimados, 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40"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76AF0&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A76AF0&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¼&lt;/m:t&gt;&lt;/m:r&gt;&lt;/m:e&gt;&lt;m:sub&gt;&lt;m:r&gt;&lt;w:rPr&gt;&lt;w:rFonts w:ascii=&quot;Cambria Math&quot; w:h-ansi=&quot;Cambria Math&quot;/&gt;&lt;wx:font wx:val=&quot;Cambria Math&quot;/&gt;&lt;w:i/&gt;&lt;w:sz w:val=&quot;24&quot;/&gt;&lt;w:sz-cs w:val=&quot;24&quot;/&gt;&lt;w:lang w:val=&quot;PT-BR&quot;/&gt;&lt;/w:rPr&gt;&lt;m:t&gt;1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41"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76AF0&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A76AF0&quot;&gt;&lt;m:oMathPara&gt;&lt;m:oMath&gt;&lt;m:sSub&gt;&lt;m:sSubPr&gt;&lt;m:ctrlPr&gt;&lt;w:rPr&gt;&lt;w:rFonts w:ascii=&quot;Cambria Math&quot; w:h-ansi=&quot;Cambria Math&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¼&lt;/m:t&gt;&lt;/m:r&gt;&lt;/m:e&gt;&lt;m:sub&gt;&lt;m:r&gt;&lt;w:rPr&gt;&lt;w:rFonts w:ascii=&quot;Cambria Math&quot; w:h-ansi=&quot;Cambria Math&quot;/&gt;&lt;wx:font wx:val=&quot;Cambria Math&quot;/&gt;&lt;w:i/&gt;&lt;w:sz w:val=&quot;24&quot;/&gt;&lt;w:sz-cs w:val=&quot;24&quot;/&gt;&lt;w:lang w:val=&quot;PT-BR&quot;/&gt;&lt;/w:rPr&gt;&lt;m:t&gt;1i&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B16390">
        <w:rPr>
          <w:rFonts w:ascii="Times New Roman" w:hAnsi="Times New Roman"/>
          <w:sz w:val="24"/>
          <w:szCs w:val="24"/>
          <w:lang w:val="pt-BR"/>
        </w:rPr>
        <w:fldChar w:fldCharType="end"/>
      </w:r>
      <w:r w:rsidRPr="000C7D2F">
        <w:rPr>
          <w:rFonts w:ascii="Times New Roman" w:hAnsi="Times New Roman"/>
          <w:sz w:val="24"/>
          <w:szCs w:val="24"/>
          <w:lang w:val="pt-BR"/>
        </w:rPr>
        <w:t xml:space="preserve"> são os efeitos temporais individuais. Dentre os sete testes de Pedroni, quatro são baseados na dimensão </w:t>
      </w:r>
      <w:r w:rsidRPr="000C7D2F">
        <w:rPr>
          <w:rFonts w:ascii="Times New Roman" w:hAnsi="Times New Roman"/>
          <w:i/>
          <w:sz w:val="24"/>
          <w:szCs w:val="24"/>
          <w:lang w:val="pt-BR"/>
        </w:rPr>
        <w:t>within</w:t>
      </w:r>
      <w:r w:rsidRPr="000C7D2F">
        <w:rPr>
          <w:rFonts w:ascii="Times New Roman" w:hAnsi="Times New Roman"/>
          <w:sz w:val="24"/>
          <w:szCs w:val="24"/>
          <w:lang w:val="pt-BR"/>
        </w:rPr>
        <w:t xml:space="preserve"> e os outros três são testes da dimensão </w:t>
      </w:r>
      <w:r w:rsidRPr="000C7D2F">
        <w:rPr>
          <w:rFonts w:ascii="Times New Roman" w:hAnsi="Times New Roman"/>
          <w:i/>
          <w:sz w:val="24"/>
          <w:szCs w:val="24"/>
          <w:lang w:val="pt-BR"/>
        </w:rPr>
        <w:t>between</w:t>
      </w:r>
      <w:r w:rsidRPr="000C7D2F">
        <w:rPr>
          <w:rFonts w:ascii="Times New Roman" w:hAnsi="Times New Roman"/>
          <w:sz w:val="24"/>
          <w:szCs w:val="24"/>
          <w:lang w:val="pt-BR"/>
        </w:rPr>
        <w:t>. Todos os testes têm como hipótese nula a não cointegração para os países da amostra. A Tabela 2 exibe os resultados dos testes de Pedroni para a amostra utilizada no painel cointegrado. A maioria das estatísticas de teste rejeitam a hipótese nula de não cointegração a um nível</w:t>
      </w:r>
      <w:r>
        <w:rPr>
          <w:rFonts w:ascii="Times New Roman" w:hAnsi="Times New Roman"/>
          <w:sz w:val="24"/>
          <w:szCs w:val="24"/>
          <w:lang w:val="pt-BR"/>
        </w:rPr>
        <w:t xml:space="preserve"> de 5% de confiança, de forma que os p-valores são altos. Deste forma, é possível proceder a estimação com este conjunto de variáveis utilizando um estimador para cointegração em painel.</w:t>
      </w:r>
    </w:p>
    <w:p w:rsidR="00553639" w:rsidRDefault="00553639" w:rsidP="000C7D2F">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O Quadro 1 e o Quadro 2 exibem os testes de cointegração de Painel de Pedroni e de Kao, respectivamente. Ambos confirmam a existência de cointegração para as séries integradas que formam a especificação do painel a ser estimado. </w:t>
      </w:r>
    </w:p>
    <w:p w:rsidR="00553639" w:rsidRDefault="00553639" w:rsidP="000C7D2F">
      <w:pPr>
        <w:tabs>
          <w:tab w:val="left" w:pos="720"/>
        </w:tabs>
        <w:spacing w:after="0" w:line="240" w:lineRule="auto"/>
        <w:ind w:firstLine="720"/>
        <w:jc w:val="center"/>
        <w:rPr>
          <w:rFonts w:ascii="Times New Roman" w:hAnsi="Times New Roman"/>
          <w:b/>
          <w:sz w:val="24"/>
          <w:szCs w:val="24"/>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Pr="000C7D2F" w:rsidRDefault="00553639" w:rsidP="000C7D2F">
      <w:pPr>
        <w:tabs>
          <w:tab w:val="left" w:pos="720"/>
        </w:tabs>
        <w:spacing w:after="0" w:line="240" w:lineRule="auto"/>
        <w:ind w:firstLine="720"/>
        <w:jc w:val="center"/>
        <w:rPr>
          <w:rFonts w:ascii="Times New Roman" w:hAnsi="Times New Roman"/>
          <w:sz w:val="20"/>
          <w:szCs w:val="20"/>
          <w:lang w:val="pt-BR"/>
        </w:rPr>
      </w:pPr>
      <w:r w:rsidRPr="000C7D2F">
        <w:rPr>
          <w:rFonts w:ascii="Times New Roman" w:hAnsi="Times New Roman"/>
          <w:b/>
          <w:sz w:val="20"/>
          <w:szCs w:val="20"/>
          <w:lang w:val="pt-BR"/>
        </w:rPr>
        <w:t>Quadro 1 : Teste de Cointegração das Variáveis de Determinação do Câmbio: Pedroni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8"/>
        <w:gridCol w:w="3275"/>
        <w:gridCol w:w="3163"/>
      </w:tblGrid>
      <w:tr w:rsidR="00553639" w:rsidRPr="00865EC3" w:rsidTr="000C7D2F">
        <w:tc>
          <w:tcPr>
            <w:tcW w:w="9576" w:type="dxa"/>
            <w:gridSpan w:val="3"/>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Testes de Cointegração em Painel</w:t>
            </w:r>
          </w:p>
        </w:tc>
      </w:tr>
      <w:tr w:rsidR="00553639" w:rsidRPr="000C7D2F" w:rsidTr="000C7D2F">
        <w:tc>
          <w:tcPr>
            <w:tcW w:w="3138"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p>
        </w:tc>
        <w:tc>
          <w:tcPr>
            <w:tcW w:w="3275"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p>
        </w:tc>
        <w:tc>
          <w:tcPr>
            <w:tcW w:w="3163"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p-valor</w:t>
            </w:r>
          </w:p>
        </w:tc>
      </w:tr>
      <w:tr w:rsidR="00553639" w:rsidRPr="000C7D2F" w:rsidTr="000C7D2F">
        <w:tc>
          <w:tcPr>
            <w:tcW w:w="3138"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Estatística v</w:t>
            </w:r>
          </w:p>
        </w:tc>
        <w:tc>
          <w:tcPr>
            <w:tcW w:w="3275"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 1,775097</w:t>
            </w:r>
          </w:p>
        </w:tc>
        <w:tc>
          <w:tcPr>
            <w:tcW w:w="3163"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 0,1265</w:t>
            </w:r>
          </w:p>
        </w:tc>
      </w:tr>
      <w:tr w:rsidR="00553639" w:rsidRPr="000C7D2F" w:rsidTr="000C7D2F">
        <w:tc>
          <w:tcPr>
            <w:tcW w:w="3138"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Estatística rho</w:t>
            </w:r>
          </w:p>
        </w:tc>
        <w:tc>
          <w:tcPr>
            <w:tcW w:w="3275"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18,72751*</w:t>
            </w:r>
          </w:p>
        </w:tc>
        <w:tc>
          <w:tcPr>
            <w:tcW w:w="3163"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 0,0000</w:t>
            </w:r>
          </w:p>
        </w:tc>
      </w:tr>
      <w:tr w:rsidR="00553639" w:rsidRPr="000C7D2F" w:rsidTr="000C7D2F">
        <w:tc>
          <w:tcPr>
            <w:tcW w:w="3138"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Estatística PP</w:t>
            </w:r>
          </w:p>
        </w:tc>
        <w:tc>
          <w:tcPr>
            <w:tcW w:w="3275"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-7,686589*</w:t>
            </w:r>
          </w:p>
        </w:tc>
        <w:tc>
          <w:tcPr>
            <w:tcW w:w="3163"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0,0000</w:t>
            </w:r>
          </w:p>
        </w:tc>
      </w:tr>
      <w:tr w:rsidR="00553639" w:rsidRPr="000C7D2F" w:rsidTr="000C7D2F">
        <w:tc>
          <w:tcPr>
            <w:tcW w:w="3138"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Estatística ADF</w:t>
            </w:r>
          </w:p>
        </w:tc>
        <w:tc>
          <w:tcPr>
            <w:tcW w:w="3275"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-8.556698*</w:t>
            </w:r>
          </w:p>
        </w:tc>
        <w:tc>
          <w:tcPr>
            <w:tcW w:w="3163"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0,0000</w:t>
            </w:r>
          </w:p>
        </w:tc>
      </w:tr>
      <w:tr w:rsidR="00553639" w:rsidRPr="00865EC3" w:rsidTr="000C7D2F">
        <w:tc>
          <w:tcPr>
            <w:tcW w:w="9576" w:type="dxa"/>
            <w:gridSpan w:val="3"/>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Testes de Cointegração da Média em Grupo</w:t>
            </w:r>
          </w:p>
        </w:tc>
      </w:tr>
      <w:tr w:rsidR="00553639" w:rsidRPr="000C7D2F" w:rsidTr="000C7D2F">
        <w:tc>
          <w:tcPr>
            <w:tcW w:w="3138"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Estatística RHO</w:t>
            </w:r>
          </w:p>
        </w:tc>
        <w:tc>
          <w:tcPr>
            <w:tcW w:w="3275"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22,74492*</w:t>
            </w:r>
          </w:p>
        </w:tc>
        <w:tc>
          <w:tcPr>
            <w:tcW w:w="3163"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 0,0000</w:t>
            </w:r>
          </w:p>
        </w:tc>
      </w:tr>
      <w:tr w:rsidR="00553639" w:rsidRPr="000C7D2F" w:rsidTr="000C7D2F">
        <w:tc>
          <w:tcPr>
            <w:tcW w:w="3138"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Estatística PP</w:t>
            </w:r>
          </w:p>
        </w:tc>
        <w:tc>
          <w:tcPr>
            <w:tcW w:w="3275"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-12,87050*</w:t>
            </w:r>
          </w:p>
        </w:tc>
        <w:tc>
          <w:tcPr>
            <w:tcW w:w="3163"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 0,0000</w:t>
            </w:r>
          </w:p>
        </w:tc>
      </w:tr>
      <w:tr w:rsidR="00553639" w:rsidRPr="000C7D2F" w:rsidTr="000C7D2F">
        <w:tc>
          <w:tcPr>
            <w:tcW w:w="3138"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b/>
                <w:sz w:val="20"/>
                <w:szCs w:val="20"/>
                <w:lang w:val="pt-BR"/>
              </w:rPr>
              <w:t>Estatística ADF</w:t>
            </w:r>
          </w:p>
        </w:tc>
        <w:tc>
          <w:tcPr>
            <w:tcW w:w="3275"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-8,895765*</w:t>
            </w:r>
          </w:p>
        </w:tc>
        <w:tc>
          <w:tcPr>
            <w:tcW w:w="3163" w:type="dxa"/>
          </w:tcPr>
          <w:p w:rsidR="00553639" w:rsidRPr="000C7D2F" w:rsidRDefault="00553639" w:rsidP="000C7D2F">
            <w:pPr>
              <w:tabs>
                <w:tab w:val="left" w:pos="720"/>
              </w:tabs>
              <w:spacing w:after="0" w:line="240" w:lineRule="auto"/>
              <w:jc w:val="center"/>
              <w:rPr>
                <w:rFonts w:ascii="Times New Roman" w:hAnsi="Times New Roman"/>
                <w:b/>
                <w:sz w:val="20"/>
                <w:szCs w:val="20"/>
                <w:lang w:val="pt-BR"/>
              </w:rPr>
            </w:pPr>
            <w:r w:rsidRPr="000C7D2F">
              <w:rPr>
                <w:rFonts w:ascii="Times New Roman" w:hAnsi="Times New Roman"/>
                <w:color w:val="000000"/>
                <w:sz w:val="20"/>
                <w:szCs w:val="20"/>
              </w:rPr>
              <w:t> 0,0000</w:t>
            </w:r>
          </w:p>
        </w:tc>
      </w:tr>
    </w:tbl>
    <w:p w:rsidR="00553639" w:rsidRPr="000C7D2F" w:rsidRDefault="00553639" w:rsidP="000C7D2F">
      <w:pPr>
        <w:tabs>
          <w:tab w:val="left" w:pos="720"/>
        </w:tabs>
        <w:spacing w:after="0" w:line="240" w:lineRule="auto"/>
        <w:rPr>
          <w:rFonts w:ascii="Times New Roman" w:hAnsi="Times New Roman"/>
          <w:sz w:val="20"/>
          <w:szCs w:val="20"/>
          <w:lang w:val="pt-BR"/>
        </w:rPr>
      </w:pPr>
      <w:r w:rsidRPr="000C7D2F">
        <w:rPr>
          <w:rFonts w:ascii="Times New Roman" w:hAnsi="Times New Roman"/>
          <w:sz w:val="20"/>
          <w:szCs w:val="20"/>
          <w:lang w:val="pt-BR"/>
        </w:rPr>
        <w:t xml:space="preserve">* Rejeição da hipótese nula de não-cointegração a um nível de significância de 1% (conferir p-valor). </w:t>
      </w:r>
    </w:p>
    <w:p w:rsidR="00553639" w:rsidRPr="000C7D2F" w:rsidRDefault="00553639" w:rsidP="000C7D2F">
      <w:pPr>
        <w:tabs>
          <w:tab w:val="left" w:pos="720"/>
        </w:tabs>
        <w:spacing w:after="0" w:line="240" w:lineRule="auto"/>
        <w:jc w:val="center"/>
        <w:rPr>
          <w:rFonts w:ascii="Times New Roman" w:hAnsi="Times New Roman"/>
          <w:sz w:val="20"/>
          <w:szCs w:val="20"/>
          <w:lang w:val="pt-BR"/>
        </w:rPr>
      </w:pPr>
      <w:r w:rsidRPr="000C7D2F">
        <w:rPr>
          <w:rFonts w:ascii="Times New Roman" w:hAnsi="Times New Roman"/>
          <w:sz w:val="20"/>
          <w:szCs w:val="20"/>
          <w:lang w:val="pt-BR"/>
        </w:rPr>
        <w:t>OBS:Defasagem automaticamente selecionada por SIC (Critério de Informação de Schwartz). Seleção Newey-West Band-width usando Kernel Bartlett.</w:t>
      </w:r>
    </w:p>
    <w:p w:rsidR="00553639" w:rsidRPr="000C7D2F" w:rsidRDefault="00553639" w:rsidP="000C7D2F">
      <w:pPr>
        <w:tabs>
          <w:tab w:val="left" w:pos="720"/>
        </w:tabs>
        <w:spacing w:after="0" w:line="240" w:lineRule="auto"/>
        <w:ind w:firstLine="720"/>
        <w:jc w:val="center"/>
        <w:rPr>
          <w:rFonts w:ascii="Times New Roman" w:hAnsi="Times New Roman"/>
          <w:b/>
          <w:sz w:val="20"/>
          <w:szCs w:val="20"/>
          <w:lang w:val="pt-BR"/>
        </w:rPr>
      </w:pPr>
    </w:p>
    <w:p w:rsidR="00553639" w:rsidRPr="000C7D2F" w:rsidRDefault="00553639" w:rsidP="000C7D2F">
      <w:pPr>
        <w:tabs>
          <w:tab w:val="left" w:pos="720"/>
        </w:tabs>
        <w:spacing w:after="0" w:line="240" w:lineRule="auto"/>
        <w:ind w:firstLine="720"/>
        <w:jc w:val="center"/>
        <w:rPr>
          <w:rFonts w:ascii="Times New Roman" w:hAnsi="Times New Roman"/>
          <w:b/>
          <w:sz w:val="20"/>
          <w:szCs w:val="20"/>
          <w:lang w:val="pt-BR"/>
        </w:rPr>
      </w:pPr>
      <w:r w:rsidRPr="000C7D2F">
        <w:rPr>
          <w:rFonts w:ascii="Times New Roman" w:hAnsi="Times New Roman"/>
          <w:b/>
          <w:sz w:val="20"/>
          <w:szCs w:val="20"/>
          <w:lang w:val="pt-BR"/>
        </w:rPr>
        <w:t>Quadro 2 : Teste de Cointegração das Variáveis de Determinação do Câmbio: Teste de Kao</w:t>
      </w: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lang w:val="pt-BR"/>
        </w:rPr>
      </w:pPr>
    </w:p>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6"/>
        <w:gridCol w:w="3080"/>
        <w:gridCol w:w="3080"/>
      </w:tblGrid>
      <w:tr w:rsidR="00553639" w:rsidRPr="000C7D2F" w:rsidTr="000C7D2F">
        <w:tc>
          <w:tcPr>
            <w:tcW w:w="341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lang w:val="pt-BR"/>
              </w:rPr>
            </w:pP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r w:rsidRPr="000C7D2F">
              <w:rPr>
                <w:rFonts w:ascii="Times New Roman" w:hAnsi="Times New Roman"/>
                <w:b/>
                <w:sz w:val="20"/>
                <w:szCs w:val="20"/>
              </w:rPr>
              <w:t>Estatísticas</w:t>
            </w: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r w:rsidRPr="000C7D2F">
              <w:rPr>
                <w:rFonts w:ascii="Times New Roman" w:hAnsi="Times New Roman"/>
                <w:b/>
                <w:sz w:val="20"/>
                <w:szCs w:val="20"/>
              </w:rPr>
              <w:t>p-valor</w:t>
            </w:r>
          </w:p>
        </w:tc>
      </w:tr>
      <w:tr w:rsidR="00553639" w:rsidRPr="000C7D2F" w:rsidTr="000C7D2F">
        <w:tc>
          <w:tcPr>
            <w:tcW w:w="341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r w:rsidRPr="000C7D2F">
              <w:rPr>
                <w:rFonts w:ascii="Times New Roman" w:hAnsi="Times New Roman"/>
                <w:b/>
                <w:sz w:val="20"/>
                <w:szCs w:val="20"/>
              </w:rPr>
              <w:t>Estatística ADF</w:t>
            </w: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r w:rsidRPr="000C7D2F">
              <w:rPr>
                <w:rFonts w:ascii="Times New Roman" w:hAnsi="Times New Roman"/>
                <w:color w:val="000000"/>
                <w:sz w:val="20"/>
                <w:szCs w:val="20"/>
              </w:rPr>
              <w:t> 4,443729*</w:t>
            </w: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r w:rsidRPr="000C7D2F">
              <w:rPr>
                <w:rFonts w:ascii="Times New Roman" w:hAnsi="Times New Roman"/>
                <w:color w:val="000000"/>
                <w:sz w:val="20"/>
                <w:szCs w:val="20"/>
              </w:rPr>
              <w:t> 0,0000</w:t>
            </w:r>
          </w:p>
        </w:tc>
      </w:tr>
      <w:tr w:rsidR="00553639" w:rsidRPr="000C7D2F" w:rsidTr="000C7D2F">
        <w:tc>
          <w:tcPr>
            <w:tcW w:w="341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r w:rsidRPr="000C7D2F">
              <w:rPr>
                <w:rFonts w:ascii="Times New Roman" w:hAnsi="Times New Roman"/>
                <w:b/>
                <w:sz w:val="20"/>
                <w:szCs w:val="20"/>
              </w:rPr>
              <w:t>Variância Residual</w:t>
            </w: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r w:rsidRPr="000C7D2F">
              <w:rPr>
                <w:rFonts w:ascii="Times New Roman" w:hAnsi="Times New Roman"/>
                <w:color w:val="000000"/>
                <w:sz w:val="20"/>
                <w:szCs w:val="20"/>
              </w:rPr>
              <w:t>0,011197</w:t>
            </w: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p>
        </w:tc>
      </w:tr>
      <w:tr w:rsidR="00553639" w:rsidRPr="000C7D2F" w:rsidTr="000C7D2F">
        <w:tc>
          <w:tcPr>
            <w:tcW w:w="341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r w:rsidRPr="000C7D2F">
              <w:rPr>
                <w:rFonts w:ascii="Times New Roman" w:hAnsi="Times New Roman"/>
                <w:b/>
                <w:sz w:val="20"/>
                <w:szCs w:val="20"/>
              </w:rPr>
              <w:t>Variância HAC</w:t>
            </w: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r w:rsidRPr="000C7D2F">
              <w:rPr>
                <w:rFonts w:ascii="Times New Roman" w:hAnsi="Times New Roman"/>
                <w:color w:val="000000"/>
                <w:sz w:val="20"/>
                <w:szCs w:val="20"/>
              </w:rPr>
              <w:t> 0,012224</w:t>
            </w: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p>
        </w:tc>
      </w:tr>
      <w:tr w:rsidR="00553639" w:rsidRPr="000C7D2F" w:rsidTr="000C7D2F">
        <w:tc>
          <w:tcPr>
            <w:tcW w:w="3416"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p>
        </w:tc>
        <w:tc>
          <w:tcPr>
            <w:tcW w:w="3080" w:type="dxa"/>
          </w:tcPr>
          <w:p w:rsidR="00553639" w:rsidRPr="000C7D2F" w:rsidRDefault="00553639" w:rsidP="000C7D2F">
            <w:pPr>
              <w:tabs>
                <w:tab w:val="left" w:pos="720"/>
              </w:tabs>
              <w:autoSpaceDE w:val="0"/>
              <w:autoSpaceDN w:val="0"/>
              <w:adjustRightInd w:val="0"/>
              <w:spacing w:after="0" w:line="240" w:lineRule="auto"/>
              <w:jc w:val="center"/>
              <w:rPr>
                <w:rFonts w:ascii="Times New Roman" w:hAnsi="Times New Roman"/>
                <w:b/>
                <w:sz w:val="20"/>
                <w:szCs w:val="20"/>
              </w:rPr>
            </w:pPr>
          </w:p>
        </w:tc>
      </w:tr>
    </w:tbl>
    <w:p w:rsidR="00553639" w:rsidRPr="000C7D2F" w:rsidRDefault="00553639" w:rsidP="000C7D2F">
      <w:pPr>
        <w:tabs>
          <w:tab w:val="left" w:pos="720"/>
        </w:tabs>
        <w:spacing w:after="0" w:line="240" w:lineRule="auto"/>
        <w:rPr>
          <w:rFonts w:ascii="Times New Roman" w:hAnsi="Times New Roman"/>
          <w:sz w:val="20"/>
          <w:szCs w:val="20"/>
          <w:lang w:val="pt-BR"/>
        </w:rPr>
      </w:pPr>
      <w:r w:rsidRPr="000C7D2F">
        <w:rPr>
          <w:rFonts w:ascii="Times New Roman" w:hAnsi="Times New Roman"/>
          <w:sz w:val="20"/>
          <w:szCs w:val="20"/>
          <w:lang w:val="pt-BR"/>
        </w:rPr>
        <w:t xml:space="preserve">* Rejeição da hipótese nula de não-cointegração a um nível de significância de 1% (conferir p-valor). </w:t>
      </w:r>
    </w:p>
    <w:p w:rsidR="00553639" w:rsidRDefault="00553639" w:rsidP="000C7D2F">
      <w:pPr>
        <w:tabs>
          <w:tab w:val="left" w:pos="720"/>
        </w:tabs>
        <w:spacing w:after="0" w:line="240" w:lineRule="auto"/>
        <w:jc w:val="center"/>
        <w:rPr>
          <w:rFonts w:ascii="Times New Roman" w:hAnsi="Times New Roman"/>
          <w:sz w:val="20"/>
          <w:szCs w:val="20"/>
          <w:lang w:val="pt-BR"/>
        </w:rPr>
      </w:pPr>
      <w:r w:rsidRPr="000C7D2F">
        <w:rPr>
          <w:rFonts w:ascii="Times New Roman" w:hAnsi="Times New Roman"/>
          <w:sz w:val="20"/>
          <w:szCs w:val="20"/>
          <w:lang w:val="pt-BR"/>
        </w:rPr>
        <w:t>OBS:Defasagem automaticamente selecionada por SIC (Critério de Informação de Schwartz). Seleção Newey-West</w:t>
      </w:r>
      <w:r w:rsidRPr="008F2076">
        <w:rPr>
          <w:rFonts w:ascii="Times New Roman" w:hAnsi="Times New Roman"/>
          <w:sz w:val="20"/>
          <w:szCs w:val="20"/>
          <w:lang w:val="pt-BR"/>
        </w:rPr>
        <w:t xml:space="preserve"> Band-width usando Kernel Bartlett.</w:t>
      </w:r>
    </w:p>
    <w:p w:rsidR="00553639" w:rsidRDefault="00553639" w:rsidP="000C7D2F">
      <w:pPr>
        <w:tabs>
          <w:tab w:val="left" w:pos="720"/>
        </w:tabs>
        <w:spacing w:after="0" w:line="240" w:lineRule="auto"/>
        <w:jc w:val="center"/>
        <w:rPr>
          <w:rFonts w:ascii="Times New Roman" w:hAnsi="Times New Roman"/>
          <w:sz w:val="20"/>
          <w:szCs w:val="20"/>
          <w:lang w:val="pt-BR"/>
        </w:rPr>
      </w:pPr>
    </w:p>
    <w:p w:rsidR="00553639" w:rsidRPr="004B4DF0" w:rsidRDefault="00553639" w:rsidP="007C249A">
      <w:pPr>
        <w:autoSpaceDE w:val="0"/>
        <w:autoSpaceDN w:val="0"/>
        <w:adjustRightInd w:val="0"/>
        <w:spacing w:after="0" w:line="240" w:lineRule="auto"/>
        <w:ind w:firstLine="720"/>
        <w:jc w:val="both"/>
        <w:rPr>
          <w:rFonts w:ascii="Times New Roman" w:hAnsi="Times New Roman"/>
          <w:sz w:val="24"/>
          <w:szCs w:val="24"/>
          <w:lang w:val="pt-BR"/>
        </w:rPr>
      </w:pPr>
      <w:r w:rsidRPr="004B4DF0">
        <w:rPr>
          <w:rFonts w:ascii="Times New Roman" w:hAnsi="Times New Roman"/>
          <w:sz w:val="24"/>
          <w:szCs w:val="24"/>
          <w:lang w:val="pt-BR"/>
        </w:rPr>
        <w:t>Uma vez estabelecido que a relação de cointegração realmente existe, os parâmetros de longo prazo podem ser estimados de forma eficiente usando técnicas similares a de modelos de séries temporais. Neste trabalho, foi utilizado o estimador DOLS (</w:t>
      </w:r>
      <w:r w:rsidRPr="004B4DF0">
        <w:rPr>
          <w:rFonts w:ascii="Times New Roman" w:hAnsi="Times New Roman"/>
          <w:i/>
          <w:sz w:val="24"/>
          <w:szCs w:val="24"/>
          <w:lang w:val="pt-BR"/>
        </w:rPr>
        <w:t>Dynamic Ordinary Least Squares</w:t>
      </w:r>
      <w:r w:rsidRPr="004B4DF0">
        <w:rPr>
          <w:rFonts w:ascii="Times New Roman" w:hAnsi="Times New Roman"/>
          <w:sz w:val="24"/>
          <w:szCs w:val="24"/>
          <w:lang w:val="pt-BR"/>
        </w:rPr>
        <w:t>). Considere-se, por exemplo, a seguinte regressão</w:t>
      </w:r>
      <w:r>
        <w:rPr>
          <w:rFonts w:ascii="Times New Roman" w:hAnsi="Times New Roman"/>
          <w:sz w:val="24"/>
          <w:szCs w:val="24"/>
          <w:lang w:val="pt-BR"/>
        </w:rPr>
        <w:t xml:space="preserve"> </w:t>
      </w:r>
      <w:r w:rsidRPr="004B4DF0">
        <w:rPr>
          <w:rFonts w:ascii="Times New Roman" w:hAnsi="Times New Roman"/>
          <w:sz w:val="24"/>
          <w:szCs w:val="24"/>
          <w:lang w:val="pt-BR"/>
        </w:rPr>
        <w:t>em painel com efeitos fixos:</w:t>
      </w:r>
    </w:p>
    <w:p w:rsidR="00553639" w:rsidRDefault="00553639" w:rsidP="007C249A">
      <w:pPr>
        <w:autoSpaceDE w:val="0"/>
        <w:autoSpaceDN w:val="0"/>
        <w:adjustRightInd w:val="0"/>
        <w:spacing w:after="0" w:line="240" w:lineRule="auto"/>
        <w:rPr>
          <w:rFonts w:ascii="TTdcr10" w:hAnsi="TTdcr10" w:cs="TTdcr10"/>
          <w:sz w:val="24"/>
          <w:szCs w:val="24"/>
          <w:lang w:val="pt-BR"/>
        </w:rPr>
      </w:pPr>
    </w:p>
    <w:p w:rsidR="00553639" w:rsidRDefault="00553639" w:rsidP="007C249A">
      <w:pPr>
        <w:autoSpaceDE w:val="0"/>
        <w:autoSpaceDN w:val="0"/>
        <w:adjustRightInd w:val="0"/>
        <w:spacing w:after="0" w:line="240" w:lineRule="auto"/>
        <w:jc w:val="center"/>
        <w:rPr>
          <w:rFonts w:ascii="TTdcr10" w:hAnsi="TTdcr10" w:cs="TTdcr10"/>
          <w:sz w:val="20"/>
          <w:szCs w:val="20"/>
          <w:lang w:val="pt-BR"/>
        </w:rPr>
      </w:pPr>
      <w:r w:rsidRPr="00B16390">
        <w:rPr>
          <w:rFonts w:ascii="TTdcr10" w:hAnsi="TTdcr10" w:cs="TTdcr10"/>
          <w:sz w:val="24"/>
          <w:szCs w:val="24"/>
          <w:lang w:val="pt-BR"/>
        </w:rPr>
        <w:fldChar w:fldCharType="begin"/>
      </w:r>
      <w:r w:rsidRPr="00B16390">
        <w:rPr>
          <w:rFonts w:ascii="TTdcr10" w:hAnsi="TTdcr10" w:cs="TTdcr10"/>
          <w:sz w:val="24"/>
          <w:szCs w:val="24"/>
          <w:lang w:val="pt-BR"/>
        </w:rPr>
        <w:instrText xml:space="preserve"> QUOTE </w:instrText>
      </w:r>
      <w:r w:rsidRPr="00B16390">
        <w:pict>
          <v:shape id="_x0000_i1042" type="#_x0000_t75" style="width:111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1796&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B01796&quot;&gt;&lt;m:oMathPara&gt;&lt;m:oMath&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y&lt;/m:t&gt;&lt;/m:r&gt;&lt;/m:e&gt;&lt;m:sub&gt;&lt;m:r&gt;&lt;w:rPr&gt;&lt;w:rFonts w:ascii=&quot;Cambria Math&quot; w:h-ansi=&quot;Cambria Math&quot; w:cs=&quot;TTdcr10&quot;/&gt;&lt;wx:font wx:val=&quot;Cambria Math&quot;/&gt;&lt;w:i/&gt;&lt;w:sz w:val=&quot;24&quot;/&gt;&lt;w:sz-cs w:val=&quot;24&quot;/&gt;&lt;w:lang w:val=&quot;PT-BR&quot;/&gt;&lt;/w:rPr&gt;&lt;m:t&gt;i,t&lt;/m:t&gt;&lt;/m:r&gt;&lt;/m:sub&gt;&lt;/m:sSub&gt;&lt;m:r&gt;&lt;w:rPr&gt;&lt;w:rFonts w:ascii=&quot;Cambria Math&quot; w:h-ansi=&quot;Cambria Math&quot; w:cs=&quot;TTdcr10&quot;/&gt;&lt;wx:font wx:val=&quot;Cambria Math&quot;/&gt;&lt;w:i/&gt;&lt;w:sz w:val=&quot;24&quot;/&gt;&lt;w:sz-cs w:val=&quot;24&quot;/&gt;&lt;w:lang w:val=&quot;PT-BR&quot;/&gt;&lt;/w:rPr&gt;&lt;m:t&gt;=&lt;/m:t&gt;&lt;/m:r&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Î±&lt;/m:t&gt;&lt;/m:r&gt;&lt;/m:e&gt;&lt;m:sub&gt;&lt;m:r&gt;&lt;w:rPr&gt;&lt;w:rFonts w:ascii=&quot;Cambria Math&quot; w:h-ansi=&quot;Cambria Math&quot; w:cs=&quot;TTdcr10&quot;/&gt;&lt;wx:font wx:val=&quot;Cambria Math&quot;/&gt;&lt;w:i/&gt;&lt;w:sz w:val=&quot;24&quot;/&gt;&lt;w:sz-cs w:val=&quot;24&quot;/&gt;&lt;w:lang w:val=&quot;PT-BR&quot;/&gt;&lt;/w:rPr&gt;&lt;m:t&gt;i&lt;/m:t&gt;&lt;/m:r&gt;&lt;/m:sub&gt;&lt;/m:sSub&gt;&lt;m:r&gt;&lt;w:rPr&gt;&lt;w:rFonts w:ascii=&quot;Cambria Math&quot; w:h-ansi=&quot;Cambria Math&quot; w:cs=&quot;TTdcr10&quot;/&gt;&lt;wx:font wx:val=&quot;Cambria Math&quot;/&gt;&lt;w:i/&gt;&lt;w:sz w:val=&quot;24&quot;/&gt;&lt;w:sz-cs w:val=&quot;24&quot;/&gt;&lt;w:lang w:val=&quot;PT-BR&quot;/&gt;&lt;/w:rPr&gt;&lt;m:t&gt;+&lt;/m:t&gt;&lt;/m:r&gt;&lt;m:sSubSup&gt;&lt;m:sSubSupPr&gt;&lt;m:ctrlPr&gt;&lt;w:rPr&gt;&lt;w:rFonts w:ascii=&quot;Cambria Math&quot; w:h-ansi=&quot;Cambria Math&quot; w:cs=&quot;TTdcr10&quot;/&gt;&lt;wx:font wx:val=&quot;Cambria Math&quot;/&gt;&lt;w:i/&gt;&lt;w:sz w:val=&quot;24&quot;/&gt;&lt;w:sz-cs w:val=&quot;24&quot;/&gt;&lt;w:lang w:val=&quot;PT-BR&quot;/&gt;&lt;/w:rPr&gt;&lt;/m:ctrlPr&gt;&lt;/m:sSubSupPr&gt;&lt;m:e&gt;&lt;m:r&gt;&lt;w:rPr&gt;&lt;w:rFonts w:ascii=&quot;Cambria Math&quot; w:h-ansi=&quot;Cambria Math&quot; w:cs=&quot;TTdcr10&quot;/&gt;&lt;wx:font wx:val=&quot;Cambria Math&quot;/&gt;&lt;w:i/&gt;&lt;w:sz w:val=&quot;24&quot;/&gt;&lt;w:sz-cs w:val=&quot;24&quot;/&gt;&lt;w:lang w:val=&quot;PT-BR&quot;/&gt;&lt;/w:rPr&gt;&lt;m:t&gt;x&lt;/m:t&gt;&lt;/m:r&gt;&lt;/m:e&gt;&lt;m:sub&gt;&lt;m:r&gt;&lt;w:rPr&gt;&lt;w:rFonts w:ascii=&quot;Cambria Math&quot; w:h-ansi=&quot;Cambria Math&quot; w:cs=&quot;TTdcr10&quot;/&gt;&lt;wx:font wx:val=&quot;Cambria Math&quot;/&gt;&lt;w:i/&gt;&lt;w:sz w:val=&quot;24&quot;/&gt;&lt;w:sz-cs w:val=&quot;24&quot;/&gt;&lt;w:lang w:val=&quot;PT-BR&quot;/&gt;&lt;/w:rPr&gt;&lt;m:t&gt;i,t&lt;/m:t&gt;&lt;/m:r&gt;&lt;/m:sub&gt;&lt;m:sup&gt;&lt;m:r&gt;&lt;w:rPr&gt;&lt;w:rFonts w:ascii=&quot;Cambria Math&quot; w:h-ansi=&quot;Cambria Math&quot; w:cs=&quot;TTdcr10&quot;/&gt;&lt;wx:font wx:val=&quot;Cambria Math&quot;/&gt;&lt;w:i/&gt;&lt;w:sz w:val=&quot;24&quot;/&gt;&lt;w:sz-cs w:val=&quot;24&quot;/&gt;&lt;w:lang w:val=&quot;PT-BR&quot;/&gt;&lt;/w:rPr&gt;&lt;m:t&gt;'&lt;/m:t&gt;&lt;/m:r&gt;&lt;/m:sup&gt;&lt;/m:sSubSup&gt;&lt;m:r&gt;&lt;w:rPr&gt;&lt;w:rFonts w:ascii=&quot;Cambria Math&quot; w:h-ansi=&quot;Cambria Math&quot; w:cs=&quot;TTdcr10&quot;/&gt;&lt;wx:font wx:val=&quot;Cambria Math&quot;/&gt;&lt;w:i/&gt;&lt;w:sz w:val=&quot;24&quot;/&gt;&lt;w:sz-cs w:val=&quot;24&quot;/&gt;&lt;w:lang w:val=&quot;PT-BR&quot;/&gt;&lt;/w:rPr&gt;&lt;m:t&gt;Î²+&lt;/m:t&gt;&lt;/m:r&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u&lt;/m:t&gt;&lt;/m:r&gt;&lt;/m:e&gt;&lt;m:sub&gt;&lt;m:r&gt;&lt;w:rPr&gt;&lt;w:rFonts w:ascii=&quot;Cambria Math&quot; w:h-ansi=&quot;Cambria Math&quot; w:cs=&quot;TTdcr10&quot;/&gt;&lt;wx:font wx:val=&quot;Cambria Math&quot;/&gt;&lt;w:i/&gt;&lt;w:sz w:val=&quot;24&quot;/&gt;&lt;w:sz-cs w:val=&quot;24&quot;/&gt;&lt;w:lang w:val=&quot;PT-BR&quot;/&gt;&lt;/w:rPr&gt;&lt;m:t&gt;i,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B16390">
        <w:rPr>
          <w:rFonts w:ascii="TTdcr10" w:hAnsi="TTdcr10" w:cs="TTdcr10"/>
          <w:sz w:val="24"/>
          <w:szCs w:val="24"/>
          <w:lang w:val="pt-BR"/>
        </w:rPr>
        <w:instrText xml:space="preserve"> </w:instrText>
      </w:r>
      <w:r w:rsidRPr="00B16390">
        <w:rPr>
          <w:rFonts w:ascii="TTdcr10" w:hAnsi="TTdcr10" w:cs="TTdcr10"/>
          <w:sz w:val="24"/>
          <w:szCs w:val="24"/>
          <w:lang w:val="pt-BR"/>
        </w:rPr>
        <w:fldChar w:fldCharType="separate"/>
      </w:r>
      <w:r w:rsidRPr="00B16390">
        <w:pict>
          <v:shape id="_x0000_i1043" type="#_x0000_t75" style="width:111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1796&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B01796&quot;&gt;&lt;m:oMathPara&gt;&lt;m:oMath&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y&lt;/m:t&gt;&lt;/m:r&gt;&lt;/m:e&gt;&lt;m:sub&gt;&lt;m:r&gt;&lt;w:rPr&gt;&lt;w:rFonts w:ascii=&quot;Cambria Math&quot; w:h-ansi=&quot;Cambria Math&quot; w:cs=&quot;TTdcr10&quot;/&gt;&lt;wx:font wx:val=&quot;Cambria Math&quot;/&gt;&lt;w:i/&gt;&lt;w:sz w:val=&quot;24&quot;/&gt;&lt;w:sz-cs w:val=&quot;24&quot;/&gt;&lt;w:lang w:val=&quot;PT-BR&quot;/&gt;&lt;/w:rPr&gt;&lt;m:t&gt;i,t&lt;/m:t&gt;&lt;/m:r&gt;&lt;/m:sub&gt;&lt;/m:sSub&gt;&lt;m:r&gt;&lt;w:rPr&gt;&lt;w:rFonts w:ascii=&quot;Cambria Math&quot; w:h-ansi=&quot;Cambria Math&quot; w:cs=&quot;TTdcr10&quot;/&gt;&lt;wx:font wx:val=&quot;Cambria Math&quot;/&gt;&lt;w:i/&gt;&lt;w:sz w:val=&quot;24&quot;/&gt;&lt;w:sz-cs w:val=&quot;24&quot;/&gt;&lt;w:lang w:val=&quot;PT-BR&quot;/&gt;&lt;/w:rPr&gt;&lt;m:t&gt;=&lt;/m:t&gt;&lt;/m:r&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Î±&lt;/m:t&gt;&lt;/m:r&gt;&lt;/m:e&gt;&lt;m:sub&gt;&lt;m:r&gt;&lt;w:rPr&gt;&lt;w:rFonts w:ascii=&quot;Cambria Math&quot; w:h-ansi=&quot;Cambria Math&quot; w:cs=&quot;TTdcr10&quot;/&gt;&lt;wx:font wx:val=&quot;Cambria Math&quot;/&gt;&lt;w:i/&gt;&lt;w:sz w:val=&quot;24&quot;/&gt;&lt;w:sz-cs w:val=&quot;24&quot;/&gt;&lt;w:lang w:val=&quot;PT-BR&quot;/&gt;&lt;/w:rPr&gt;&lt;m:t&gt;i&lt;/m:t&gt;&lt;/m:r&gt;&lt;/m:sub&gt;&lt;/m:sSub&gt;&lt;m:r&gt;&lt;w:rPr&gt;&lt;w:rFonts w:ascii=&quot;Cambria Math&quot; w:h-ansi=&quot;Cambria Math&quot; w:cs=&quot;TTdcr10&quot;/&gt;&lt;wx:font wx:val=&quot;Cambria Math&quot;/&gt;&lt;w:i/&gt;&lt;w:sz w:val=&quot;24&quot;/&gt;&lt;w:sz-cs w:val=&quot;24&quot;/&gt;&lt;w:lang w:val=&quot;PT-BR&quot;/&gt;&lt;/w:rPr&gt;&lt;m:t&gt;+&lt;/m:t&gt;&lt;/m:r&gt;&lt;m:sSubSup&gt;&lt;m:sSubSupPr&gt;&lt;m:ctrlPr&gt;&lt;w:rPr&gt;&lt;w:rFonts w:ascii=&quot;Cambria Math&quot; w:h-ansi=&quot;Cambria Math&quot; w:cs=&quot;TTdcr10&quot;/&gt;&lt;wx:font wx:val=&quot;Cambria Math&quot;/&gt;&lt;w:i/&gt;&lt;w:sz w:val=&quot;24&quot;/&gt;&lt;w:sz-cs w:val=&quot;24&quot;/&gt;&lt;w:lang w:val=&quot;PT-BR&quot;/&gt;&lt;/w:rPr&gt;&lt;/m:ctrlPr&gt;&lt;/m:sSubSupPr&gt;&lt;m:e&gt;&lt;m:r&gt;&lt;w:rPr&gt;&lt;w:rFonts w:ascii=&quot;Cambria Math&quot; w:h-ansi=&quot;Cambria Math&quot; w:cs=&quot;TTdcr10&quot;/&gt;&lt;wx:font wx:val=&quot;Cambria Math&quot;/&gt;&lt;w:i/&gt;&lt;w:sz w:val=&quot;24&quot;/&gt;&lt;w:sz-cs w:val=&quot;24&quot;/&gt;&lt;w:lang w:val=&quot;PT-BR&quot;/&gt;&lt;/w:rPr&gt;&lt;m:t&gt;x&lt;/m:t&gt;&lt;/m:r&gt;&lt;/m:e&gt;&lt;m:sub&gt;&lt;m:r&gt;&lt;w:rPr&gt;&lt;w:rFonts w:ascii=&quot;Cambria Math&quot; w:h-ansi=&quot;Cambria Math&quot; w:cs=&quot;TTdcr10&quot;/&gt;&lt;wx:font wx:val=&quot;Cambria Math&quot;/&gt;&lt;w:i/&gt;&lt;w:sz w:val=&quot;24&quot;/&gt;&lt;w:sz-cs w:val=&quot;24&quot;/&gt;&lt;w:lang w:val=&quot;PT-BR&quot;/&gt;&lt;/w:rPr&gt;&lt;m:t&gt;i,t&lt;/m:t&gt;&lt;/m:r&gt;&lt;/m:sub&gt;&lt;m:sup&gt;&lt;m:r&gt;&lt;w:rPr&gt;&lt;w:rFonts w:ascii=&quot;Cambria Math&quot; w:h-ansi=&quot;Cambria Math&quot; w:cs=&quot;TTdcr10&quot;/&gt;&lt;wx:font wx:val=&quot;Cambria Math&quot;/&gt;&lt;w:i/&gt;&lt;w:sz w:val=&quot;24&quot;/&gt;&lt;w:sz-cs w:val=&quot;24&quot;/&gt;&lt;w:lang w:val=&quot;PT-BR&quot;/&gt;&lt;/w:rPr&gt;&lt;m:t&gt;'&lt;/m:t&gt;&lt;/m:r&gt;&lt;/m:sup&gt;&lt;/m:sSubSup&gt;&lt;m:r&gt;&lt;w:rPr&gt;&lt;w:rFonts w:ascii=&quot;Cambria Math&quot; w:h-ansi=&quot;Cambria Math&quot; w:cs=&quot;TTdcr10&quot;/&gt;&lt;wx:font wx:val=&quot;Cambria Math&quot;/&gt;&lt;w:i/&gt;&lt;w:sz w:val=&quot;24&quot;/&gt;&lt;w:sz-cs w:val=&quot;24&quot;/&gt;&lt;w:lang w:val=&quot;PT-BR&quot;/&gt;&lt;/w:rPr&gt;&lt;m:t&gt;Î²+&lt;/m:t&gt;&lt;/m:r&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u&lt;/m:t&gt;&lt;/m:r&gt;&lt;/m:e&gt;&lt;m:sub&gt;&lt;m:r&gt;&lt;w:rPr&gt;&lt;w:rFonts w:ascii=&quot;Cambria Math&quot; w:h-ansi=&quot;Cambria Math&quot; w:cs=&quot;TTdcr10&quot;/&gt;&lt;wx:font wx:val=&quot;Cambria Math&quot;/&gt;&lt;w:i/&gt;&lt;w:sz w:val=&quot;24&quot;/&gt;&lt;w:sz-cs w:val=&quot;24&quot;/&gt;&lt;w:lang w:val=&quot;PT-BR&quot;/&gt;&lt;/w:rPr&gt;&lt;m:t&gt;i,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B16390">
        <w:rPr>
          <w:rFonts w:ascii="TTdcr10" w:hAnsi="TTdcr10" w:cs="TTdcr10"/>
          <w:sz w:val="24"/>
          <w:szCs w:val="24"/>
          <w:lang w:val="pt-BR"/>
        </w:rPr>
        <w:fldChar w:fldCharType="end"/>
      </w:r>
      <w:r>
        <w:rPr>
          <w:rFonts w:ascii="TTdcr10" w:hAnsi="TTdcr10" w:cs="TTdcr10"/>
          <w:sz w:val="24"/>
          <w:szCs w:val="24"/>
          <w:lang w:val="pt-BR"/>
        </w:rPr>
        <w:t xml:space="preserve"> ,</w:t>
      </w:r>
      <w:r w:rsidRPr="004B4DF0">
        <w:rPr>
          <w:rFonts w:ascii="Times New Roman" w:hAnsi="Times New Roman"/>
          <w:sz w:val="20"/>
          <w:szCs w:val="20"/>
          <w:lang w:val="pt-BR"/>
        </w:rPr>
        <w:t xml:space="preserve"> </w:t>
      </w:r>
    </w:p>
    <w:p w:rsidR="00553639" w:rsidRPr="004B4DF0" w:rsidRDefault="00553639" w:rsidP="007C249A">
      <w:pPr>
        <w:autoSpaceDE w:val="0"/>
        <w:autoSpaceDN w:val="0"/>
        <w:adjustRightInd w:val="0"/>
        <w:spacing w:after="0" w:line="240" w:lineRule="auto"/>
        <w:jc w:val="center"/>
        <w:rPr>
          <w:rFonts w:ascii="TTdcr10" w:hAnsi="TTdcr10" w:cs="TTdcr10"/>
          <w:sz w:val="24"/>
          <w:szCs w:val="24"/>
          <w:lang w:val="pt-BR"/>
        </w:rPr>
      </w:pPr>
    </w:p>
    <w:p w:rsidR="00553639" w:rsidRPr="004B4DF0" w:rsidRDefault="00553639" w:rsidP="007C249A">
      <w:pPr>
        <w:autoSpaceDE w:val="0"/>
        <w:autoSpaceDN w:val="0"/>
        <w:adjustRightInd w:val="0"/>
        <w:spacing w:after="0" w:line="240" w:lineRule="auto"/>
        <w:jc w:val="both"/>
        <w:rPr>
          <w:rFonts w:ascii="Times New Roman" w:hAnsi="Times New Roman"/>
          <w:sz w:val="24"/>
          <w:szCs w:val="24"/>
          <w:lang w:val="pt-BR"/>
        </w:rPr>
      </w:pPr>
      <w:r w:rsidRPr="004B4DF0">
        <w:rPr>
          <w:rFonts w:ascii="Times New Roman" w:hAnsi="Times New Roman"/>
          <w:sz w:val="24"/>
          <w:szCs w:val="24"/>
          <w:lang w:val="pt-BR"/>
        </w:rPr>
        <w:t xml:space="preserve">onde </w:t>
      </w:r>
      <w:r w:rsidRPr="00B16390">
        <w:rPr>
          <w:rFonts w:ascii="Times New Roman" w:hAnsi="Times New Roman"/>
          <w:sz w:val="14"/>
          <w:szCs w:val="14"/>
          <w:lang w:val="pt-BR"/>
        </w:rPr>
        <w:fldChar w:fldCharType="begin"/>
      </w:r>
      <w:r w:rsidRPr="00B16390">
        <w:rPr>
          <w:rFonts w:ascii="Times New Roman" w:hAnsi="Times New Roman"/>
          <w:sz w:val="14"/>
          <w:szCs w:val="14"/>
          <w:lang w:val="pt-BR"/>
        </w:rPr>
        <w:instrText xml:space="preserve"> QUOTE </w:instrText>
      </w:r>
      <w:r w:rsidRPr="00B16390">
        <w:pict>
          <v:shape id="_x0000_i1044" type="#_x0000_t75" style="width:18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7B6&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BB57B6&quot;&gt;&lt;m:oMathPara&gt;&lt;m:oMath&gt;&lt;m:sSub&gt;&lt;m:sSubPr&gt;&lt;m:ctrlPr&gt;&lt;w:rPr&gt;&lt;w:rFonts w:ascii=&quot;Cambria Math&quot; w:h-ansi=&quot;Times New Roman&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y&lt;/m:t&gt;&lt;/m:r&gt;&lt;/m:e&gt;&lt;m:sub&gt;&lt;m:r&gt;&lt;w:rPr&gt;&lt;w:rFonts w:ascii=&quot;Cambria Math&quot; w:h-ansi=&quot;Cambria Math&quot;/&gt;&lt;wx:font wx:val=&quot;Cambria Math&quot;/&gt;&lt;w:i/&gt;&lt;w:sz w:val=&quot;24&quot;/&gt;&lt;w:sz-cs w:val=&quot;24&quot;/&gt;&lt;w:lang w:val=&quot;PT-BR&quot;/&gt;&lt;/w:rPr&gt;&lt;m:t&gt;i&lt;/m:t&gt;&lt;/m:r&gt;&lt;m:r&gt;&lt;w:rPr&gt;&lt;w:rFonts w:ascii=&quot;Cambria Math&quot; w:h-ansi=&quot;Times New Roman&quot;/&gt;&lt;wx:font wx:val=&quot;Cambria Math&quot;/&gt;&lt;w:i/&gt;&lt;w:sz w:val=&quot;24&quot;/&gt;&lt;w:sz-cs w:val=&quot;24&quot;/&gt;&lt;w:lang w:val=&quot;PT-BR&quot;/&gt;&lt;/w:rPr&gt;&lt;m:t&gt;,&lt;/m:t&gt;&lt;/m:r&gt;&lt;m:r&gt;&lt;w:rPr&gt;&lt;w:rFonts w:ascii=&quot;Cambria Math&quot; w:h-ansi=&quot;Cambria Math&quot;/&gt;&lt;wx:font wx:val=&quot;Cambria Math&quot;/&gt;&lt;w:i/&gt;&lt;w:sz w:val=&quot;24&quot;/&gt;&lt;w:sz-cs w:val=&quot;24&quot;/&gt;&lt;w:lang w:val=&quot;PT-BR&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B16390">
        <w:rPr>
          <w:rFonts w:ascii="Times New Roman" w:hAnsi="Times New Roman"/>
          <w:sz w:val="14"/>
          <w:szCs w:val="14"/>
          <w:lang w:val="pt-BR"/>
        </w:rPr>
        <w:instrText xml:space="preserve"> </w:instrText>
      </w:r>
      <w:r w:rsidRPr="00B16390">
        <w:rPr>
          <w:rFonts w:ascii="Times New Roman" w:hAnsi="Times New Roman"/>
          <w:sz w:val="14"/>
          <w:szCs w:val="14"/>
          <w:lang w:val="pt-BR"/>
        </w:rPr>
        <w:fldChar w:fldCharType="separate"/>
      </w:r>
      <w:r w:rsidRPr="00B16390">
        <w:pict>
          <v:shape id="_x0000_i1045" type="#_x0000_t75" style="width:18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7B6&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BB57B6&quot;&gt;&lt;m:oMathPara&gt;&lt;m:oMath&gt;&lt;m:sSub&gt;&lt;m:sSubPr&gt;&lt;m:ctrlPr&gt;&lt;w:rPr&gt;&lt;w:rFonts w:ascii=&quot;Cambria Math&quot; w:h-ansi=&quot;Times New Roman&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y&lt;/m:t&gt;&lt;/m:r&gt;&lt;/m:e&gt;&lt;m:sub&gt;&lt;m:r&gt;&lt;w:rPr&gt;&lt;w:rFonts w:ascii=&quot;Cambria Math&quot; w:h-ansi=&quot;Cambria Math&quot;/&gt;&lt;wx:font wx:val=&quot;Cambria Math&quot;/&gt;&lt;w:i/&gt;&lt;w:sz w:val=&quot;24&quot;/&gt;&lt;w:sz-cs w:val=&quot;24&quot;/&gt;&lt;w:lang w:val=&quot;PT-BR&quot;/&gt;&lt;/w:rPr&gt;&lt;m:t&gt;i&lt;/m:t&gt;&lt;/m:r&gt;&lt;m:r&gt;&lt;w:rPr&gt;&lt;w:rFonts w:ascii=&quot;Cambria Math&quot; w:h-ansi=&quot;Times New Roman&quot;/&gt;&lt;wx:font wx:val=&quot;Cambria Math&quot;/&gt;&lt;w:i/&gt;&lt;w:sz w:val=&quot;24&quot;/&gt;&lt;w:sz-cs w:val=&quot;24&quot;/&gt;&lt;w:lang w:val=&quot;PT-BR&quot;/&gt;&lt;/w:rPr&gt;&lt;m:t&gt;,&lt;/m:t&gt;&lt;/m:r&gt;&lt;m:r&gt;&lt;w:rPr&gt;&lt;w:rFonts w:ascii=&quot;Cambria Math&quot; w:h-ansi=&quot;Cambria Math&quot;/&gt;&lt;wx:font wx:val=&quot;Cambria Math&quot;/&gt;&lt;w:i/&gt;&lt;w:sz w:val=&quot;24&quot;/&gt;&lt;w:sz-cs w:val=&quot;24&quot;/&gt;&lt;w:lang w:val=&quot;PT-BR&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B16390">
        <w:rPr>
          <w:rFonts w:ascii="Times New Roman" w:hAnsi="Times New Roman"/>
          <w:sz w:val="14"/>
          <w:szCs w:val="14"/>
          <w:lang w:val="pt-BR"/>
        </w:rPr>
        <w:fldChar w:fldCharType="end"/>
      </w:r>
      <w:r w:rsidRPr="00B22224">
        <w:rPr>
          <w:rFonts w:ascii="Times New Roman" w:hAnsi="Times New Roman"/>
          <w:sz w:val="14"/>
          <w:szCs w:val="14"/>
          <w:lang w:val="pt-BR"/>
        </w:rPr>
        <w:t xml:space="preserve"> </w:t>
      </w:r>
      <w:r w:rsidRPr="004B4DF0">
        <w:rPr>
          <w:rFonts w:ascii="Times New Roman" w:hAnsi="Times New Roman"/>
          <w:sz w:val="24"/>
          <w:szCs w:val="24"/>
          <w:lang w:val="pt-BR"/>
        </w:rPr>
        <w:t xml:space="preserve">representa a taxa de câmbio real efetiva, </w:t>
      </w:r>
      <w:r w:rsidRPr="00B16390">
        <w:rPr>
          <w:rFonts w:ascii="Times New Roman" w:hAnsi="Times New Roman"/>
          <w:sz w:val="20"/>
          <w:szCs w:val="20"/>
          <w:lang w:val="pt-BR"/>
        </w:rPr>
        <w:fldChar w:fldCharType="begin"/>
      </w:r>
      <w:r w:rsidRPr="00B16390">
        <w:rPr>
          <w:rFonts w:ascii="Times New Roman" w:hAnsi="Times New Roman"/>
          <w:sz w:val="20"/>
          <w:szCs w:val="20"/>
          <w:lang w:val="pt-BR"/>
        </w:rPr>
        <w:instrText xml:space="preserve"> QUOTE </w:instrText>
      </w:r>
      <w:r w:rsidRPr="00B16390">
        <w:pict>
          <v:shape id="_x0000_i1046" type="#_x0000_t75" style="width:1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16C8&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7116C8&quot;&gt;&lt;m:oMathPara&gt;&lt;m:oMath&gt;&lt;m:r&gt;&lt;w:rPr&gt;&lt;w:rFonts w:ascii=&quot;Cambria Math&quot; w:h-ansi=&quot;Cambria Math&quot;/&gt;&lt;wx:font wx:val=&quot;Cambria Math&quot;/&gt;&lt;w:i/&gt;&lt;w:sz w:val=&quot;24&quot;/&gt;&lt;w:sz-cs w:val=&quot;24&quot;/&gt;&lt;w:lang w:val=&quot;PT-BR&quot;/&gt;&lt;/w:rPr&gt;&lt;m:t&gt;Î²&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B16390">
        <w:rPr>
          <w:rFonts w:ascii="Times New Roman" w:hAnsi="Times New Roman"/>
          <w:sz w:val="20"/>
          <w:szCs w:val="20"/>
          <w:lang w:val="pt-BR"/>
        </w:rPr>
        <w:instrText xml:space="preserve"> </w:instrText>
      </w:r>
      <w:r w:rsidRPr="00B16390">
        <w:rPr>
          <w:rFonts w:ascii="Times New Roman" w:hAnsi="Times New Roman"/>
          <w:sz w:val="20"/>
          <w:szCs w:val="20"/>
          <w:lang w:val="pt-BR"/>
        </w:rPr>
        <w:fldChar w:fldCharType="separate"/>
      </w:r>
      <w:r w:rsidRPr="00B16390">
        <w:pict>
          <v:shape id="_x0000_i1047" type="#_x0000_t75" style="width:1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16C8&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7116C8&quot;&gt;&lt;m:oMathPara&gt;&lt;m:oMath&gt;&lt;m:r&gt;&lt;w:rPr&gt;&lt;w:rFonts w:ascii=&quot;Cambria Math&quot; w:h-ansi=&quot;Cambria Math&quot;/&gt;&lt;wx:font wx:val=&quot;Cambria Math&quot;/&gt;&lt;w:i/&gt;&lt;w:sz w:val=&quot;24&quot;/&gt;&lt;w:sz-cs w:val=&quot;24&quot;/&gt;&lt;w:lang w:val=&quot;PT-BR&quot;/&gt;&lt;/w:rPr&gt;&lt;m:t&gt;Î²&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B16390">
        <w:rPr>
          <w:rFonts w:ascii="Times New Roman" w:hAnsi="Times New Roman"/>
          <w:sz w:val="20"/>
          <w:szCs w:val="20"/>
          <w:lang w:val="pt-BR"/>
        </w:rPr>
        <w:fldChar w:fldCharType="end"/>
      </w:r>
      <w:r w:rsidRPr="00B22224">
        <w:rPr>
          <w:rFonts w:ascii="Times New Roman" w:hAnsi="Times New Roman"/>
          <w:sz w:val="20"/>
          <w:szCs w:val="20"/>
          <w:lang w:val="pt-BR"/>
        </w:rPr>
        <w:t xml:space="preserve"> </w:t>
      </w:r>
      <w:r w:rsidRPr="004B4DF0">
        <w:rPr>
          <w:rFonts w:ascii="Times New Roman" w:hAnsi="Times New Roman"/>
          <w:sz w:val="24"/>
          <w:szCs w:val="24"/>
          <w:lang w:val="pt-BR"/>
        </w:rPr>
        <w:t xml:space="preserve">é um vetor de parâmetros de parâmetros de inclinação,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48" type="#_x0000_t75" style="width:1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57B8&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3B57B8&quot;&gt;&lt;m:oMathPara&gt;&lt;m:oMath&gt;&lt;m:sSub&gt;&lt;m:sSubPr&gt;&lt;m:ctrlPr&gt;&lt;w:rPr&gt;&lt;w:rFonts w:ascii=&quot;Cambria Math&quot; w:h-ansi=&quot;Times New Roman&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lt;/m:t&gt;&lt;/m:r&gt;&lt;/m:e&gt;&lt;m:sub&gt;&lt;m:r&gt;&lt;w:rPr&gt;&lt;w:rFonts w:ascii=&quot;Cambria Math&quot; w:h-ansi=&quot;Cambria Math&quot;/&gt;&lt;wx:font wx:val=&quot;Cambria Math&quot;/&gt;&lt;w:i/&gt;&lt;w:sz w:val=&quot;24&quot;/&gt;&lt;w:sz-cs w:val=&quot;24&quot;/&gt;&lt;w:lang w:val=&quot;PT-BR&quot;/&gt;&lt;/w:rPr&gt;&lt;m:t&gt;i&lt;/m:t&gt;&lt;/m:r&gt;&lt;/m:sub&gt;&lt;/m:sSub&gt;&lt;m:r&gt;&lt;w:rPr&gt;&lt;w:rFonts w:ascii=&quot;Cambria Math&quot; w:h-ansi=&quot;Times New Roman&quot;/&gt;&lt;wx:font wx:val=&quot;Cambria Math&quot;/&gt;&lt;w:i/&gt;&lt;w:sz w:val=&quot;24&quot;/&gt;&lt;w:sz-cs w:val=&quot;24&quot;/&gt;&lt;w:lang w:val=&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49" type="#_x0000_t75" style="width:1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57B8&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3B57B8&quot;&gt;&lt;m:oMathPara&gt;&lt;m:oMath&gt;&lt;m:sSub&gt;&lt;m:sSubPr&gt;&lt;m:ctrlPr&gt;&lt;w:rPr&gt;&lt;w:rFonts w:ascii=&quot;Cambria Math&quot; w:h-ansi=&quot;Times New Roman&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Î±&lt;/m:t&gt;&lt;/m:r&gt;&lt;/m:e&gt;&lt;m:sub&gt;&lt;m:r&gt;&lt;w:rPr&gt;&lt;w:rFonts w:ascii=&quot;Cambria Math&quot; w:h-ansi=&quot;Cambria Math&quot;/&gt;&lt;wx:font wx:val=&quot;Cambria Math&quot;/&gt;&lt;w:i/&gt;&lt;w:sz w:val=&quot;24&quot;/&gt;&lt;w:sz-cs w:val=&quot;24&quot;/&gt;&lt;w:lang w:val=&quot;PT-BR&quot;/&gt;&lt;/w:rPr&gt;&lt;m:t&gt;i&lt;/m:t&gt;&lt;/m:r&gt;&lt;/m:sub&gt;&lt;/m:sSub&gt;&lt;m:r&gt;&lt;w:rPr&gt;&lt;w:rFonts w:ascii=&quot;Cambria Math&quot; w:h-ansi=&quot;Times New Roman&quot;/&gt;&lt;wx:font wx:val=&quot;Cambria Math&quot;/&gt;&lt;w:i/&gt;&lt;w:sz w:val=&quot;24&quot;/&gt;&lt;w:sz-cs w:val=&quot;24&quot;/&gt;&lt;w:lang w:val=&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B16390">
        <w:rPr>
          <w:rFonts w:ascii="Times New Roman" w:hAnsi="Times New Roman"/>
          <w:sz w:val="24"/>
          <w:szCs w:val="24"/>
          <w:lang w:val="pt-BR"/>
        </w:rPr>
        <w:fldChar w:fldCharType="end"/>
      </w:r>
      <w:r w:rsidRPr="004B4DF0">
        <w:rPr>
          <w:rFonts w:ascii="Times New Roman" w:hAnsi="Times New Roman"/>
          <w:sz w:val="24"/>
          <w:szCs w:val="24"/>
          <w:lang w:val="pt-BR"/>
        </w:rPr>
        <w:t>representa os interceptos</w:t>
      </w:r>
      <w:r>
        <w:rPr>
          <w:rFonts w:ascii="Times New Roman" w:hAnsi="Times New Roman"/>
          <w:sz w:val="24"/>
          <w:szCs w:val="24"/>
          <w:lang w:val="pt-BR"/>
        </w:rPr>
        <w:t xml:space="preserv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50" type="#_x0000_t75" style="width:24.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E6CD6&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E6CD6&quot;&gt;&lt;m:oMathPara&gt;&lt;m:oMath&gt;&lt;m:sSub&gt;&lt;m:sSubPr&gt;&lt;m:ctrlPr&gt;&lt;w:rPr&gt;&lt;w:rFonts w:ascii=&quot;Cambria Math&quot; w:h-ansi=&quot;Times New Roman&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u&lt;/m:t&gt;&lt;/m:r&gt;&lt;/m:e&gt;&lt;m:sub&gt;&lt;m:r&gt;&lt;w:rPr&gt;&lt;w:rFonts w:ascii=&quot;Cambria Math&quot; w:h-ansi=&quot;Cambria Math&quot;/&gt;&lt;wx:font wx:val=&quot;Cambria Math&quot;/&gt;&lt;w:i/&gt;&lt;w:sz w:val=&quot;24&quot;/&gt;&lt;w:sz-cs w:val=&quot;24&quot;/&gt;&lt;w:lang w:val=&quot;PT-BR&quot;/&gt;&lt;/w:rPr&gt;&lt;m:t&gt;i&lt;/m:t&gt;&lt;/m:r&gt;&lt;m:r&gt;&lt;w:rPr&gt;&lt;w:rFonts w:ascii=&quot;Cambria Math&quot; w:h-ansi=&quot;Times New Roman&quot;/&gt;&lt;wx:font wx:val=&quot;Cambria Math&quot;/&gt;&lt;w:i/&gt;&lt;w:sz w:val=&quot;24&quot;/&gt;&lt;w:sz-cs w:val=&quot;24&quot;/&gt;&lt;w:lang w:val=&quot;PT-BR&quot;/&gt;&lt;/w:rPr&gt;&lt;m:t&gt;,&lt;/m:t&gt;&lt;/m:r&gt;&lt;m:r&gt;&lt;w:rPr&gt;&lt;w:rFonts w:ascii=&quot;Cambria Math&quot; w:h-ansi=&quot;Cambria Math&quot;/&gt;&lt;wx:font wx:val=&quot;Cambria Math&quot;/&gt;&lt;w:i/&gt;&lt;w:sz w:val=&quot;24&quot;/&gt;&lt;w:sz-cs w:val=&quot;24&quot;/&gt;&lt;w:lang w:val=&quot;PT-BR&quot;/&gt;&lt;/w:rPr&gt;&lt;m:t&gt;t&lt;/m:t&gt;&lt;/m:r&gt;&lt;/m:sub&gt;&lt;/m:sSub&gt;&lt;m:r&gt;&lt;w:rPr&gt;&lt;w:rFonts w:ascii=&quot;Cambria Math&quot; w:h-ansi=&quot;Times New Roman&quot;/&gt;&lt;wx:font wx:val=&quot;Cambria Math&quot;/&gt;&lt;w:i/&gt;&lt;w:sz w:val=&quot;24&quot;/&gt;&lt;w:sz-cs w:val=&quot;24&quot;/&gt;&lt;w:lang w:val=&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51" type="#_x0000_t75" style="width:24.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E6CD6&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E6CD6&quot;&gt;&lt;m:oMathPara&gt;&lt;m:oMath&gt;&lt;m:sSub&gt;&lt;m:sSubPr&gt;&lt;m:ctrlPr&gt;&lt;w:rPr&gt;&lt;w:rFonts w:ascii=&quot;Cambria Math&quot; w:h-ansi=&quot;Times New Roman&quot;/&gt;&lt;wx:font wx:val=&quot;Cambria Math&quot;/&gt;&lt;w:i/&gt;&lt;w:sz w:val=&quot;24&quot;/&gt;&lt;w:sz-cs w:val=&quot;24&quot;/&gt;&lt;w:lang w:val=&quot;PT-BR&quot;/&gt;&lt;/w:rPr&gt;&lt;/m:ctrlPr&gt;&lt;/m:sSubPr&gt;&lt;m:e&gt;&lt;m:r&gt;&lt;w:rPr&gt;&lt;w:rFonts w:ascii=&quot;Cambria Math&quot; w:h-ansi=&quot;Cambria Math&quot;/&gt;&lt;wx:font wx:val=&quot;Cambria Math&quot;/&gt;&lt;w:i/&gt;&lt;w:sz w:val=&quot;24&quot;/&gt;&lt;w:sz-cs w:val=&quot;24&quot;/&gt;&lt;w:lang w:val=&quot;PT-BR&quot;/&gt;&lt;/w:rPr&gt;&lt;m:t&gt;u&lt;/m:t&gt;&lt;/m:r&gt;&lt;/m:e&gt;&lt;m:sub&gt;&lt;m:r&gt;&lt;w:rPr&gt;&lt;w:rFonts w:ascii=&quot;Cambria Math&quot; w:h-ansi=&quot;Cambria Math&quot;/&gt;&lt;wx:font wx:val=&quot;Cambria Math&quot;/&gt;&lt;w:i/&gt;&lt;w:sz w:val=&quot;24&quot;/&gt;&lt;w:sz-cs w:val=&quot;24&quot;/&gt;&lt;w:lang w:val=&quot;PT-BR&quot;/&gt;&lt;/w:rPr&gt;&lt;m:t&gt;i&lt;/m:t&gt;&lt;/m:r&gt;&lt;m:r&gt;&lt;w:rPr&gt;&lt;w:rFonts w:ascii=&quot;Cambria Math&quot; w:h-ansi=&quot;Times New Roman&quot;/&gt;&lt;wx:font wx:val=&quot;Cambria Math&quot;/&gt;&lt;w:i/&gt;&lt;w:sz w:val=&quot;24&quot;/&gt;&lt;w:sz-cs w:val=&quot;24&quot;/&gt;&lt;w:lang w:val=&quot;PT-BR&quot;/&gt;&lt;/w:rPr&gt;&lt;m:t&gt;,&lt;/m:t&gt;&lt;/m:r&gt;&lt;m:r&gt;&lt;w:rPr&gt;&lt;w:rFonts w:ascii=&quot;Cambria Math&quot; w:h-ansi=&quot;Cambria Math&quot;/&gt;&lt;wx:font wx:val=&quot;Cambria Math&quot;/&gt;&lt;w:i/&gt;&lt;w:sz w:val=&quot;24&quot;/&gt;&lt;w:sz-cs w:val=&quot;24&quot;/&gt;&lt;w:lang w:val=&quot;PT-BR&quot;/&gt;&lt;/w:rPr&gt;&lt;m:t&gt;t&lt;/m:t&gt;&lt;/m:r&gt;&lt;/m:sub&gt;&lt;/m:sSub&gt;&lt;m:r&gt;&lt;w:rPr&gt;&lt;w:rFonts w:ascii=&quot;Cambria Math&quot; w:h-ansi=&quot;Times New Roman&quot;/&gt;&lt;wx:font wx:val=&quot;Cambria Math&quot;/&gt;&lt;w:i/&gt;&lt;w:sz w:val=&quot;24&quot;/&gt;&lt;w:sz-cs w:val=&quot;24&quot;/&gt;&lt;w:lang w:val=&quot;PT-BR&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w:t>
      </w:r>
      <w:r w:rsidRPr="004B4DF0">
        <w:rPr>
          <w:rFonts w:ascii="Times New Roman" w:hAnsi="Times New Roman"/>
          <w:sz w:val="24"/>
          <w:szCs w:val="24"/>
          <w:lang w:val="pt-BR"/>
        </w:rPr>
        <w:t>são os termos residuais estacionários, e</w:t>
      </w:r>
      <w:r w:rsidRPr="00B16390">
        <w:rPr>
          <w:rFonts w:ascii="Times New Roman" w:hAnsi="Times New Roman"/>
          <w:sz w:val="14"/>
          <w:szCs w:val="14"/>
          <w:lang w:val="pt-BR"/>
        </w:rPr>
        <w:fldChar w:fldCharType="begin"/>
      </w:r>
      <w:r w:rsidRPr="00B16390">
        <w:rPr>
          <w:rFonts w:ascii="Times New Roman" w:hAnsi="Times New Roman"/>
          <w:sz w:val="14"/>
          <w:szCs w:val="14"/>
          <w:lang w:val="pt-BR"/>
        </w:rPr>
        <w:instrText xml:space="preserve"> QUOTE </w:instrText>
      </w:r>
      <w:r w:rsidRPr="00B16390">
        <w:pict>
          <v:shape id="_x0000_i1052" type="#_x0000_t75" style="width:21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A1A21&quot;/&gt;&lt;wsp:rsid wsp:val=&quot;00FD59DC&quot;/&gt;&lt;/wsp:rsids&gt;&lt;/w:docPr&gt;&lt;w:body&gt;&lt;w:p wsp:rsidR=&quot;00000000&quot; wsp:rsidRDefault=&quot;00FA1A21&quot;&gt;&lt;m:oMathPara&gt;&lt;m:oMath&gt;&lt;m:r&gt;&lt;w:rPr&gt;&lt;w:rFonts w:ascii=&quot;Cambria Math&quot; w:h-ansi=&quot;Times New Roman&quot;/&gt;&lt;wx:font wx:val=&quot;Cambria Math&quot;/&gt;&lt;w:i/&gt;&lt;w:sz w:val=&quot;24&quot;/&gt;&lt;w:sz-cs w:val=&quot;24&quot;/&gt;&lt;w:lang w:val=&quot;PT-BR&quot;/&gt;&lt;/w:rPr&gt;&lt;m:t&gt; &lt;/m:t&gt;&lt;/m:r&gt;&lt;m:sSubSup&gt;&lt;m:sSubSupPr&gt;&lt;m:ctrlPr&gt;&lt;w:rPr&gt;&lt;w:rFonts w:ascii=&quot;Cambria Math&quot; w:h-ansi=&quot;Times New Roman&quot;/&gt;&lt;wx:font wx:val=&quot;Cambria Math&quot;/&gt;&lt;w:i/&gt;&lt;w:sz w:val=&quot;24&quot;/&gt;&lt;w:sz-cs w:val=&quot;24&quot;/&gt;&lt;w:lang w:val=&quot;PT-BR&quot;/&gt;&lt;/w:rPr&gt;&lt;/m:ctrlPr&gt;&lt;/m:sSubSupPr&gt;&lt;m:e&gt;&lt;m:r&gt;&lt;w:rPr&gt;&lt;w:rFonts w:ascii=&quot;Cambria Math&quot; w:h-ansi=&quot;Cambria Math&quot;/&gt;&lt;wx:font wx:val=&quot;Cambria Math&quot;/&gt;&lt;w:i/&gt;&lt;w:sz w:val=&quot;24&quot;/&gt;&lt;w:sz-cs w:val=&quot;24&quot;/&gt;&lt;w:lang w:val=&quot;PT-BR&quot;/&gt;&lt;/w:rPr&gt;&lt;m:t&gt;x&lt;/m:t&gt;&lt;/m:r&gt;&lt;/m:e&gt;&lt;m:sub&gt;&lt;m:r&gt;&lt;w:rPr&gt;&lt;w:rFonts w:ascii=&quot;Cambria Math&quot; w:h-ansi=&quot;Cambria Math&quot;/&gt;&lt;wx:font wx:val=&quot;Cambria Math&quot;/&gt;&lt;w:i/&gt;&lt;w:sz w:val=&quot;24&quot;/&gt;&lt;w:sz-cs w:val=&quot;24&quot;/&gt;&lt;w:lang w:val=&quot;PT-BR&quot;/&gt;&lt;/w:rPr&gt;&lt;m:t&gt;i&lt;/m:t&gt;&lt;/m:r&gt;&lt;m:r&gt;&lt;w:rPr&gt;&lt;w:rFonts w:ascii=&quot;Cambria Math&quot; w:h-ansi=&quot;Times New Roman&quot;/&gt;&lt;wx:font wx:val=&quot;Cambria Math&quot;/&gt;&lt;w:i/&gt;&lt;w:sz w:val=&quot;24&quot;/&gt;&lt;w:sz-cs w:val=&quot;24&quot;/&gt;&lt;w:lang w:val=&quot;PT-BR&quot;/&gt;&lt;/w:rPr&gt;&lt;m:t&gt;,&lt;/m:t&gt;&lt;/m:r&gt;&lt;m:r&gt;&lt;w:rPr&gt;&lt;w:rFonts w:ascii=&quot;Cambria Math&quot; w:h-ansi=&quot;Cambria Math&quot;/&gt;&lt;wx:font wx:val=&quot;Cambria Math&quot;/&gt;&lt;w:i/&gt;&lt;w:sz w:val=&quot;24&quot;/&gt;&lt;w:sz-cs w:val=&quot;24&quot;/&gt;&lt;w:lang w:val=&quot;PT-BR&quot;/&gt;&lt;/w:rPr&gt;&lt;m:t&gt;t&lt;/m:t&gt;&lt;/m:r&gt;&lt;/m:sub&gt;&lt;m:sup&gt;&lt;m:r&gt;&lt;w:rPr&gt;&lt;w:rFonts w:ascii=&quot;Cambria Math&quot; w:h-ansi=&quot;Times New Roman&quot;/&gt;&lt;wx:font wx:val=&quot;Times New Roman&quot;/&gt;&lt;w:i/&gt;&lt;w:sz w:val=&quot;24&quot;/&gt;&lt;w:sz-cs w:val=&quot;24&quot;/&gt;&lt;w:lang w:val=&quot;PT-BR&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B16390">
        <w:rPr>
          <w:rFonts w:ascii="Times New Roman" w:hAnsi="Times New Roman"/>
          <w:sz w:val="14"/>
          <w:szCs w:val="14"/>
          <w:lang w:val="pt-BR"/>
        </w:rPr>
        <w:instrText xml:space="preserve"> </w:instrText>
      </w:r>
      <w:r w:rsidRPr="00B16390">
        <w:rPr>
          <w:rFonts w:ascii="Times New Roman" w:hAnsi="Times New Roman"/>
          <w:sz w:val="14"/>
          <w:szCs w:val="14"/>
          <w:lang w:val="pt-BR"/>
        </w:rPr>
        <w:fldChar w:fldCharType="separate"/>
      </w:r>
      <w:r w:rsidRPr="00B16390">
        <w:pict>
          <v:shape id="_x0000_i1053" type="#_x0000_t75" style="width:21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A1A21&quot;/&gt;&lt;wsp:rsid wsp:val=&quot;00FD59DC&quot;/&gt;&lt;/wsp:rsids&gt;&lt;/w:docPr&gt;&lt;w:body&gt;&lt;w:p wsp:rsidR=&quot;00000000&quot; wsp:rsidRDefault=&quot;00FA1A21&quot;&gt;&lt;m:oMathPara&gt;&lt;m:oMath&gt;&lt;m:r&gt;&lt;w:rPr&gt;&lt;w:rFonts w:ascii=&quot;Cambria Math&quot; w:h-ansi=&quot;Times New Roman&quot;/&gt;&lt;wx:font wx:val=&quot;Cambria Math&quot;/&gt;&lt;w:i/&gt;&lt;w:sz w:val=&quot;24&quot;/&gt;&lt;w:sz-cs w:val=&quot;24&quot;/&gt;&lt;w:lang w:val=&quot;PT-BR&quot;/&gt;&lt;/w:rPr&gt;&lt;m:t&gt; &lt;/m:t&gt;&lt;/m:r&gt;&lt;m:sSubSup&gt;&lt;m:sSubSupPr&gt;&lt;m:ctrlPr&gt;&lt;w:rPr&gt;&lt;w:rFonts w:ascii=&quot;Cambria Math&quot; w:h-ansi=&quot;Times New Roman&quot;/&gt;&lt;wx:font wx:val=&quot;Cambria Math&quot;/&gt;&lt;w:i/&gt;&lt;w:sz w:val=&quot;24&quot;/&gt;&lt;w:sz-cs w:val=&quot;24&quot;/&gt;&lt;w:lang w:val=&quot;PT-BR&quot;/&gt;&lt;/w:rPr&gt;&lt;/m:ctrlPr&gt;&lt;/m:sSubSupPr&gt;&lt;m:e&gt;&lt;m:r&gt;&lt;w:rPr&gt;&lt;w:rFonts w:ascii=&quot;Cambria Math&quot; w:h-ansi=&quot;Cambria Math&quot;/&gt;&lt;wx:font wx:val=&quot;Cambria Math&quot;/&gt;&lt;w:i/&gt;&lt;w:sz w:val=&quot;24&quot;/&gt;&lt;w:sz-cs w:val=&quot;24&quot;/&gt;&lt;w:lang w:val=&quot;PT-BR&quot;/&gt;&lt;/w:rPr&gt;&lt;m:t&gt;x&lt;/m:t&gt;&lt;/m:r&gt;&lt;/m:e&gt;&lt;m:sub&gt;&lt;m:r&gt;&lt;w:rPr&gt;&lt;w:rFonts w:ascii=&quot;Cambria Math&quot; w:h-ansi=&quot;Cambria Math&quot;/&gt;&lt;wx:font wx:val=&quot;Cambria Math&quot;/&gt;&lt;w:i/&gt;&lt;w:sz w:val=&quot;24&quot;/&gt;&lt;w:sz-cs w:val=&quot;24&quot;/&gt;&lt;w:lang w:val=&quot;PT-BR&quot;/&gt;&lt;/w:rPr&gt;&lt;m:t&gt;i&lt;/m:t&gt;&lt;/m:r&gt;&lt;m:r&gt;&lt;w:rPr&gt;&lt;w:rFonts w:ascii=&quot;Cambria Math&quot; w:h-ansi=&quot;Times New Roman&quot;/&gt;&lt;wx:font wx:val=&quot;Cambria Math&quot;/&gt;&lt;w:i/&gt;&lt;w:sz w:val=&quot;24&quot;/&gt;&lt;w:sz-cs w:val=&quot;24&quot;/&gt;&lt;w:lang w:val=&quot;PT-BR&quot;/&gt;&lt;/w:rPr&gt;&lt;m:t&gt;,&lt;/m:t&gt;&lt;/m:r&gt;&lt;m:r&gt;&lt;w:rPr&gt;&lt;w:rFonts w:ascii=&quot;Cambria Math&quot; w:h-ansi=&quot;Cambria Math&quot;/&gt;&lt;wx:font wx:val=&quot;Cambria Math&quot;/&gt;&lt;w:i/&gt;&lt;w:sz w:val=&quot;24&quot;/&gt;&lt;w:sz-cs w:val=&quot;24&quot;/&gt;&lt;w:lang w:val=&quot;PT-BR&quot;/&gt;&lt;/w:rPr&gt;&lt;m:t&gt;t&lt;/m:t&gt;&lt;/m:r&gt;&lt;/m:sub&gt;&lt;m:sup&gt;&lt;m:r&gt;&lt;w:rPr&gt;&lt;w:rFonts w:ascii=&quot;Cambria Math&quot; w:h-ansi=&quot;Times New Roman&quot;/&gt;&lt;wx:font wx:val=&quot;Times New Roman&quot;/&gt;&lt;w:i/&gt;&lt;w:sz w:val=&quot;24&quot;/&gt;&lt;w:sz-cs w:val=&quot;24&quot;/&gt;&lt;w:lang w:val=&quot;PT-BR&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B16390">
        <w:rPr>
          <w:rFonts w:ascii="Times New Roman" w:hAnsi="Times New Roman"/>
          <w:sz w:val="14"/>
          <w:szCs w:val="14"/>
          <w:lang w:val="pt-BR"/>
        </w:rPr>
        <w:fldChar w:fldCharType="end"/>
      </w:r>
      <w:r w:rsidRPr="00B22224">
        <w:rPr>
          <w:rFonts w:ascii="Times New Roman" w:hAnsi="Times New Roman"/>
          <w:sz w:val="14"/>
          <w:szCs w:val="14"/>
          <w:lang w:val="pt-BR"/>
        </w:rPr>
        <w:t xml:space="preserve"> </w:t>
      </w:r>
      <w:r w:rsidRPr="004B4DF0">
        <w:rPr>
          <w:rFonts w:ascii="Times New Roman" w:hAnsi="Times New Roman"/>
          <w:sz w:val="24"/>
          <w:szCs w:val="24"/>
          <w:lang w:val="pt-BR"/>
        </w:rPr>
        <w:t>representa o vetor de fundamentos da TCRE (Ativos Estrangeiros Líquidos/GDP, Produtividade Relativa e Abertura Comercial)</w:t>
      </w:r>
      <w:r w:rsidRPr="004B4DF0">
        <w:rPr>
          <w:rFonts w:ascii="Times New Roman" w:hAnsi="Times New Roman"/>
          <w:sz w:val="16"/>
          <w:szCs w:val="16"/>
          <w:lang w:val="pt-BR"/>
        </w:rPr>
        <w:t xml:space="preserve">. </w:t>
      </w:r>
      <w:r>
        <w:rPr>
          <w:rFonts w:ascii="Times New Roman" w:hAnsi="Times New Roman"/>
          <w:sz w:val="24"/>
          <w:szCs w:val="24"/>
          <w:lang w:val="pt-BR"/>
        </w:rPr>
        <w:t>O estimador DOLS</w:t>
      </w:r>
      <w:r w:rsidRPr="004B4DF0">
        <w:rPr>
          <w:rFonts w:ascii="Times New Roman" w:hAnsi="Times New Roman"/>
          <w:sz w:val="24"/>
          <w:szCs w:val="24"/>
          <w:lang w:val="pt-BR"/>
        </w:rPr>
        <w:t xml:space="preserve"> pode ser obtido rodando-se a seguinte equação:</w:t>
      </w:r>
    </w:p>
    <w:p w:rsidR="00553639" w:rsidRPr="004B4DF0" w:rsidRDefault="00553639" w:rsidP="007C249A">
      <w:pPr>
        <w:autoSpaceDE w:val="0"/>
        <w:autoSpaceDN w:val="0"/>
        <w:adjustRightInd w:val="0"/>
        <w:spacing w:after="0" w:line="240" w:lineRule="auto"/>
        <w:jc w:val="both"/>
        <w:rPr>
          <w:rFonts w:ascii="Times New Roman" w:hAnsi="Times New Roman"/>
          <w:sz w:val="24"/>
          <w:szCs w:val="24"/>
          <w:lang w:val="pt-BR"/>
        </w:rPr>
      </w:pPr>
    </w:p>
    <w:p w:rsidR="00553639" w:rsidRPr="00310BAF" w:rsidRDefault="00553639" w:rsidP="007C249A">
      <w:pPr>
        <w:autoSpaceDE w:val="0"/>
        <w:autoSpaceDN w:val="0"/>
        <w:adjustRightInd w:val="0"/>
        <w:spacing w:after="0" w:line="240" w:lineRule="auto"/>
        <w:jc w:val="both"/>
        <w:rPr>
          <w:rFonts w:ascii="TTdcr10" w:hAnsi="TTdcr10" w:cs="TTdcr10"/>
          <w:sz w:val="24"/>
          <w:szCs w:val="24"/>
          <w:lang w:val="pt-BR"/>
        </w:rPr>
      </w:pPr>
      <w:r w:rsidRPr="00B16390">
        <w:pict>
          <v:shape id="_x0000_i1054" type="#_x0000_t75" style="width:156.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1700&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E51700&quot;&gt;&lt;m:oMathPara&gt;&lt;m:oMath&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y&lt;/m:t&gt;&lt;/m:r&gt;&lt;/m:e&gt;&lt;m:sub&gt;&lt;m:r&gt;&lt;w:rPr&gt;&lt;w:rFonts w:ascii=&quot;Cambria Math&quot; w:h-ansi=&quot;Cambria Math&quot; w:cs=&quot;TTdcr10&quot;/&gt;&lt;wx:font wx:val=&quot;Cambria Math&quot;/&gt;&lt;w:i/&gt;&lt;w:sz w:val=&quot;24&quot;/&gt;&lt;w:sz-cs w:val=&quot;24&quot;/&gt;&lt;w:lang w:val=&quot;PT-BR&quot;/&gt;&lt;/w:rPr&gt;&lt;m:t&gt;i,t&lt;/m:t&gt;&lt;/m:r&gt;&lt;/m:sub&gt;&lt;/m:sSub&gt;&lt;m:r&gt;&lt;w:rPr&gt;&lt;w:rFonts w:ascii=&quot;Cambria Math&quot; w:h-ansi=&quot;Cambria Math&quot; w:cs=&quot;TTdcr10&quot;/&gt;&lt;wx:font wx:val=&quot;Cambria Math&quot;/&gt;&lt;w:i/&gt;&lt;w:sz w:val=&quot;24&quot;/&gt;&lt;w:sz-cs w:val=&quot;24&quot;/&gt;&lt;w:lang w:val=&quot;PT-BR&quot;/&gt;&lt;/w:rPr&gt;&lt;m:t&gt;=&lt;/m:t&gt;&lt;/m:r&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Î±&lt;/m:t&gt;&lt;/m:r&gt;&lt;/m:e&gt;&lt;m:sub&gt;&lt;m:r&gt;&lt;w:rPr&gt;&lt;w:rFonts w:ascii=&quot;Cambria Math&quot; w:h-ansi=&quot;Cambria Math&quot; w:cs=&quot;TTdcr10&quot;/&gt;&lt;wx:font wx:val=&quot;Cambria Math&quot;/&gt;&lt;w:i/&gt;&lt;w:sz w:val=&quot;24&quot;/&gt;&lt;w:sz-cs w:val=&quot;24&quot;/&gt;&lt;w:lang w:val=&quot;PT-BR&quot;/&gt;&lt;/w:rPr&gt;&lt;m:t&gt;i&lt;/m:t&gt;&lt;/m:r&gt;&lt;/m:sub&gt;&lt;/m:sSub&gt;&lt;m:r&gt;&lt;w:rPr&gt;&lt;w:rFonts w:ascii=&quot;Cambria Math&quot; w:h-ansi=&quot;Cambria Math&quot; w:cs=&quot;TTdcr10&quot;/&gt;&lt;wx:font wx:val=&quot;Cambria Math&quot;/&gt;&lt;w:i/&gt;&lt;w:sz w:val=&quot;24&quot;/&gt;&lt;w:sz-cs w:val=&quot;24&quot;/&gt;&lt;w:lang w:val=&quot;PT-BR&quot;/&gt;&lt;/w:rPr&gt;&lt;m:t&gt;+&lt;/m:t&gt;&lt;/m:r&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âˆ‘&lt;/m:t&gt;&lt;/m:r&gt;&lt;/m:e&gt;&lt;m:sub&gt;&lt;m:r&gt;&lt;w:rPr&gt;&lt;w:rFonts w:ascii=&quot;Cambria Math&quot; w:h-ansi=&quot;Cambria Math&quot; w:cs=&quot;TTdcr10&quot;/&gt;&lt;wx:font wx:val=&quot;Cambria Math&quot;/&gt;&lt;w:i/&gt;&lt;w:sz w:val=&quot;24&quot;/&gt;&lt;w:sz-cs w:val=&quot;24&quot;/&gt;&lt;w:lang w:val=&quot;PT-BR&quot;/&gt;&lt;/w:rPr&gt;&lt;m:t&gt;i&lt;/m:t&gt;&lt;/m:r&gt;&lt;/m:sub&gt;&lt;/m:sSub&gt;&lt;m:sSub&gt;&lt;m:sSubPr&gt;&lt;m:ctrlPr&gt;&lt;w:rPr&gt;&lt;w:rFonts w:ascii=&quot;Cambria Math&quot; w:h-ansi=&quot;Cambria Math&quot; w:cs=&quot;TTdcr10&quot;/&gt;&lt;wx:font wx:val=&quot;Cambria Math&quot;/&gt;&lt;w:i/&gt;&lt;w:sz w:val=&quot;24&quot;/&gt;&lt;w:sz-cs w:val=&quot;24&quot;/&gt;&lt;w:lang w:val=&quot;PT-BR&quot;/&gt;&lt;/w:rPr&gt;&lt;/m:ctrlPr&gt;&lt;/m:sSubPr&gt;&lt;m:e&gt;&lt;m:r&gt;&lt;w:rPr&gt;&lt;w:rFonts w:ascii=&quot;Cambria Math&quot; w:h-ansi=&quot;Cambria Math&quot; w:cs=&quot;TTdcr10&quot;/&gt;&lt;wx:font wx:val=&quot;Cambria Math&quot;/&gt;&lt;w:i/&gt;&lt;w:sz w:val=&quot;24&quot;/&gt;&lt;w:sz-cs w:val=&quot;24&quot;/&gt;&lt;w:lang w:val=&quot;PT-BR&quot;/&gt;&lt;/w:rPr&gt;&lt;m:t&gt;c&lt;/m:t&gt;&lt;/m:r&gt;&lt;/m:e&gt;&lt;m:sub&gt;&lt;m:r&gt;&lt;w:rPr&gt;&lt;w:rFonts w:ascii=&quot;Cambria Math&quot; w:h-ansi=&quot;Cambria Math&quot; w:cs=&quot;TTdcr10&quot;/&gt;&lt;wx:font wx:val=&quot;Cambria Math&quot;/&gt;&lt;w:i/&gt;&lt;w:sz w:val=&quot;24&quot;/&gt;&lt;w:sz-cs w:val=&quot;24&quot;/&gt;&lt;w:lang w:val=&quot;PT-BR&quot;/&gt;&lt;/w:rPr&gt;&lt;m:t&gt;ij&lt;/m:t&gt;&lt;/m:r&gt;&lt;/m:sub&gt;&lt;/m:sSub&gt;&lt;m:r&gt;&lt;w:rPr&gt;&lt;w:rFonts w:ascii=&quot;Cambria Math&quot; w:h-ansi=&quot;Cambria Math&quot; w:cs=&quot;TTdcr10&quot;/&gt;&lt;wx:font wx:val=&quot;Cambria Math&quot;/&gt;&lt;w:i/&gt;&lt;w:sz w:val=&quot;24&quot;/&gt;&lt;w:sz-cs w:val=&quot;24&quot;/&gt;&lt;w:lang w:val=&quot;PT-BR&quot;/&gt;&lt;/w:rPr&gt;&lt;m:t&gt;â–³&lt;/m:t&gt;&lt;/m:r&gt;&lt;m:sSubSup&gt;&lt;m:sSubSupPr&gt;&lt;m:ctrlPr&gt;&lt;w:rPr&gt;&lt;w:rFonts w:ascii=&quot;Cambria Math&quot; w:h-ansi=&quot;Cambria Math&quot; w:cs=&quot;TTdcr10&quot;/&gt;&lt;wx:font wx:val=&quot;Cambria Math&quot;/&gt;&lt;w:i/&gt;&lt;w:sz w:val=&quot;24&quot;/&gt;&lt;w:sz-cs w:val=&quot;24&quot;/&gt;&lt;w:lang w:val=&quot;PT-BR&quot;/&gt;&lt;/w:rPr&gt;&lt;/m:ctrlPr&gt;&lt;/m:sSubSupPr&gt;&lt;m:e&gt;&lt;m:r&gt;&lt;w:rPr&gt;&lt;w:rFonts w:ascii=&quot;Cambria Math&quot; w:h-ansi=&quot;Cambria Math&quot; w:cs=&quot;TTdcr10&quot;/&gt;&lt;wx:font wx:val=&quot;Cambria Math&quot;/&gt;&lt;w:i/&gt;&lt;w:sz w:val=&quot;24&quot;/&gt;&lt;w:sz-cs w:val=&quot;24&quot;/&gt;&lt;w:lang w:val=&quot;PT-BR&quot;/&gt;&lt;/w:rPr&gt;&lt;m:t&gt;x&lt;/m:t&gt;&lt;/m:r&gt;&lt;/m:e&gt;&lt;m:sub&gt;&lt;m:r&gt;&lt;w:rPr&gt;&lt;w:rFonts w:ascii=&quot;Cambria Math&quot; w:h-ansi=&quot;Cambria Math&quot; w:cs=&quot;TTdcr10&quot;/&gt;&lt;wx:font wx:val=&quot;Cambria Math&quot;/&gt;&lt;w:i/&gt;&lt;w:sz w:val=&quot;24&quot;/&gt;&lt;w:sz-cs w:val=&quot;24&quot;/&gt;&lt;w:lang w:val=&quot;PT-BR&quot;/&gt;&lt;/w:rPr&gt;&lt;m:t&gt;i,t+j&lt;/m:t&gt;&lt;/m:r&gt;&lt;/m:sub&gt;&lt;m:sup&gt;&lt;m:r&gt;&lt;w:rPr&gt;&lt;w:rFonts w:ascii=&quot;Cambria Math&quot; w:h-ansi=&quot;Cambria Math&quot; w:cs=&quot;TTdcr10&quot;/&gt;&lt;wx:font wx:val=&quot;Cambria Math&quot;/&gt;&lt;w:i/&gt;&lt;w:sz w:val=&quot;24&quot;/&gt;&lt;w:sz-cs w:val=&quot;24&quot;/&gt;&lt;w:lang w:val=&quot;PT-BR&quot;/&gt;&lt;/w:rPr&gt;&lt;m:t&gt;k&lt;/m:t&gt;&lt;/m:r&gt;&lt;/m:sup&gt;&lt;/m:sSubSup&gt;&lt;m:r&gt;&lt;w:rPr&gt;&lt;w:rFonts w:ascii=&quot;Cambria Math&quot; w:h-ansi=&quot;Cambria Math&quot; w:cs=&quot;TTdcr10&quot;/&gt;&lt;wx:font wx:val=&quot;Cambria Math&quot;/&gt;&lt;w:i/&gt;&lt;w:sz w:val=&quot;24&quot;/&gt;&lt;w:sz-cs w:val=&quot;24&quot;/&gt;&lt;w:lang w:val=&quot;PT-BR&quot;/&gt;&lt;/w:rPr&gt;&lt;m:t&gt;+v&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p>
    <w:p w:rsidR="00553639" w:rsidRPr="00310BAF" w:rsidRDefault="00553639" w:rsidP="007C249A">
      <w:pPr>
        <w:autoSpaceDE w:val="0"/>
        <w:autoSpaceDN w:val="0"/>
        <w:adjustRightInd w:val="0"/>
        <w:spacing w:after="0" w:line="240" w:lineRule="auto"/>
        <w:jc w:val="both"/>
        <w:rPr>
          <w:rFonts w:ascii="TTdcr10" w:hAnsi="TTdcr10" w:cs="TTdcr10"/>
          <w:sz w:val="24"/>
          <w:szCs w:val="24"/>
          <w:lang w:val="pt-BR"/>
        </w:rPr>
      </w:pPr>
    </w:p>
    <w:p w:rsidR="00553639" w:rsidRDefault="00553639" w:rsidP="00F8597D">
      <w:pPr>
        <w:autoSpaceDE w:val="0"/>
        <w:autoSpaceDN w:val="0"/>
        <w:adjustRightInd w:val="0"/>
        <w:spacing w:after="0" w:line="240" w:lineRule="auto"/>
        <w:ind w:firstLine="720"/>
        <w:jc w:val="both"/>
        <w:rPr>
          <w:rFonts w:ascii="Times New Roman" w:hAnsi="Times New Roman"/>
          <w:sz w:val="24"/>
          <w:szCs w:val="24"/>
          <w:lang w:val="pt-BR"/>
        </w:rPr>
      </w:pPr>
      <w:r w:rsidRPr="004B4DF0">
        <w:rPr>
          <w:rFonts w:ascii="Times New Roman" w:hAnsi="Times New Roman"/>
          <w:sz w:val="24"/>
          <w:szCs w:val="24"/>
          <w:lang w:val="pt-BR"/>
        </w:rPr>
        <w:t>Para conferir os detalhes a respeito das propriedades dos estimadores DOLS para séries não estacionárias, conferir Kao e Chiang (1999) e Phillip e Moon (1999). A Tabela 3 apresenta os resultados da estimação da TCRE de longo prazo DOLS (1,1). A seleção de especificação do modelo ARDL do DOLS foi obtida através do critério Bayesiano.</w:t>
      </w:r>
    </w:p>
    <w:p w:rsidR="00553639" w:rsidRPr="001D687E" w:rsidRDefault="00553639" w:rsidP="000C7D2F">
      <w:pPr>
        <w:tabs>
          <w:tab w:val="left" w:pos="720"/>
        </w:tabs>
        <w:spacing w:after="0" w:line="240" w:lineRule="auto"/>
        <w:rPr>
          <w:rFonts w:ascii="Times New Roman" w:hAnsi="Times New Roman"/>
          <w:i/>
          <w:sz w:val="24"/>
          <w:szCs w:val="24"/>
          <w:lang w:val="pt-BR"/>
        </w:rPr>
      </w:pPr>
      <w:r w:rsidRPr="001D687E">
        <w:rPr>
          <w:rFonts w:ascii="Times New Roman" w:hAnsi="Times New Roman"/>
          <w:i/>
          <w:sz w:val="24"/>
          <w:szCs w:val="24"/>
          <w:lang w:val="pt-BR"/>
        </w:rPr>
        <w:t>5.2. Estimação de uma equação de determinação da TCR de longo prazo</w:t>
      </w:r>
    </w:p>
    <w:p w:rsidR="00553639" w:rsidRPr="00B5130D" w:rsidRDefault="00553639" w:rsidP="000C7D2F">
      <w:pPr>
        <w:tabs>
          <w:tab w:val="left" w:pos="720"/>
        </w:tabs>
        <w:spacing w:after="0" w:line="240" w:lineRule="auto"/>
        <w:rPr>
          <w:rFonts w:ascii="Times New Roman" w:hAnsi="Times New Roman"/>
          <w:b/>
          <w:sz w:val="24"/>
          <w:szCs w:val="24"/>
          <w:lang w:val="pt-BR"/>
        </w:rPr>
      </w:pPr>
    </w:p>
    <w:p w:rsidR="00553639" w:rsidRDefault="00553639" w:rsidP="000C7D2F">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A Tabela 1 exibe os coeficientes estimados para a equação da TCR de longo prazo. A estimação por </w:t>
      </w:r>
      <w:r>
        <w:rPr>
          <w:rFonts w:ascii="Times New Roman" w:hAnsi="Times New Roman"/>
          <w:i/>
          <w:sz w:val="24"/>
          <w:szCs w:val="24"/>
          <w:lang w:val="pt-BR"/>
        </w:rPr>
        <w:t>Least Squares Dummy Variable</w:t>
      </w:r>
      <w:r>
        <w:rPr>
          <w:rFonts w:ascii="Times New Roman" w:hAnsi="Times New Roman"/>
          <w:sz w:val="24"/>
          <w:szCs w:val="24"/>
          <w:lang w:val="pt-BR"/>
        </w:rPr>
        <w:t xml:space="preserve"> (Efeitos Fixos) exibe apenas ativos externos líquidos como significante, dos fundamentos selecionados. Os resultados do painel </w:t>
      </w:r>
      <w:r>
        <w:rPr>
          <w:rFonts w:ascii="Times New Roman" w:hAnsi="Times New Roman"/>
          <w:i/>
          <w:sz w:val="24"/>
          <w:szCs w:val="24"/>
          <w:lang w:val="pt-BR"/>
        </w:rPr>
        <w:t>Pooled</w:t>
      </w:r>
      <w:r>
        <w:rPr>
          <w:rFonts w:ascii="Times New Roman" w:hAnsi="Times New Roman"/>
          <w:sz w:val="24"/>
          <w:szCs w:val="24"/>
          <w:lang w:val="pt-BR"/>
        </w:rPr>
        <w:t xml:space="preserve">, por sua vez, exigem significância estatística para todos os fundamentos. Além disso, a estimação por </w:t>
      </w:r>
      <w:r>
        <w:rPr>
          <w:rFonts w:ascii="Times New Roman" w:hAnsi="Times New Roman"/>
          <w:i/>
          <w:sz w:val="24"/>
          <w:szCs w:val="24"/>
          <w:lang w:val="pt-BR"/>
        </w:rPr>
        <w:t>DOLS</w:t>
      </w:r>
      <w:r>
        <w:rPr>
          <w:rFonts w:ascii="Times New Roman" w:hAnsi="Times New Roman"/>
          <w:sz w:val="24"/>
          <w:szCs w:val="24"/>
          <w:lang w:val="pt-BR"/>
        </w:rPr>
        <w:t xml:space="preserve"> dá à produtividade um efeito substancialmente maior do que as outras estimações, em magnitude próxima à das estimações comumente feitas na literatura, onde “Ativos Estrangeiros Líquidos” e “Produtividade” têm magnitude de efeito sobre a TCR de longo prazo muito semelhantes, mas sinais contrários. Além disso, como foi visto na seção de testes de raiz unitária, a ordem de integração de variáveis do painel exige a correção dos erros do tipo </w:t>
      </w:r>
      <w:r>
        <w:rPr>
          <w:rFonts w:ascii="Times New Roman" w:hAnsi="Times New Roman"/>
          <w:i/>
          <w:sz w:val="24"/>
          <w:szCs w:val="24"/>
          <w:lang w:val="pt-BR"/>
        </w:rPr>
        <w:t>DOLS</w:t>
      </w:r>
      <w:r>
        <w:rPr>
          <w:rFonts w:ascii="Times New Roman" w:hAnsi="Times New Roman"/>
          <w:sz w:val="24"/>
          <w:szCs w:val="24"/>
          <w:lang w:val="pt-BR"/>
        </w:rPr>
        <w:t>, por isso ela será a especificação utilizada nesse trabalho para compor os exercícios econométricos que explicam a sobrevalorização do câmbio real.</w:t>
      </w:r>
    </w:p>
    <w:p w:rsidR="00553639" w:rsidRDefault="00553639" w:rsidP="000C7D2F">
      <w:pPr>
        <w:tabs>
          <w:tab w:val="left" w:pos="720"/>
        </w:tabs>
        <w:spacing w:after="0" w:line="240" w:lineRule="auto"/>
        <w:ind w:firstLine="720"/>
        <w:jc w:val="both"/>
        <w:rPr>
          <w:rFonts w:ascii="Times New Roman" w:hAnsi="Times New Roman"/>
          <w:b/>
          <w:sz w:val="24"/>
          <w:szCs w:val="24"/>
          <w:lang w:val="pt-BR"/>
        </w:rPr>
      </w:pPr>
    </w:p>
    <w:p w:rsidR="00553639" w:rsidRDefault="00553639" w:rsidP="000C7D2F">
      <w:pPr>
        <w:tabs>
          <w:tab w:val="left" w:pos="720"/>
        </w:tabs>
        <w:spacing w:after="0" w:line="240" w:lineRule="auto"/>
        <w:ind w:firstLine="720"/>
        <w:jc w:val="center"/>
        <w:rPr>
          <w:rFonts w:ascii="Times New Roman" w:hAnsi="Times New Roman"/>
          <w:b/>
          <w:sz w:val="24"/>
          <w:szCs w:val="24"/>
          <w:lang w:val="pt-BR"/>
        </w:rPr>
      </w:pPr>
      <w:r>
        <w:rPr>
          <w:rFonts w:ascii="Times New Roman" w:hAnsi="Times New Roman"/>
          <w:b/>
          <w:sz w:val="24"/>
          <w:szCs w:val="24"/>
          <w:lang w:val="pt-BR"/>
        </w:rPr>
        <w:t>Tabela 1- Determinação do câmbio real de longo prazo, 1970-2004</w:t>
      </w:r>
    </w:p>
    <w:p w:rsidR="00553639" w:rsidRDefault="00553639" w:rsidP="000C7D2F">
      <w:pPr>
        <w:tabs>
          <w:tab w:val="left" w:pos="720"/>
        </w:tabs>
        <w:spacing w:after="0" w:line="240" w:lineRule="auto"/>
        <w:ind w:firstLine="720"/>
        <w:rPr>
          <w:rFonts w:ascii="Times New Roman" w:hAnsi="Times New Roman"/>
          <w:b/>
          <w:sz w:val="24"/>
          <w:szCs w:val="24"/>
          <w:lang w:val="pt-BR"/>
        </w:rPr>
      </w:pPr>
    </w:p>
    <w:tbl>
      <w:tblPr>
        <w:tblW w:w="7536" w:type="dxa"/>
        <w:jc w:val="center"/>
        <w:tblInd w:w="95" w:type="dxa"/>
        <w:tblLook w:val="00A0"/>
      </w:tblPr>
      <w:tblGrid>
        <w:gridCol w:w="1162"/>
        <w:gridCol w:w="1163"/>
        <w:gridCol w:w="1162"/>
        <w:gridCol w:w="1394"/>
        <w:gridCol w:w="1394"/>
        <w:gridCol w:w="1261"/>
      </w:tblGrid>
      <w:tr w:rsidR="00553639" w:rsidRPr="00B5130D" w:rsidTr="003E5F82">
        <w:trPr>
          <w:trHeight w:val="400"/>
          <w:jc w:val="center"/>
        </w:trPr>
        <w:tc>
          <w:tcPr>
            <w:tcW w:w="1162"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lang w:val="pt-BR"/>
              </w:rPr>
            </w:pPr>
          </w:p>
        </w:tc>
        <w:tc>
          <w:tcPr>
            <w:tcW w:w="1163"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lang w:val="pt-BR"/>
              </w:rPr>
            </w:pPr>
          </w:p>
        </w:tc>
        <w:tc>
          <w:tcPr>
            <w:tcW w:w="1162"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lang w:val="pt-BR"/>
              </w:rPr>
            </w:pPr>
          </w:p>
        </w:tc>
        <w:tc>
          <w:tcPr>
            <w:tcW w:w="1394"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LSDV</w:t>
            </w:r>
          </w:p>
        </w:tc>
        <w:tc>
          <w:tcPr>
            <w:tcW w:w="1394"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Pooled</w:t>
            </w:r>
          </w:p>
        </w:tc>
        <w:tc>
          <w:tcPr>
            <w:tcW w:w="1261"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DOLS</w:t>
            </w:r>
          </w:p>
        </w:tc>
      </w:tr>
      <w:tr w:rsidR="00553639" w:rsidRPr="00B5130D" w:rsidTr="003E5F82">
        <w:trPr>
          <w:trHeight w:val="400"/>
          <w:jc w:val="center"/>
        </w:trPr>
        <w:tc>
          <w:tcPr>
            <w:tcW w:w="3487" w:type="dxa"/>
            <w:gridSpan w:val="3"/>
            <w:tcBorders>
              <w:top w:val="single" w:sz="4" w:space="0" w:color="auto"/>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r w:rsidRPr="00B5130D">
              <w:rPr>
                <w:rFonts w:ascii="Times New Roman" w:hAnsi="Times New Roman"/>
                <w:color w:val="000000"/>
                <w:sz w:val="20"/>
                <w:szCs w:val="20"/>
              </w:rPr>
              <w:t>Ativos Externos Líquidos</w:t>
            </w:r>
          </w:p>
        </w:tc>
        <w:tc>
          <w:tcPr>
            <w:tcW w:w="1394" w:type="dxa"/>
            <w:tcBorders>
              <w:top w:val="single" w:sz="4" w:space="0" w:color="auto"/>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0,0940***</w:t>
            </w:r>
          </w:p>
        </w:tc>
        <w:tc>
          <w:tcPr>
            <w:tcW w:w="1394" w:type="dxa"/>
            <w:tcBorders>
              <w:top w:val="single" w:sz="4" w:space="0" w:color="auto"/>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0,121***</w:t>
            </w:r>
          </w:p>
        </w:tc>
        <w:tc>
          <w:tcPr>
            <w:tcW w:w="1261" w:type="dxa"/>
            <w:tcBorders>
              <w:top w:val="single" w:sz="4" w:space="0" w:color="auto"/>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0,191***</w:t>
            </w:r>
          </w:p>
        </w:tc>
      </w:tr>
      <w:tr w:rsidR="00553639" w:rsidRPr="00B5130D" w:rsidTr="009C2E71">
        <w:trPr>
          <w:trHeight w:val="400"/>
          <w:jc w:val="center"/>
        </w:trPr>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163"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(0,0144)</w:t>
            </w: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(0,0164)</w:t>
            </w:r>
          </w:p>
        </w:tc>
        <w:tc>
          <w:tcPr>
            <w:tcW w:w="1261"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(0,0196)</w:t>
            </w:r>
          </w:p>
        </w:tc>
      </w:tr>
      <w:tr w:rsidR="00553639" w:rsidRPr="00B5130D" w:rsidTr="009C2E71">
        <w:trPr>
          <w:trHeight w:val="400"/>
          <w:jc w:val="center"/>
        </w:trPr>
        <w:tc>
          <w:tcPr>
            <w:tcW w:w="3487" w:type="dxa"/>
            <w:gridSpan w:val="3"/>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r w:rsidRPr="00B5130D">
              <w:rPr>
                <w:rFonts w:ascii="Times New Roman" w:hAnsi="Times New Roman"/>
                <w:color w:val="000000"/>
                <w:sz w:val="20"/>
                <w:szCs w:val="20"/>
              </w:rPr>
              <w:t>Produtividade Relativa</w:t>
            </w: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Pr="00B5130D">
              <w:rPr>
                <w:rFonts w:ascii="Times New Roman" w:hAnsi="Times New Roman"/>
                <w:color w:val="000000"/>
                <w:sz w:val="20"/>
                <w:szCs w:val="20"/>
              </w:rPr>
              <w:t>0,0407</w:t>
            </w: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Pr="00B5130D">
              <w:rPr>
                <w:rFonts w:ascii="Times New Roman" w:hAnsi="Times New Roman"/>
                <w:color w:val="000000"/>
                <w:sz w:val="20"/>
                <w:szCs w:val="20"/>
              </w:rPr>
              <w:t>0,0681*</w:t>
            </w:r>
          </w:p>
        </w:tc>
        <w:tc>
          <w:tcPr>
            <w:tcW w:w="1261"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Pr="00B5130D">
              <w:rPr>
                <w:rFonts w:ascii="Times New Roman" w:hAnsi="Times New Roman"/>
                <w:color w:val="000000"/>
                <w:sz w:val="20"/>
                <w:szCs w:val="20"/>
              </w:rPr>
              <w:t>0,159***</w:t>
            </w:r>
          </w:p>
        </w:tc>
      </w:tr>
      <w:tr w:rsidR="00553639" w:rsidRPr="00B5130D" w:rsidTr="009C2E71">
        <w:trPr>
          <w:trHeight w:val="400"/>
          <w:jc w:val="center"/>
        </w:trPr>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163"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(0,03)</w:t>
            </w: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(0,0365)</w:t>
            </w:r>
          </w:p>
        </w:tc>
        <w:tc>
          <w:tcPr>
            <w:tcW w:w="1261"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(0,0396)</w:t>
            </w:r>
          </w:p>
        </w:tc>
      </w:tr>
      <w:tr w:rsidR="00553639" w:rsidRPr="00B5130D" w:rsidTr="009C2E71">
        <w:trPr>
          <w:trHeight w:val="400"/>
          <w:jc w:val="center"/>
        </w:trPr>
        <w:tc>
          <w:tcPr>
            <w:tcW w:w="2325" w:type="dxa"/>
            <w:gridSpan w:val="2"/>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r w:rsidRPr="00B5130D">
              <w:rPr>
                <w:rFonts w:ascii="Times New Roman" w:hAnsi="Times New Roman"/>
                <w:color w:val="000000"/>
                <w:sz w:val="20"/>
                <w:szCs w:val="20"/>
              </w:rPr>
              <w:t>Abertura Comercial</w:t>
            </w:r>
          </w:p>
        </w:tc>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-0,0322</w:t>
            </w: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-0,0756***</w:t>
            </w:r>
          </w:p>
        </w:tc>
        <w:tc>
          <w:tcPr>
            <w:tcW w:w="1261"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-0,0699**</w:t>
            </w:r>
          </w:p>
        </w:tc>
      </w:tr>
      <w:tr w:rsidR="00553639" w:rsidRPr="00B5130D" w:rsidTr="009C2E71">
        <w:trPr>
          <w:trHeight w:val="400"/>
          <w:jc w:val="center"/>
        </w:trPr>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163"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(0,0221)</w:t>
            </w: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(0,0272)</w:t>
            </w:r>
          </w:p>
        </w:tc>
        <w:tc>
          <w:tcPr>
            <w:tcW w:w="1261"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(0,0305)</w:t>
            </w:r>
          </w:p>
        </w:tc>
      </w:tr>
      <w:tr w:rsidR="00553639" w:rsidRPr="00B5130D" w:rsidTr="009C2E71">
        <w:trPr>
          <w:trHeight w:val="400"/>
          <w:jc w:val="center"/>
        </w:trPr>
        <w:tc>
          <w:tcPr>
            <w:tcW w:w="2325" w:type="dxa"/>
            <w:gridSpan w:val="2"/>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r w:rsidRPr="00B5130D">
              <w:rPr>
                <w:rFonts w:ascii="Times New Roman" w:hAnsi="Times New Roman"/>
                <w:color w:val="000000"/>
                <w:sz w:val="20"/>
                <w:szCs w:val="20"/>
              </w:rPr>
              <w:t>Intercepto</w:t>
            </w:r>
          </w:p>
        </w:tc>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4,734***</w:t>
            </w: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4,648***</w:t>
            </w:r>
          </w:p>
        </w:tc>
        <w:tc>
          <w:tcPr>
            <w:tcW w:w="1261"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4,745***</w:t>
            </w:r>
          </w:p>
        </w:tc>
      </w:tr>
      <w:tr w:rsidR="00553639" w:rsidRPr="00B5130D" w:rsidTr="009C2E71">
        <w:trPr>
          <w:trHeight w:val="400"/>
          <w:jc w:val="center"/>
        </w:trPr>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163"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162" w:type="dxa"/>
            <w:tcBorders>
              <w:top w:val="nil"/>
              <w:left w:val="nil"/>
              <w:bottom w:val="nil"/>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(0,0271)</w:t>
            </w:r>
          </w:p>
        </w:tc>
        <w:tc>
          <w:tcPr>
            <w:tcW w:w="1394"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(0,0255)</w:t>
            </w:r>
          </w:p>
        </w:tc>
        <w:tc>
          <w:tcPr>
            <w:tcW w:w="1261" w:type="dxa"/>
            <w:tcBorders>
              <w:top w:val="nil"/>
              <w:left w:val="nil"/>
              <w:bottom w:val="nil"/>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(0,0256)</w:t>
            </w:r>
          </w:p>
        </w:tc>
      </w:tr>
      <w:tr w:rsidR="00553639" w:rsidRPr="00B5130D" w:rsidTr="003E5F82">
        <w:trPr>
          <w:trHeight w:val="400"/>
          <w:jc w:val="center"/>
        </w:trPr>
        <w:tc>
          <w:tcPr>
            <w:tcW w:w="2325" w:type="dxa"/>
            <w:gridSpan w:val="2"/>
            <w:tcBorders>
              <w:top w:val="nil"/>
              <w:left w:val="nil"/>
              <w:bottom w:val="single" w:sz="4" w:space="0" w:color="auto"/>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r w:rsidRPr="00B5130D">
              <w:rPr>
                <w:rFonts w:ascii="Times New Roman" w:hAnsi="Times New Roman"/>
                <w:color w:val="000000"/>
                <w:sz w:val="20"/>
                <w:szCs w:val="20"/>
              </w:rPr>
              <w:t>Observações</w:t>
            </w:r>
          </w:p>
        </w:tc>
        <w:tc>
          <w:tcPr>
            <w:tcW w:w="1162" w:type="dxa"/>
            <w:tcBorders>
              <w:top w:val="nil"/>
              <w:left w:val="nil"/>
              <w:bottom w:val="single" w:sz="4" w:space="0" w:color="auto"/>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394" w:type="dxa"/>
            <w:tcBorders>
              <w:top w:val="nil"/>
              <w:left w:val="nil"/>
              <w:bottom w:val="single" w:sz="4" w:space="0" w:color="auto"/>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2,706</w:t>
            </w:r>
          </w:p>
        </w:tc>
        <w:tc>
          <w:tcPr>
            <w:tcW w:w="1394" w:type="dxa"/>
            <w:tcBorders>
              <w:top w:val="nil"/>
              <w:left w:val="nil"/>
              <w:bottom w:val="single" w:sz="4" w:space="0" w:color="auto"/>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2,706</w:t>
            </w:r>
          </w:p>
        </w:tc>
        <w:tc>
          <w:tcPr>
            <w:tcW w:w="1261" w:type="dxa"/>
            <w:tcBorders>
              <w:top w:val="nil"/>
              <w:left w:val="nil"/>
              <w:bottom w:val="single" w:sz="4" w:space="0" w:color="auto"/>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2,489</w:t>
            </w:r>
          </w:p>
        </w:tc>
      </w:tr>
      <w:tr w:rsidR="00553639" w:rsidRPr="00B5130D" w:rsidTr="003E5F82">
        <w:trPr>
          <w:trHeight w:val="400"/>
          <w:jc w:val="center"/>
        </w:trPr>
        <w:tc>
          <w:tcPr>
            <w:tcW w:w="2325" w:type="dxa"/>
            <w:gridSpan w:val="2"/>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r w:rsidRPr="00B5130D">
              <w:rPr>
                <w:rFonts w:ascii="Times New Roman" w:hAnsi="Times New Roman"/>
                <w:color w:val="000000"/>
                <w:sz w:val="20"/>
                <w:szCs w:val="20"/>
              </w:rPr>
              <w:t>N. de países</w:t>
            </w:r>
          </w:p>
        </w:tc>
        <w:tc>
          <w:tcPr>
            <w:tcW w:w="1162"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rPr>
                <w:rFonts w:ascii="Times New Roman" w:hAnsi="Times New Roman"/>
                <w:color w:val="000000"/>
                <w:sz w:val="20"/>
                <w:szCs w:val="20"/>
              </w:rPr>
            </w:pPr>
          </w:p>
        </w:tc>
        <w:tc>
          <w:tcPr>
            <w:tcW w:w="1394"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102</w:t>
            </w:r>
          </w:p>
        </w:tc>
        <w:tc>
          <w:tcPr>
            <w:tcW w:w="1394"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102</w:t>
            </w:r>
          </w:p>
        </w:tc>
        <w:tc>
          <w:tcPr>
            <w:tcW w:w="1261" w:type="dxa"/>
            <w:tcBorders>
              <w:top w:val="single" w:sz="4" w:space="0" w:color="auto"/>
              <w:left w:val="nil"/>
              <w:bottom w:val="single" w:sz="4" w:space="0" w:color="auto"/>
              <w:right w:val="nil"/>
            </w:tcBorders>
            <w:noWrap/>
            <w:vAlign w:val="bottom"/>
          </w:tcPr>
          <w:p w:rsidR="00553639" w:rsidRPr="00B5130D" w:rsidRDefault="00553639" w:rsidP="009C2E71">
            <w:pPr>
              <w:tabs>
                <w:tab w:val="left" w:pos="720"/>
              </w:tabs>
              <w:spacing w:after="0" w:line="240" w:lineRule="auto"/>
              <w:jc w:val="center"/>
              <w:rPr>
                <w:rFonts w:ascii="Times New Roman" w:hAnsi="Times New Roman"/>
                <w:color w:val="000000"/>
                <w:sz w:val="20"/>
                <w:szCs w:val="20"/>
              </w:rPr>
            </w:pPr>
            <w:r w:rsidRPr="00B5130D">
              <w:rPr>
                <w:rFonts w:ascii="Times New Roman" w:hAnsi="Times New Roman"/>
                <w:color w:val="000000"/>
                <w:sz w:val="20"/>
                <w:szCs w:val="20"/>
              </w:rPr>
              <w:t>102</w:t>
            </w:r>
          </w:p>
        </w:tc>
      </w:tr>
    </w:tbl>
    <w:p w:rsidR="00553639" w:rsidRDefault="00553639" w:rsidP="000C7D2F">
      <w:pPr>
        <w:tabs>
          <w:tab w:val="left" w:pos="720"/>
        </w:tabs>
        <w:spacing w:after="0" w:line="240" w:lineRule="auto"/>
        <w:ind w:firstLine="720"/>
        <w:rPr>
          <w:rFonts w:ascii="Times New Roman" w:hAnsi="Times New Roman"/>
          <w:b/>
          <w:sz w:val="24"/>
          <w:szCs w:val="24"/>
          <w:lang w:val="pt-BR"/>
        </w:rPr>
      </w:pPr>
    </w:p>
    <w:p w:rsidR="00553639" w:rsidRPr="00847FA4" w:rsidRDefault="00553639" w:rsidP="00F8597D">
      <w:pPr>
        <w:tabs>
          <w:tab w:val="left" w:pos="720"/>
        </w:tabs>
        <w:spacing w:after="0" w:line="240" w:lineRule="auto"/>
        <w:rPr>
          <w:lang w:val="pt-BR"/>
        </w:rPr>
      </w:pPr>
      <w:r>
        <w:rPr>
          <w:rFonts w:ascii="Times New Roman" w:hAnsi="Times New Roman"/>
          <w:sz w:val="20"/>
          <w:szCs w:val="20"/>
          <w:lang w:val="pt-BR"/>
        </w:rPr>
        <w:t>Onde * p &lt; 0.1; ** p&lt; 0.5; e ***p&lt;0.01. Entre parênteses, os desvios padrões estimados dos coeficientes.</w:t>
      </w:r>
    </w:p>
    <w:p w:rsidR="00553639" w:rsidRDefault="00553639" w:rsidP="00822B89">
      <w:pPr>
        <w:spacing w:after="0" w:line="240" w:lineRule="auto"/>
        <w:ind w:firstLine="720"/>
        <w:rPr>
          <w:rFonts w:ascii="Times New Roman" w:hAnsi="Times New Roman"/>
          <w:b/>
          <w:sz w:val="24"/>
          <w:szCs w:val="24"/>
          <w:lang w:val="pt-BR"/>
        </w:rPr>
      </w:pPr>
    </w:p>
    <w:p w:rsidR="00553639" w:rsidRPr="001D687E" w:rsidRDefault="00553639" w:rsidP="001D687E">
      <w:pPr>
        <w:spacing w:after="0" w:line="240" w:lineRule="auto"/>
        <w:rPr>
          <w:rFonts w:ascii="Times New Roman" w:hAnsi="Times New Roman"/>
          <w:i/>
          <w:sz w:val="24"/>
          <w:szCs w:val="24"/>
          <w:lang w:val="pt-BR"/>
        </w:rPr>
      </w:pPr>
      <w:r w:rsidRPr="001D687E">
        <w:rPr>
          <w:rFonts w:ascii="Times New Roman" w:hAnsi="Times New Roman"/>
          <w:i/>
          <w:sz w:val="24"/>
          <w:szCs w:val="24"/>
          <w:lang w:val="pt-BR"/>
        </w:rPr>
        <w:t>5.3. O Painel dos Determinantes da Sobreapreciação do Câmbio Real</w:t>
      </w:r>
    </w:p>
    <w:p w:rsidR="00553639" w:rsidRDefault="00553639" w:rsidP="00822B89">
      <w:pPr>
        <w:spacing w:after="0" w:line="240" w:lineRule="auto"/>
        <w:ind w:firstLine="720"/>
        <w:rPr>
          <w:rFonts w:ascii="Times New Roman" w:hAnsi="Times New Roman"/>
          <w:b/>
          <w:sz w:val="24"/>
          <w:szCs w:val="24"/>
          <w:lang w:val="pt-BR"/>
        </w:rPr>
      </w:pPr>
    </w:p>
    <w:p w:rsidR="00553639" w:rsidRPr="0011241E" w:rsidRDefault="00553639" w:rsidP="00822B89">
      <w:pPr>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Nessa seção, as especificações testam os determinantes da sobrevalorização do câmbio real, calculado na seção anterior. </w:t>
      </w:r>
      <w:r w:rsidRPr="0011241E">
        <w:rPr>
          <w:rFonts w:ascii="Times New Roman" w:hAnsi="Times New Roman"/>
          <w:sz w:val="24"/>
          <w:szCs w:val="24"/>
          <w:lang w:val="pt-BR"/>
        </w:rPr>
        <w:t xml:space="preserve">Para estimar a </w:t>
      </w:r>
      <w:r>
        <w:rPr>
          <w:rFonts w:ascii="Times New Roman" w:hAnsi="Times New Roman"/>
          <w:sz w:val="24"/>
          <w:szCs w:val="24"/>
          <w:lang w:val="pt-BR"/>
        </w:rPr>
        <w:t>equação de câmbio real foi utilizado o estimador</w:t>
      </w:r>
      <w:r w:rsidRPr="0011241E">
        <w:rPr>
          <w:rFonts w:ascii="Times New Roman" w:hAnsi="Times New Roman"/>
          <w:sz w:val="24"/>
          <w:szCs w:val="24"/>
          <w:lang w:val="pt-BR"/>
        </w:rPr>
        <w:t xml:space="preserve"> de métodos generalizados de momentos (</w:t>
      </w:r>
      <w:r w:rsidRPr="0011241E">
        <w:rPr>
          <w:rFonts w:ascii="Times New Roman" w:hAnsi="Times New Roman"/>
          <w:i/>
          <w:iCs/>
          <w:sz w:val="24"/>
          <w:szCs w:val="24"/>
          <w:lang w:val="pt-BR"/>
        </w:rPr>
        <w:t>Generalized Method of Moments</w:t>
      </w:r>
      <w:r w:rsidRPr="0011241E">
        <w:rPr>
          <w:rFonts w:ascii="Times New Roman" w:hAnsi="Times New Roman"/>
          <w:sz w:val="24"/>
          <w:szCs w:val="24"/>
          <w:lang w:val="pt-BR"/>
        </w:rPr>
        <w:t>, GMM) para painel dinâmico</w:t>
      </w:r>
      <w:r>
        <w:rPr>
          <w:rFonts w:ascii="Times New Roman" w:hAnsi="Times New Roman"/>
          <w:sz w:val="24"/>
          <w:szCs w:val="24"/>
          <w:lang w:val="pt-BR"/>
        </w:rPr>
        <w:t>,</w:t>
      </w:r>
      <w:r w:rsidRPr="0011241E">
        <w:rPr>
          <w:rFonts w:ascii="Times New Roman" w:hAnsi="Times New Roman"/>
          <w:sz w:val="24"/>
          <w:szCs w:val="24"/>
          <w:lang w:val="pt-BR"/>
        </w:rPr>
        <w:t xml:space="preserve"> de Arellano e Bond (1991) e Blundell e Bover (1998). Esses estimadores lidam com efeitos temporais não observáveis por meio da inclusão de interceptos específicos ao período. Tratar destes efeitos não é simples. Por isso, o modelo</w:t>
      </w:r>
      <w:r>
        <w:rPr>
          <w:rFonts w:ascii="Times New Roman" w:hAnsi="Times New Roman"/>
          <w:sz w:val="24"/>
          <w:szCs w:val="24"/>
          <w:lang w:val="pt-BR"/>
        </w:rPr>
        <w:t xml:space="preserve"> da taxa de câmbio</w:t>
      </w:r>
      <w:r w:rsidRPr="0011241E">
        <w:rPr>
          <w:rFonts w:ascii="Times New Roman" w:hAnsi="Times New Roman"/>
          <w:sz w:val="24"/>
          <w:szCs w:val="24"/>
          <w:lang w:val="pt-BR"/>
        </w:rPr>
        <w:t xml:space="preserve"> é dinâmico </w:t>
      </w:r>
      <w:r>
        <w:rPr>
          <w:rFonts w:ascii="Times New Roman" w:hAnsi="Times New Roman"/>
          <w:sz w:val="24"/>
          <w:szCs w:val="24"/>
          <w:lang w:val="pt-BR"/>
        </w:rPr>
        <w:t>e contém</w:t>
      </w:r>
      <w:r w:rsidRPr="0011241E">
        <w:rPr>
          <w:rFonts w:ascii="Times New Roman" w:hAnsi="Times New Roman"/>
          <w:sz w:val="24"/>
          <w:szCs w:val="24"/>
          <w:lang w:val="pt-BR"/>
        </w:rPr>
        <w:t xml:space="preserve"> regressores endógenos, que são controlados pela ins</w:t>
      </w:r>
      <w:r>
        <w:rPr>
          <w:rFonts w:ascii="Times New Roman" w:hAnsi="Times New Roman"/>
          <w:sz w:val="24"/>
          <w:szCs w:val="24"/>
          <w:lang w:val="pt-BR"/>
        </w:rPr>
        <w:t>trumentação das suas diferenças e seus níveis defasados.</w:t>
      </w:r>
    </w:p>
    <w:p w:rsidR="00553639" w:rsidRPr="00DA77FD" w:rsidRDefault="00553639" w:rsidP="00822B89">
      <w:pPr>
        <w:spacing w:after="0" w:line="240" w:lineRule="auto"/>
        <w:ind w:firstLine="720"/>
        <w:jc w:val="both"/>
        <w:rPr>
          <w:rFonts w:ascii="Times New Roman" w:hAnsi="Times New Roman"/>
          <w:sz w:val="24"/>
          <w:szCs w:val="24"/>
          <w:lang w:val="pt-BR"/>
        </w:rPr>
      </w:pPr>
      <w:r w:rsidRPr="0011241E">
        <w:rPr>
          <w:rFonts w:ascii="Times New Roman" w:hAnsi="Times New Roman"/>
          <w:sz w:val="24"/>
          <w:szCs w:val="24"/>
          <w:lang w:val="pt-BR"/>
        </w:rPr>
        <w:t>Os instrumentos correspondentes às condições de momentos são valores defasados tanto em nível como em diferença das variáveis explicativas e dependente. Uma vez que, tipicamente, as condições de momento sobre-identificam a regressão do modelo, o método do painel dinâmico permite teste de especificações através do teste de Sargan. Trabalhando sobre os estimadores de Arellano e Bover (1995), Blundell e Bond (1998) desenvolveram um estimador em sistema (</w:t>
      </w:r>
      <w:r w:rsidRPr="0011241E">
        <w:rPr>
          <w:rFonts w:ascii="Times New Roman" w:hAnsi="Times New Roman"/>
          <w:i/>
          <w:iCs/>
          <w:sz w:val="24"/>
          <w:szCs w:val="24"/>
          <w:lang w:val="pt-BR"/>
        </w:rPr>
        <w:t>System</w:t>
      </w:r>
      <w:r w:rsidRPr="0011241E">
        <w:rPr>
          <w:rFonts w:ascii="Times New Roman" w:hAnsi="Times New Roman"/>
          <w:sz w:val="24"/>
          <w:szCs w:val="24"/>
          <w:lang w:val="pt-BR"/>
        </w:rPr>
        <w:t>-GMM) que usa condições de momentos adicionais. Os estimadores de Arellano-Bond (1991</w:t>
      </w:r>
      <w:r>
        <w:rPr>
          <w:rFonts w:ascii="Times New Roman" w:hAnsi="Times New Roman"/>
          <w:sz w:val="24"/>
          <w:szCs w:val="24"/>
          <w:lang w:val="pt-BR"/>
        </w:rPr>
        <w:t>)foram considerados adequado</w:t>
      </w:r>
      <w:r w:rsidRPr="0011241E">
        <w:rPr>
          <w:rFonts w:ascii="Times New Roman" w:hAnsi="Times New Roman"/>
          <w:sz w:val="24"/>
          <w:szCs w:val="24"/>
          <w:lang w:val="pt-BR"/>
        </w:rPr>
        <w:t>s para a análise deste trabalho, por permitirem uma especificação dinâmica (permitindo a variável dependente defasada), e por instrumentalizarem adequadamente vari</w:t>
      </w:r>
      <w:r>
        <w:rPr>
          <w:rFonts w:ascii="Times New Roman" w:hAnsi="Times New Roman"/>
          <w:sz w:val="24"/>
          <w:szCs w:val="24"/>
          <w:lang w:val="pt-BR"/>
        </w:rPr>
        <w:t xml:space="preserve">áveis potencialmente endógenas. Os assim chamados </w:t>
      </w:r>
      <w:r>
        <w:rPr>
          <w:rFonts w:ascii="Times New Roman" w:hAnsi="Times New Roman"/>
          <w:i/>
          <w:sz w:val="24"/>
          <w:szCs w:val="24"/>
          <w:lang w:val="pt-BR"/>
        </w:rPr>
        <w:t>System</w:t>
      </w:r>
      <w:r>
        <w:rPr>
          <w:rFonts w:ascii="Times New Roman" w:hAnsi="Times New Roman"/>
          <w:sz w:val="24"/>
          <w:szCs w:val="24"/>
          <w:lang w:val="pt-BR"/>
        </w:rPr>
        <w:t>-GMM foram utilizados em especificações tentativas, mas para a amostra em questão não geraram bons instrumentos para a estimação e foram descartados.</w:t>
      </w:r>
    </w:p>
    <w:p w:rsidR="00553639" w:rsidRDefault="00553639" w:rsidP="009F599C">
      <w:pPr>
        <w:tabs>
          <w:tab w:val="left" w:pos="720"/>
        </w:tabs>
        <w:spacing w:after="0" w:line="240" w:lineRule="auto"/>
        <w:ind w:firstLine="720"/>
        <w:jc w:val="both"/>
        <w:rPr>
          <w:rFonts w:ascii="Times New Roman" w:hAnsi="Times New Roman"/>
          <w:sz w:val="24"/>
          <w:szCs w:val="24"/>
          <w:lang w:val="pt-BR"/>
        </w:rPr>
      </w:pPr>
      <w:r w:rsidRPr="000176CD">
        <w:rPr>
          <w:rFonts w:ascii="Times New Roman" w:hAnsi="Times New Roman"/>
          <w:sz w:val="24"/>
          <w:szCs w:val="24"/>
          <w:lang w:val="pt-BR"/>
        </w:rPr>
        <w:t>A técnica desenvolvida por Arellano e Bond possibilita a correção de endogeneidade ou simultaneidade,</w:t>
      </w:r>
      <w:r>
        <w:rPr>
          <w:rFonts w:ascii="Times New Roman" w:hAnsi="Times New Roman"/>
          <w:sz w:val="24"/>
          <w:szCs w:val="24"/>
          <w:lang w:val="pt-BR"/>
        </w:rPr>
        <w:t xml:space="preserve"> </w:t>
      </w:r>
      <w:r w:rsidRPr="000176CD">
        <w:rPr>
          <w:rFonts w:ascii="Times New Roman" w:hAnsi="Times New Roman"/>
          <w:sz w:val="24"/>
          <w:szCs w:val="24"/>
          <w:lang w:val="pt-BR"/>
        </w:rPr>
        <w:t>correlações com realizações presentes do erro - utilizando variáveis predeterminadas</w:t>
      </w:r>
      <w:r>
        <w:rPr>
          <w:rFonts w:ascii="Times New Roman" w:hAnsi="Times New Roman"/>
          <w:sz w:val="24"/>
          <w:szCs w:val="24"/>
          <w:lang w:val="pt-BR"/>
        </w:rPr>
        <w:t xml:space="preserve"> - </w:t>
      </w:r>
      <w:r w:rsidRPr="000176CD">
        <w:rPr>
          <w:rFonts w:ascii="Times New Roman" w:hAnsi="Times New Roman"/>
          <w:sz w:val="24"/>
          <w:szCs w:val="24"/>
          <w:lang w:val="pt-BR"/>
        </w:rPr>
        <w:t>e instrumentos exógenos. As variáveis predeterminadas são correlacionadas com realizações passadas do erro, mas não contemporâneas. Para a estimação,</w:t>
      </w:r>
      <w:r>
        <w:rPr>
          <w:rFonts w:ascii="Times New Roman" w:hAnsi="Times New Roman"/>
          <w:sz w:val="24"/>
          <w:szCs w:val="24"/>
          <w:lang w:val="pt-BR"/>
        </w:rPr>
        <w:t xml:space="preserve"> </w:t>
      </w:r>
      <w:r w:rsidRPr="000176CD">
        <w:rPr>
          <w:rFonts w:ascii="Times New Roman" w:hAnsi="Times New Roman"/>
          <w:sz w:val="24"/>
          <w:szCs w:val="24"/>
          <w:lang w:val="pt-BR"/>
        </w:rPr>
        <w:t>é</w:t>
      </w:r>
      <w:r>
        <w:rPr>
          <w:rFonts w:ascii="Times New Roman" w:hAnsi="Times New Roman"/>
          <w:sz w:val="24"/>
          <w:szCs w:val="24"/>
          <w:lang w:val="pt-BR"/>
        </w:rPr>
        <w:t xml:space="preserve"> necessário distinguir as variáv</w:t>
      </w:r>
      <w:r w:rsidRPr="000176CD">
        <w:rPr>
          <w:rFonts w:ascii="Times New Roman" w:hAnsi="Times New Roman"/>
          <w:sz w:val="24"/>
          <w:szCs w:val="24"/>
          <w:lang w:val="pt-BR"/>
        </w:rPr>
        <w:t>e</w:t>
      </w:r>
      <w:r>
        <w:rPr>
          <w:rFonts w:ascii="Times New Roman" w:hAnsi="Times New Roman"/>
          <w:sz w:val="24"/>
          <w:szCs w:val="24"/>
          <w:lang w:val="pt-BR"/>
        </w:rPr>
        <w:t>i</w:t>
      </w:r>
      <w:r w:rsidRPr="000176CD">
        <w:rPr>
          <w:rFonts w:ascii="Times New Roman" w:hAnsi="Times New Roman"/>
          <w:sz w:val="24"/>
          <w:szCs w:val="24"/>
          <w:lang w:val="pt-BR"/>
        </w:rPr>
        <w:t>s como pré-determinadas, endógenas e as exógenas.</w:t>
      </w:r>
      <w:r>
        <w:rPr>
          <w:rFonts w:ascii="Times New Roman" w:hAnsi="Times New Roman"/>
          <w:sz w:val="24"/>
          <w:szCs w:val="24"/>
          <w:lang w:val="pt-BR"/>
        </w:rPr>
        <w:t xml:space="preserve"> Nas estimações das </w:t>
      </w:r>
      <w:r w:rsidRPr="002A374D">
        <w:rPr>
          <w:rFonts w:ascii="Times New Roman" w:hAnsi="Times New Roman"/>
          <w:sz w:val="24"/>
          <w:szCs w:val="24"/>
          <w:lang w:val="pt-BR"/>
        </w:rPr>
        <w:t>taxas de câmbio real nos painéis dinâmicos, variáveis de Ativos Estrangeiros Líquidos e de Commodities/Exportações e Manufaturados/Exportações foram consideradas endógenas, porque simultaneamente determinadas pelo câmbio real como prevê a teoria, e assim instrumentadas pelas defasagens das diferenças de todos os regressores. As demais variáveis foram consideradas pré-determinadas. Para uma descrição detalhada destas metodologias econométricas, ver Baltagi (2005).</w:t>
      </w:r>
      <w:r w:rsidRPr="009F599C">
        <w:rPr>
          <w:rFonts w:ascii="Times New Roman" w:hAnsi="Times New Roman"/>
          <w:sz w:val="24"/>
          <w:szCs w:val="24"/>
          <w:lang w:val="pt-BR"/>
        </w:rPr>
        <w:t xml:space="preserve"> </w:t>
      </w:r>
    </w:p>
    <w:p w:rsidR="00553639" w:rsidRPr="002A374D" w:rsidRDefault="00553639" w:rsidP="009F599C">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Nesse trabalho, além de usar como instrumento as defasagens das diferenças e nível das variáveis predeterminadas incluídas como predeterminadas, incluímos variáveis de instrumento adicionais como exógenas utilizando “Peso do Governo” e “Reservas em Ouro”. A idéia subjacente à utilização desses instrumentos é de que essas variáveis potencialmente explicam desalinhamento, sem serem substancialmente explicadas por desalinhamento, constituindo assim bons instrumentos. Com relação à utilização de “Peso do Governo”, a idéia é fundamentalmente relacionada com o desalinhamento causado por gerenciamento ou interferência inadequada das políticas macroeconômicas, na linha da argumentação teórica de Edwards (1988). Nesse caso, aqueles países com governos que tem grande participação dos gastos potencialmente tem maior probabilidade de ter o câmbio desalinhado por políticas macroeconômicas incompatíveis com o regime cambial em voga do que países com pequena participação do Estado na Economia. Por sua vez, a variável de “Reservas em Ouro” seria uma </w:t>
      </w:r>
      <w:r>
        <w:rPr>
          <w:rFonts w:ascii="Times New Roman" w:hAnsi="Times New Roman"/>
          <w:i/>
          <w:sz w:val="24"/>
          <w:szCs w:val="24"/>
          <w:lang w:val="pt-BR"/>
        </w:rPr>
        <w:t>proxy</w:t>
      </w:r>
      <w:r>
        <w:rPr>
          <w:rFonts w:ascii="Times New Roman" w:hAnsi="Times New Roman"/>
          <w:sz w:val="24"/>
          <w:szCs w:val="24"/>
          <w:lang w:val="pt-BR"/>
        </w:rPr>
        <w:t xml:space="preserve"> da capacidade do país de ter interferir no câmbio e causar persistentes inconsistências entre a taxa de câmbio real e a nominal, por exemplo, na busca de âncoras nominais para perseguir metas de inflação ou de outros agregados monetários. A inclusão dos instrumentos melhorou a desempenho das estimações e dos testes Sargan.</w:t>
      </w:r>
    </w:p>
    <w:p w:rsidR="00553639" w:rsidRDefault="00553639" w:rsidP="00822B89">
      <w:pPr>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Os testes Arellano-Bond de auto-correlação em segunda ordem foram adequadamente rejeitados para todas as especificações. Da mesma forma, os testes Hansen/Sargan rejeitam a hipótese nula de invalidação dos instrumentos utilizados. </w:t>
      </w:r>
    </w:p>
    <w:p w:rsidR="00553639" w:rsidRDefault="00553639" w:rsidP="005F36AF">
      <w:pPr>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As variáveis deste painel em segundo estágio podem ser divididas em dois grupos: as variáveis de controle, que servem para isolar a contribuição marginal de alguns fundamentos e de outras forças que expliquem desalinhamento cambial, e as variáveis de interesse, que são aquelas que buscam testar se há correlação entre a pauta exportadora de um país e o grau de apreciação cambial do mesmo. </w:t>
      </w:r>
    </w:p>
    <w:p w:rsidR="00553639" w:rsidRDefault="00553639" w:rsidP="009F599C">
      <w:pPr>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As especificações vão de (I) a (VI) como forma de testar a robustez do sinal e significância dos regressores às diversas especificações. Os resultados para abertura da conta de capital quanto a sobre-apreciação são mistos, não robustos à diversidade de especificações. Isto pode acontecer porque a dinâmica de abertura da conta de capital esta vastamente associada ao comportamento de outras variáveis (Commodities/Exportação, por exemplo: países exportadores de bens primários podem ser aqueles que maiores fluxos financeiros recebem do que os outros países, de forma que os efeitos da variável mudem com a inclusão desta). A poupança doméstica aparece com correlação negativa para sobre-apreciação, mas não é significante em nenhuma das especificações – talvez segregações da amostra para sub-regiões de países mudem esse aspecto e é objeto de pesquisa futura. A inflação relativa, como era esperado, aparece com sinal positivo e significante em todas as especificações (com exceção da (VI)), assim como a melhoria dos termos de troca aparece como redutor da sobre-apreciação na maioria das especificações.  </w:t>
      </w:r>
    </w:p>
    <w:p w:rsidR="00553639" w:rsidRDefault="00553639" w:rsidP="005F36AF">
      <w:pPr>
        <w:spacing w:after="0" w:line="240" w:lineRule="auto"/>
        <w:ind w:firstLine="720"/>
        <w:jc w:val="both"/>
        <w:rPr>
          <w:rFonts w:ascii="Times New Roman" w:hAnsi="Times New Roman"/>
          <w:sz w:val="24"/>
          <w:szCs w:val="24"/>
          <w:lang w:val="pt-BR"/>
        </w:rPr>
      </w:pPr>
    </w:p>
    <w:p w:rsidR="00553639" w:rsidRDefault="00553639" w:rsidP="005F36AF">
      <w:pPr>
        <w:spacing w:after="0" w:line="240" w:lineRule="auto"/>
        <w:ind w:firstLine="720"/>
        <w:jc w:val="both"/>
        <w:rPr>
          <w:rFonts w:ascii="Times New Roman" w:hAnsi="Times New Roman"/>
          <w:sz w:val="24"/>
          <w:szCs w:val="24"/>
          <w:lang w:val="pt-BR"/>
        </w:rPr>
      </w:pPr>
    </w:p>
    <w:p w:rsidR="00553639" w:rsidRDefault="00553639" w:rsidP="005F36AF">
      <w:pPr>
        <w:spacing w:after="0" w:line="240" w:lineRule="auto"/>
        <w:ind w:firstLine="720"/>
        <w:jc w:val="both"/>
        <w:rPr>
          <w:rFonts w:ascii="Times New Roman" w:hAnsi="Times New Roman"/>
          <w:sz w:val="24"/>
          <w:szCs w:val="24"/>
          <w:lang w:val="pt-BR"/>
        </w:rPr>
      </w:pPr>
      <w:r w:rsidRPr="003E5F82">
        <w:rPr>
          <w:rFonts w:ascii="Times New Roman" w:hAnsi="Times New Roman"/>
          <w:b/>
          <w:sz w:val="24"/>
          <w:szCs w:val="24"/>
          <w:lang w:val="pt-BR"/>
        </w:rPr>
        <w:t>Tabela 1 – Determinantes da Sobre-Apreciação do Câmbio Real, 1970-2004</w:t>
      </w:r>
    </w:p>
    <w:tbl>
      <w:tblPr>
        <w:tblW w:w="9872" w:type="dxa"/>
        <w:tblInd w:w="-162" w:type="dxa"/>
        <w:tblLook w:val="00A0"/>
      </w:tblPr>
      <w:tblGrid>
        <w:gridCol w:w="2780"/>
        <w:gridCol w:w="960"/>
        <w:gridCol w:w="1000"/>
        <w:gridCol w:w="1066"/>
        <w:gridCol w:w="1000"/>
        <w:gridCol w:w="1146"/>
        <w:gridCol w:w="1066"/>
        <w:gridCol w:w="1000"/>
      </w:tblGrid>
      <w:tr w:rsidR="00553639" w:rsidRPr="003E5F82" w:rsidTr="007C249A">
        <w:trPr>
          <w:trHeight w:val="255"/>
        </w:trPr>
        <w:tc>
          <w:tcPr>
            <w:tcW w:w="2780" w:type="dxa"/>
            <w:tcBorders>
              <w:top w:val="single" w:sz="4" w:space="0" w:color="auto"/>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lang w:val="pt-BR"/>
              </w:rPr>
            </w:pPr>
          </w:p>
        </w:tc>
        <w:tc>
          <w:tcPr>
            <w:tcW w:w="960" w:type="dxa"/>
            <w:tcBorders>
              <w:top w:val="single" w:sz="4" w:space="0" w:color="auto"/>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lang w:val="pt-BR"/>
              </w:rPr>
            </w:pPr>
          </w:p>
        </w:tc>
        <w:tc>
          <w:tcPr>
            <w:tcW w:w="1000" w:type="dxa"/>
            <w:tcBorders>
              <w:top w:val="single" w:sz="4" w:space="0" w:color="auto"/>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(I)</w:t>
            </w:r>
          </w:p>
        </w:tc>
        <w:tc>
          <w:tcPr>
            <w:tcW w:w="1066" w:type="dxa"/>
            <w:tcBorders>
              <w:top w:val="single" w:sz="4" w:space="0" w:color="auto"/>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(II)</w:t>
            </w:r>
          </w:p>
        </w:tc>
        <w:tc>
          <w:tcPr>
            <w:tcW w:w="854" w:type="dxa"/>
            <w:tcBorders>
              <w:top w:val="single" w:sz="4" w:space="0" w:color="auto"/>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(III)</w:t>
            </w:r>
          </w:p>
        </w:tc>
        <w:tc>
          <w:tcPr>
            <w:tcW w:w="1146" w:type="dxa"/>
            <w:tcBorders>
              <w:top w:val="single" w:sz="4" w:space="0" w:color="auto"/>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(IV)</w:t>
            </w:r>
          </w:p>
        </w:tc>
        <w:tc>
          <w:tcPr>
            <w:tcW w:w="1066" w:type="dxa"/>
            <w:tcBorders>
              <w:top w:val="single" w:sz="4" w:space="0" w:color="auto"/>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(V)</w:t>
            </w:r>
          </w:p>
        </w:tc>
        <w:tc>
          <w:tcPr>
            <w:tcW w:w="1000" w:type="dxa"/>
            <w:tcBorders>
              <w:top w:val="single" w:sz="4" w:space="0" w:color="auto"/>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(VI)</w:t>
            </w:r>
          </w:p>
        </w:tc>
      </w:tr>
      <w:tr w:rsidR="00553639" w:rsidRPr="006D36FC" w:rsidTr="007C249A">
        <w:trPr>
          <w:trHeight w:val="255"/>
        </w:trPr>
        <w:tc>
          <w:tcPr>
            <w:tcW w:w="2780" w:type="dxa"/>
            <w:tcBorders>
              <w:top w:val="single" w:sz="4" w:space="0" w:color="auto"/>
              <w:left w:val="nil"/>
              <w:bottom w:val="nil"/>
              <w:right w:val="nil"/>
            </w:tcBorders>
            <w:noWrap/>
            <w:vAlign w:val="bottom"/>
          </w:tcPr>
          <w:p w:rsidR="00553639" w:rsidRPr="006D36FC" w:rsidRDefault="00553639" w:rsidP="003E5F82">
            <w:pPr>
              <w:spacing w:after="0" w:line="240" w:lineRule="auto"/>
              <w:rPr>
                <w:rFonts w:ascii="Times New Roman" w:hAnsi="Times New Roman"/>
                <w:b/>
                <w:sz w:val="20"/>
                <w:szCs w:val="20"/>
                <w:lang w:val="pt-BR"/>
              </w:rPr>
            </w:pPr>
            <w:r w:rsidRPr="006D36FC">
              <w:rPr>
                <w:rFonts w:ascii="Times New Roman" w:hAnsi="Times New Roman"/>
                <w:b/>
                <w:sz w:val="20"/>
                <w:szCs w:val="20"/>
                <w:lang w:val="pt-BR"/>
              </w:rPr>
              <w:t>Defasagem da V. Dependente</w:t>
            </w:r>
          </w:p>
        </w:tc>
        <w:tc>
          <w:tcPr>
            <w:tcW w:w="960" w:type="dxa"/>
            <w:tcBorders>
              <w:top w:val="single" w:sz="4" w:space="0" w:color="auto"/>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p>
        </w:tc>
        <w:tc>
          <w:tcPr>
            <w:tcW w:w="1000" w:type="dxa"/>
            <w:tcBorders>
              <w:top w:val="single" w:sz="4" w:space="0" w:color="auto"/>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0,940***</w:t>
            </w:r>
          </w:p>
        </w:tc>
        <w:tc>
          <w:tcPr>
            <w:tcW w:w="1066" w:type="dxa"/>
            <w:tcBorders>
              <w:top w:val="single" w:sz="4" w:space="0" w:color="auto"/>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0,939***</w:t>
            </w:r>
          </w:p>
        </w:tc>
        <w:tc>
          <w:tcPr>
            <w:tcW w:w="854" w:type="dxa"/>
            <w:tcBorders>
              <w:top w:val="single" w:sz="4" w:space="0" w:color="auto"/>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0,890***</w:t>
            </w:r>
          </w:p>
        </w:tc>
        <w:tc>
          <w:tcPr>
            <w:tcW w:w="1146" w:type="dxa"/>
            <w:tcBorders>
              <w:top w:val="single" w:sz="4" w:space="0" w:color="auto"/>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0,890***</w:t>
            </w:r>
          </w:p>
        </w:tc>
        <w:tc>
          <w:tcPr>
            <w:tcW w:w="1066" w:type="dxa"/>
            <w:tcBorders>
              <w:top w:val="single" w:sz="4" w:space="0" w:color="auto"/>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0,892***</w:t>
            </w:r>
          </w:p>
        </w:tc>
        <w:tc>
          <w:tcPr>
            <w:tcW w:w="1000" w:type="dxa"/>
            <w:tcBorders>
              <w:top w:val="single" w:sz="4" w:space="0" w:color="auto"/>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0,779***</w:t>
            </w:r>
          </w:p>
        </w:tc>
      </w:tr>
      <w:tr w:rsidR="00553639" w:rsidRPr="006D36FC" w:rsidTr="007C249A">
        <w:trPr>
          <w:trHeight w:val="255"/>
        </w:trPr>
        <w:tc>
          <w:tcPr>
            <w:tcW w:w="2780" w:type="dxa"/>
            <w:tcBorders>
              <w:top w:val="nil"/>
              <w:left w:val="nil"/>
              <w:bottom w:val="nil"/>
              <w:right w:val="nil"/>
            </w:tcBorders>
            <w:noWrap/>
            <w:vAlign w:val="bottom"/>
          </w:tcPr>
          <w:p w:rsidR="00553639" w:rsidRPr="006D36FC" w:rsidRDefault="00553639" w:rsidP="003E5F82">
            <w:pPr>
              <w:spacing w:after="0" w:line="240" w:lineRule="auto"/>
              <w:rPr>
                <w:rFonts w:ascii="Times New Roman" w:hAnsi="Times New Roman"/>
                <w:b/>
                <w:sz w:val="20"/>
                <w:szCs w:val="20"/>
                <w:lang w:val="pt-BR"/>
              </w:rPr>
            </w:pPr>
          </w:p>
        </w:tc>
        <w:tc>
          <w:tcPr>
            <w:tcW w:w="960" w:type="dxa"/>
            <w:tcBorders>
              <w:top w:val="nil"/>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p>
        </w:tc>
        <w:tc>
          <w:tcPr>
            <w:tcW w:w="1000" w:type="dxa"/>
            <w:tcBorders>
              <w:top w:val="nil"/>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(0,0432)</w:t>
            </w:r>
          </w:p>
        </w:tc>
        <w:tc>
          <w:tcPr>
            <w:tcW w:w="1066" w:type="dxa"/>
            <w:tcBorders>
              <w:top w:val="nil"/>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(0,0271)</w:t>
            </w:r>
          </w:p>
        </w:tc>
        <w:tc>
          <w:tcPr>
            <w:tcW w:w="854" w:type="dxa"/>
            <w:tcBorders>
              <w:top w:val="nil"/>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(0,0534)</w:t>
            </w:r>
          </w:p>
        </w:tc>
        <w:tc>
          <w:tcPr>
            <w:tcW w:w="1146" w:type="dxa"/>
            <w:tcBorders>
              <w:top w:val="nil"/>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(0,0557)</w:t>
            </w:r>
          </w:p>
        </w:tc>
        <w:tc>
          <w:tcPr>
            <w:tcW w:w="1066" w:type="dxa"/>
            <w:tcBorders>
              <w:top w:val="nil"/>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(0,0468)</w:t>
            </w:r>
          </w:p>
        </w:tc>
        <w:tc>
          <w:tcPr>
            <w:tcW w:w="1000" w:type="dxa"/>
            <w:tcBorders>
              <w:top w:val="nil"/>
              <w:left w:val="nil"/>
              <w:bottom w:val="nil"/>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r w:rsidRPr="006D36FC">
              <w:rPr>
                <w:rFonts w:ascii="Times New Roman" w:hAnsi="Times New Roman"/>
                <w:sz w:val="20"/>
                <w:szCs w:val="20"/>
                <w:lang w:val="pt-BR"/>
              </w:rPr>
              <w:t>(0,0588)</w:t>
            </w:r>
          </w:p>
        </w:tc>
      </w:tr>
      <w:tr w:rsidR="00553639" w:rsidRPr="006D36FC" w:rsidTr="006D36FC">
        <w:trPr>
          <w:trHeight w:val="255"/>
        </w:trPr>
        <w:tc>
          <w:tcPr>
            <w:tcW w:w="2780" w:type="dxa"/>
            <w:tcBorders>
              <w:top w:val="nil"/>
              <w:left w:val="nil"/>
              <w:bottom w:val="single" w:sz="4" w:space="0" w:color="auto"/>
              <w:right w:val="nil"/>
            </w:tcBorders>
            <w:shd w:val="clear" w:color="auto" w:fill="D9D9D9"/>
            <w:noWrap/>
            <w:vAlign w:val="bottom"/>
          </w:tcPr>
          <w:p w:rsidR="00553639" w:rsidRPr="006D36FC" w:rsidRDefault="00553639" w:rsidP="003E5F82">
            <w:pPr>
              <w:spacing w:after="0" w:line="240" w:lineRule="auto"/>
              <w:rPr>
                <w:rFonts w:ascii="Times New Roman" w:hAnsi="Times New Roman"/>
                <w:b/>
                <w:sz w:val="20"/>
                <w:szCs w:val="20"/>
                <w:lang w:val="pt-BR"/>
              </w:rPr>
            </w:pPr>
            <w:r>
              <w:rPr>
                <w:rFonts w:ascii="Times New Roman" w:hAnsi="Times New Roman"/>
                <w:b/>
                <w:sz w:val="20"/>
                <w:szCs w:val="20"/>
                <w:lang w:val="pt-BR"/>
              </w:rPr>
              <w:t>Variáveis de CONTROLE</w:t>
            </w:r>
          </w:p>
        </w:tc>
        <w:tc>
          <w:tcPr>
            <w:tcW w:w="960" w:type="dxa"/>
            <w:tcBorders>
              <w:top w:val="nil"/>
              <w:left w:val="nil"/>
              <w:bottom w:val="single" w:sz="4" w:space="0" w:color="auto"/>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p>
        </w:tc>
        <w:tc>
          <w:tcPr>
            <w:tcW w:w="1000" w:type="dxa"/>
            <w:tcBorders>
              <w:top w:val="nil"/>
              <w:left w:val="nil"/>
              <w:bottom w:val="single" w:sz="4" w:space="0" w:color="auto"/>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p>
        </w:tc>
        <w:tc>
          <w:tcPr>
            <w:tcW w:w="1066" w:type="dxa"/>
            <w:tcBorders>
              <w:top w:val="nil"/>
              <w:left w:val="nil"/>
              <w:bottom w:val="single" w:sz="4" w:space="0" w:color="auto"/>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p>
        </w:tc>
        <w:tc>
          <w:tcPr>
            <w:tcW w:w="854" w:type="dxa"/>
            <w:tcBorders>
              <w:top w:val="nil"/>
              <w:left w:val="nil"/>
              <w:bottom w:val="single" w:sz="4" w:space="0" w:color="auto"/>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p>
        </w:tc>
        <w:tc>
          <w:tcPr>
            <w:tcW w:w="1146" w:type="dxa"/>
            <w:tcBorders>
              <w:top w:val="nil"/>
              <w:left w:val="nil"/>
              <w:bottom w:val="single" w:sz="4" w:space="0" w:color="auto"/>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p>
        </w:tc>
        <w:tc>
          <w:tcPr>
            <w:tcW w:w="1066" w:type="dxa"/>
            <w:tcBorders>
              <w:top w:val="nil"/>
              <w:left w:val="nil"/>
              <w:bottom w:val="single" w:sz="4" w:space="0" w:color="auto"/>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p>
        </w:tc>
        <w:tc>
          <w:tcPr>
            <w:tcW w:w="1000" w:type="dxa"/>
            <w:tcBorders>
              <w:top w:val="nil"/>
              <w:left w:val="nil"/>
              <w:bottom w:val="single" w:sz="4" w:space="0" w:color="auto"/>
              <w:right w:val="nil"/>
            </w:tcBorders>
            <w:noWrap/>
            <w:vAlign w:val="bottom"/>
          </w:tcPr>
          <w:p w:rsidR="00553639" w:rsidRPr="006D36FC" w:rsidRDefault="00553639" w:rsidP="003E5F82">
            <w:pPr>
              <w:spacing w:after="0" w:line="240" w:lineRule="auto"/>
              <w:jc w:val="center"/>
              <w:rPr>
                <w:rFonts w:ascii="Times New Roman" w:hAnsi="Times New Roman"/>
                <w:sz w:val="20"/>
                <w:szCs w:val="20"/>
                <w:lang w:val="pt-BR"/>
              </w:rPr>
            </w:pPr>
          </w:p>
        </w:tc>
      </w:tr>
      <w:tr w:rsidR="00553639" w:rsidRPr="003E5F82" w:rsidTr="006D36FC">
        <w:trPr>
          <w:trHeight w:val="255"/>
        </w:trPr>
        <w:tc>
          <w:tcPr>
            <w:tcW w:w="2780" w:type="dxa"/>
            <w:tcBorders>
              <w:top w:val="single" w:sz="4" w:space="0" w:color="auto"/>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6D36FC">
              <w:rPr>
                <w:rFonts w:ascii="Times New Roman" w:hAnsi="Times New Roman"/>
                <w:b/>
                <w:sz w:val="20"/>
                <w:szCs w:val="20"/>
                <w:lang w:val="pt-BR"/>
              </w:rPr>
              <w:t>Abertura de Ca</w:t>
            </w:r>
            <w:r w:rsidRPr="003E5F82">
              <w:rPr>
                <w:rFonts w:ascii="Times New Roman" w:hAnsi="Times New Roman"/>
                <w:b/>
                <w:sz w:val="20"/>
                <w:szCs w:val="20"/>
              </w:rPr>
              <w:t>pitais</w:t>
            </w:r>
          </w:p>
        </w:tc>
        <w:tc>
          <w:tcPr>
            <w:tcW w:w="960" w:type="dxa"/>
            <w:tcBorders>
              <w:top w:val="single" w:sz="4" w:space="0" w:color="auto"/>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single" w:sz="4" w:space="0" w:color="auto"/>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0336*</w:t>
            </w:r>
          </w:p>
        </w:tc>
        <w:tc>
          <w:tcPr>
            <w:tcW w:w="1066" w:type="dxa"/>
            <w:tcBorders>
              <w:top w:val="single" w:sz="4" w:space="0" w:color="auto"/>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0616***</w:t>
            </w:r>
          </w:p>
        </w:tc>
        <w:tc>
          <w:tcPr>
            <w:tcW w:w="854" w:type="dxa"/>
            <w:tcBorders>
              <w:top w:val="single" w:sz="4" w:space="0" w:color="auto"/>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0164</w:t>
            </w:r>
          </w:p>
        </w:tc>
        <w:tc>
          <w:tcPr>
            <w:tcW w:w="1146" w:type="dxa"/>
            <w:tcBorders>
              <w:top w:val="single" w:sz="4" w:space="0" w:color="auto"/>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0260</w:t>
            </w:r>
          </w:p>
        </w:tc>
        <w:tc>
          <w:tcPr>
            <w:tcW w:w="1066" w:type="dxa"/>
            <w:tcBorders>
              <w:top w:val="single" w:sz="4" w:space="0" w:color="auto"/>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0754**</w:t>
            </w:r>
          </w:p>
        </w:tc>
        <w:tc>
          <w:tcPr>
            <w:tcW w:w="1000" w:type="dxa"/>
            <w:tcBorders>
              <w:top w:val="single" w:sz="4" w:space="0" w:color="auto"/>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0431</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0178)</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0185)</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0269)</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0424)</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0363)</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0374)</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Poupança Doméstica</w:t>
            </w: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00193*</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Pr>
                <w:rFonts w:ascii="Times New Roman" w:hAnsi="Times New Roman"/>
                <w:sz w:val="20"/>
                <w:szCs w:val="20"/>
              </w:rPr>
              <w:t>-</w:t>
            </w: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00297</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00280</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00334</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00202</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00116)</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00244)</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00501)</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00315)</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00579)</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Gastos do Governo/PIB</w:t>
            </w: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0228**</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0210</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0610**</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0230**</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00893)</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0157)</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0262)</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0116)</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Inflação Relativa</w:t>
            </w: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700***</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0219**</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0178***</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152</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261)</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00935)</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00672)</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121)</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Termos de Troca</w:t>
            </w: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Pr>
                <w:rFonts w:ascii="Times New Roman" w:hAnsi="Times New Roman"/>
                <w:sz w:val="20"/>
                <w:szCs w:val="20"/>
              </w:rPr>
              <w:t>-</w:t>
            </w: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737***</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367**</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0957</w:t>
            </w:r>
          </w:p>
        </w:tc>
      </w:tr>
      <w:tr w:rsidR="00553639" w:rsidRPr="003E5F82" w:rsidTr="006D36FC">
        <w:trPr>
          <w:trHeight w:val="255"/>
        </w:trPr>
        <w:tc>
          <w:tcPr>
            <w:tcW w:w="2780" w:type="dxa"/>
            <w:tcBorders>
              <w:top w:val="nil"/>
              <w:left w:val="nil"/>
              <w:bottom w:val="single" w:sz="4" w:space="0" w:color="auto"/>
              <w:right w:val="nil"/>
            </w:tcBorders>
            <w:noWrap/>
            <w:vAlign w:val="bottom"/>
          </w:tcPr>
          <w:p w:rsidR="00553639" w:rsidRPr="003E5F82" w:rsidRDefault="00553639" w:rsidP="003E5F82">
            <w:pPr>
              <w:spacing w:after="0" w:line="240" w:lineRule="auto"/>
              <w:rPr>
                <w:rFonts w:ascii="Times New Roman" w:hAnsi="Times New Roman"/>
                <w:b/>
                <w:sz w:val="20"/>
                <w:szCs w:val="20"/>
              </w:rPr>
            </w:pPr>
          </w:p>
        </w:tc>
        <w:tc>
          <w:tcPr>
            <w:tcW w:w="960"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066"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854"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w:t>
            </w:r>
          </w:p>
        </w:tc>
        <w:tc>
          <w:tcPr>
            <w:tcW w:w="1146"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274)</w:t>
            </w:r>
          </w:p>
        </w:tc>
        <w:tc>
          <w:tcPr>
            <w:tcW w:w="1066"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157)</w:t>
            </w:r>
          </w:p>
        </w:tc>
        <w:tc>
          <w:tcPr>
            <w:tcW w:w="1000"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122)</w:t>
            </w:r>
          </w:p>
        </w:tc>
      </w:tr>
      <w:tr w:rsidR="00553639" w:rsidRPr="003E5F82" w:rsidTr="006D36FC">
        <w:trPr>
          <w:trHeight w:val="255"/>
        </w:trPr>
        <w:tc>
          <w:tcPr>
            <w:tcW w:w="2780" w:type="dxa"/>
            <w:tcBorders>
              <w:top w:val="single" w:sz="4" w:space="0" w:color="auto"/>
              <w:left w:val="nil"/>
              <w:bottom w:val="nil"/>
              <w:right w:val="nil"/>
            </w:tcBorders>
            <w:shd w:val="clear" w:color="auto" w:fill="D9D9D9"/>
            <w:noWrap/>
            <w:vAlign w:val="bottom"/>
          </w:tcPr>
          <w:p w:rsidR="00553639" w:rsidRPr="006D36FC" w:rsidRDefault="00553639" w:rsidP="003E5F82">
            <w:pPr>
              <w:spacing w:after="0" w:line="240" w:lineRule="auto"/>
              <w:rPr>
                <w:rFonts w:ascii="Times New Roman" w:hAnsi="Times New Roman"/>
                <w:b/>
                <w:sz w:val="20"/>
                <w:szCs w:val="20"/>
              </w:rPr>
            </w:pPr>
            <w:r w:rsidRPr="006D36FC">
              <w:rPr>
                <w:rFonts w:ascii="Times New Roman" w:hAnsi="Times New Roman"/>
                <w:b/>
                <w:sz w:val="20"/>
                <w:szCs w:val="20"/>
              </w:rPr>
              <w:t>Commodities/Exportações</w:t>
            </w:r>
          </w:p>
        </w:tc>
        <w:tc>
          <w:tcPr>
            <w:tcW w:w="960" w:type="dxa"/>
            <w:tcBorders>
              <w:top w:val="single" w:sz="4" w:space="0" w:color="auto"/>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p>
        </w:tc>
        <w:tc>
          <w:tcPr>
            <w:tcW w:w="1000" w:type="dxa"/>
            <w:tcBorders>
              <w:top w:val="single" w:sz="4" w:space="0" w:color="auto"/>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66" w:type="dxa"/>
            <w:tcBorders>
              <w:top w:val="single" w:sz="4" w:space="0" w:color="auto"/>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854" w:type="dxa"/>
            <w:tcBorders>
              <w:top w:val="single" w:sz="4" w:space="0" w:color="auto"/>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146" w:type="dxa"/>
            <w:tcBorders>
              <w:top w:val="single" w:sz="4" w:space="0" w:color="auto"/>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66" w:type="dxa"/>
            <w:tcBorders>
              <w:top w:val="single" w:sz="4" w:space="0" w:color="auto"/>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0,910**</w:t>
            </w:r>
          </w:p>
        </w:tc>
        <w:tc>
          <w:tcPr>
            <w:tcW w:w="1000" w:type="dxa"/>
            <w:tcBorders>
              <w:top w:val="single" w:sz="4" w:space="0" w:color="auto"/>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r>
      <w:tr w:rsidR="00553639" w:rsidRPr="003E5F82" w:rsidTr="006D36FC">
        <w:trPr>
          <w:trHeight w:val="255"/>
        </w:trPr>
        <w:tc>
          <w:tcPr>
            <w:tcW w:w="278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rPr>
                <w:rFonts w:ascii="Times New Roman" w:hAnsi="Times New Roman"/>
                <w:b/>
                <w:sz w:val="20"/>
                <w:szCs w:val="20"/>
              </w:rPr>
            </w:pPr>
          </w:p>
        </w:tc>
        <w:tc>
          <w:tcPr>
            <w:tcW w:w="96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66"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854"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146"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66"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(0,428)</w:t>
            </w:r>
          </w:p>
        </w:tc>
        <w:tc>
          <w:tcPr>
            <w:tcW w:w="100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r>
      <w:tr w:rsidR="00553639" w:rsidRPr="003E5F82" w:rsidTr="006D36FC">
        <w:trPr>
          <w:trHeight w:val="288"/>
        </w:trPr>
        <w:tc>
          <w:tcPr>
            <w:tcW w:w="278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rPr>
                <w:rFonts w:ascii="Times New Roman" w:hAnsi="Times New Roman"/>
                <w:b/>
                <w:sz w:val="20"/>
                <w:szCs w:val="20"/>
              </w:rPr>
            </w:pPr>
            <w:r w:rsidRPr="006D36FC">
              <w:rPr>
                <w:rFonts w:ascii="Times New Roman" w:hAnsi="Times New Roman"/>
                <w:b/>
                <w:sz w:val="20"/>
                <w:szCs w:val="20"/>
              </w:rPr>
              <w:t>Manufaturados/Exportações</w:t>
            </w:r>
          </w:p>
        </w:tc>
        <w:tc>
          <w:tcPr>
            <w:tcW w:w="96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66"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854"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146"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66"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0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0,006**</w:t>
            </w:r>
          </w:p>
        </w:tc>
      </w:tr>
      <w:tr w:rsidR="00553639" w:rsidRPr="003E5F82" w:rsidTr="006D36FC">
        <w:trPr>
          <w:trHeight w:val="255"/>
        </w:trPr>
        <w:tc>
          <w:tcPr>
            <w:tcW w:w="278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rPr>
                <w:rFonts w:ascii="Times New Roman" w:hAnsi="Times New Roman"/>
                <w:b/>
                <w:sz w:val="20"/>
                <w:szCs w:val="20"/>
              </w:rPr>
            </w:pPr>
          </w:p>
        </w:tc>
        <w:tc>
          <w:tcPr>
            <w:tcW w:w="96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66"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854"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146"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66"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w:t>
            </w:r>
          </w:p>
        </w:tc>
        <w:tc>
          <w:tcPr>
            <w:tcW w:w="1000" w:type="dxa"/>
            <w:tcBorders>
              <w:top w:val="nil"/>
              <w:left w:val="nil"/>
              <w:bottom w:val="nil"/>
              <w:right w:val="nil"/>
            </w:tcBorders>
            <w:shd w:val="clear" w:color="auto" w:fill="D9D9D9"/>
            <w:noWrap/>
            <w:vAlign w:val="bottom"/>
          </w:tcPr>
          <w:p w:rsidR="00553639" w:rsidRPr="006D36FC" w:rsidRDefault="00553639" w:rsidP="003E5F82">
            <w:pPr>
              <w:spacing w:after="0" w:line="240" w:lineRule="auto"/>
              <w:jc w:val="center"/>
              <w:rPr>
                <w:rFonts w:ascii="Times New Roman" w:hAnsi="Times New Roman"/>
                <w:sz w:val="20"/>
                <w:szCs w:val="20"/>
              </w:rPr>
            </w:pPr>
            <w:r w:rsidRPr="006D36FC">
              <w:rPr>
                <w:rFonts w:ascii="Times New Roman" w:hAnsi="Times New Roman"/>
                <w:sz w:val="20"/>
                <w:szCs w:val="20"/>
              </w:rPr>
              <w:t>(0,00273)</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Intercepto</w:t>
            </w: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00562</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0278</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591***</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1</w:t>
            </w:r>
            <w:r>
              <w:rPr>
                <w:rFonts w:ascii="Times New Roman" w:hAnsi="Times New Roman"/>
                <w:sz w:val="20"/>
                <w:szCs w:val="20"/>
              </w:rPr>
              <w:t>,</w:t>
            </w:r>
            <w:r w:rsidRPr="003E5F82">
              <w:rPr>
                <w:rFonts w:ascii="Times New Roman" w:hAnsi="Times New Roman"/>
                <w:sz w:val="20"/>
                <w:szCs w:val="20"/>
              </w:rPr>
              <w:t>057**</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869***</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543*</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00645)</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0214)</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225)</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420)</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292)</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309)</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Observações</w:t>
            </w: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1,543</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1,497</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1,139</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1,139</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952</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859</w:t>
            </w:r>
          </w:p>
        </w:tc>
      </w:tr>
      <w:tr w:rsidR="00553639" w:rsidRPr="003E5F82" w:rsidTr="007C249A">
        <w:trPr>
          <w:trHeight w:val="255"/>
        </w:trPr>
        <w:tc>
          <w:tcPr>
            <w:tcW w:w="2780" w:type="dxa"/>
            <w:tcBorders>
              <w:top w:val="nil"/>
              <w:left w:val="nil"/>
              <w:bottom w:val="single" w:sz="4" w:space="0" w:color="auto"/>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Número de países</w:t>
            </w:r>
          </w:p>
        </w:tc>
        <w:tc>
          <w:tcPr>
            <w:tcW w:w="960" w:type="dxa"/>
            <w:tcBorders>
              <w:top w:val="nil"/>
              <w:left w:val="nil"/>
              <w:bottom w:val="single" w:sz="4" w:space="0" w:color="000000"/>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single" w:sz="4" w:space="0" w:color="000000"/>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89</w:t>
            </w:r>
          </w:p>
        </w:tc>
        <w:tc>
          <w:tcPr>
            <w:tcW w:w="1066" w:type="dxa"/>
            <w:tcBorders>
              <w:top w:val="nil"/>
              <w:left w:val="nil"/>
              <w:bottom w:val="single" w:sz="4" w:space="0" w:color="000000"/>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88</w:t>
            </w:r>
          </w:p>
        </w:tc>
        <w:tc>
          <w:tcPr>
            <w:tcW w:w="854" w:type="dxa"/>
            <w:tcBorders>
              <w:top w:val="nil"/>
              <w:left w:val="nil"/>
              <w:bottom w:val="single" w:sz="4" w:space="0" w:color="000000"/>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70</w:t>
            </w:r>
          </w:p>
        </w:tc>
        <w:tc>
          <w:tcPr>
            <w:tcW w:w="1146" w:type="dxa"/>
            <w:tcBorders>
              <w:top w:val="nil"/>
              <w:left w:val="nil"/>
              <w:bottom w:val="single" w:sz="4" w:space="0" w:color="000000"/>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70</w:t>
            </w:r>
          </w:p>
        </w:tc>
        <w:tc>
          <w:tcPr>
            <w:tcW w:w="1066" w:type="dxa"/>
            <w:tcBorders>
              <w:top w:val="nil"/>
              <w:left w:val="nil"/>
              <w:bottom w:val="single" w:sz="4" w:space="0" w:color="000000"/>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68</w:t>
            </w:r>
          </w:p>
        </w:tc>
        <w:tc>
          <w:tcPr>
            <w:tcW w:w="1000" w:type="dxa"/>
            <w:tcBorders>
              <w:top w:val="nil"/>
              <w:left w:val="nil"/>
              <w:bottom w:val="single" w:sz="4" w:space="0" w:color="000000"/>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64</w:t>
            </w:r>
          </w:p>
        </w:tc>
      </w:tr>
      <w:tr w:rsidR="00553639" w:rsidRPr="003E5F82" w:rsidTr="007C249A">
        <w:trPr>
          <w:trHeight w:val="255"/>
        </w:trPr>
        <w:tc>
          <w:tcPr>
            <w:tcW w:w="2780" w:type="dxa"/>
            <w:tcBorders>
              <w:top w:val="single" w:sz="4" w:space="0" w:color="auto"/>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AR(1) Teste</w:t>
            </w: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0,000</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0,000</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0,000</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0,000</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0,000</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0,000</w:t>
            </w:r>
          </w:p>
        </w:tc>
      </w:tr>
      <w:tr w:rsidR="00553639" w:rsidRPr="003E5F82" w:rsidTr="007C249A">
        <w:trPr>
          <w:trHeight w:val="255"/>
        </w:trPr>
        <w:tc>
          <w:tcPr>
            <w:tcW w:w="2780" w:type="dxa"/>
            <w:tcBorders>
              <w:top w:val="nil"/>
              <w:left w:val="nil"/>
              <w:bottom w:val="nil"/>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AR(2) Teste</w:t>
            </w:r>
          </w:p>
        </w:tc>
        <w:tc>
          <w:tcPr>
            <w:tcW w:w="96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533</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186</w:t>
            </w:r>
          </w:p>
        </w:tc>
        <w:tc>
          <w:tcPr>
            <w:tcW w:w="854"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151</w:t>
            </w:r>
          </w:p>
        </w:tc>
        <w:tc>
          <w:tcPr>
            <w:tcW w:w="114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151</w:t>
            </w:r>
          </w:p>
        </w:tc>
        <w:tc>
          <w:tcPr>
            <w:tcW w:w="1066"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151</w:t>
            </w:r>
          </w:p>
        </w:tc>
        <w:tc>
          <w:tcPr>
            <w:tcW w:w="1000" w:type="dxa"/>
            <w:tcBorders>
              <w:top w:val="nil"/>
              <w:left w:val="nil"/>
              <w:bottom w:val="nil"/>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167</w:t>
            </w:r>
          </w:p>
        </w:tc>
      </w:tr>
      <w:tr w:rsidR="00553639" w:rsidRPr="003E5F82" w:rsidTr="007C249A">
        <w:trPr>
          <w:trHeight w:val="255"/>
        </w:trPr>
        <w:tc>
          <w:tcPr>
            <w:tcW w:w="2780" w:type="dxa"/>
            <w:tcBorders>
              <w:top w:val="nil"/>
              <w:left w:val="nil"/>
              <w:bottom w:val="single" w:sz="4" w:space="0" w:color="auto"/>
              <w:right w:val="nil"/>
            </w:tcBorders>
            <w:noWrap/>
            <w:vAlign w:val="bottom"/>
          </w:tcPr>
          <w:p w:rsidR="00553639" w:rsidRPr="003E5F82" w:rsidRDefault="00553639" w:rsidP="003E5F82">
            <w:pPr>
              <w:spacing w:after="0" w:line="240" w:lineRule="auto"/>
              <w:rPr>
                <w:rFonts w:ascii="Times New Roman" w:hAnsi="Times New Roman"/>
                <w:b/>
                <w:sz w:val="20"/>
                <w:szCs w:val="20"/>
              </w:rPr>
            </w:pPr>
            <w:r w:rsidRPr="003E5F82">
              <w:rPr>
                <w:rFonts w:ascii="Times New Roman" w:hAnsi="Times New Roman"/>
                <w:b/>
                <w:sz w:val="20"/>
                <w:szCs w:val="20"/>
              </w:rPr>
              <w:t>Teste Sargan</w:t>
            </w:r>
          </w:p>
        </w:tc>
        <w:tc>
          <w:tcPr>
            <w:tcW w:w="960"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p>
        </w:tc>
        <w:tc>
          <w:tcPr>
            <w:tcW w:w="1000"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277</w:t>
            </w:r>
          </w:p>
        </w:tc>
        <w:tc>
          <w:tcPr>
            <w:tcW w:w="1066"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755</w:t>
            </w:r>
          </w:p>
        </w:tc>
        <w:tc>
          <w:tcPr>
            <w:tcW w:w="854"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851</w:t>
            </w:r>
          </w:p>
        </w:tc>
        <w:tc>
          <w:tcPr>
            <w:tcW w:w="1146"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151</w:t>
            </w:r>
          </w:p>
        </w:tc>
        <w:tc>
          <w:tcPr>
            <w:tcW w:w="1066"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851</w:t>
            </w:r>
          </w:p>
        </w:tc>
        <w:tc>
          <w:tcPr>
            <w:tcW w:w="1000" w:type="dxa"/>
            <w:tcBorders>
              <w:top w:val="nil"/>
              <w:left w:val="nil"/>
              <w:bottom w:val="single" w:sz="4" w:space="0" w:color="auto"/>
              <w:right w:val="nil"/>
            </w:tcBorders>
            <w:noWrap/>
            <w:vAlign w:val="bottom"/>
          </w:tcPr>
          <w:p w:rsidR="00553639" w:rsidRPr="003E5F82" w:rsidRDefault="00553639" w:rsidP="003E5F82">
            <w:pPr>
              <w:spacing w:after="0" w:line="240" w:lineRule="auto"/>
              <w:jc w:val="center"/>
              <w:rPr>
                <w:rFonts w:ascii="Times New Roman" w:hAnsi="Times New Roman"/>
                <w:sz w:val="20"/>
                <w:szCs w:val="20"/>
              </w:rPr>
            </w:pPr>
            <w:r w:rsidRPr="003E5F82">
              <w:rPr>
                <w:rFonts w:ascii="Times New Roman" w:hAnsi="Times New Roman"/>
                <w:sz w:val="20"/>
                <w:szCs w:val="20"/>
              </w:rPr>
              <w:t>0</w:t>
            </w:r>
            <w:r>
              <w:rPr>
                <w:rFonts w:ascii="Times New Roman" w:hAnsi="Times New Roman"/>
                <w:sz w:val="20"/>
                <w:szCs w:val="20"/>
              </w:rPr>
              <w:t>,</w:t>
            </w:r>
            <w:r w:rsidRPr="003E5F82">
              <w:rPr>
                <w:rFonts w:ascii="Times New Roman" w:hAnsi="Times New Roman"/>
                <w:sz w:val="20"/>
                <w:szCs w:val="20"/>
              </w:rPr>
              <w:t>752</w:t>
            </w:r>
          </w:p>
        </w:tc>
      </w:tr>
    </w:tbl>
    <w:p w:rsidR="00553639" w:rsidRDefault="00553639" w:rsidP="003E5F82">
      <w:pPr>
        <w:spacing w:after="0" w:line="240" w:lineRule="auto"/>
        <w:jc w:val="both"/>
        <w:rPr>
          <w:rFonts w:ascii="Times New Roman" w:hAnsi="Times New Roman"/>
          <w:sz w:val="24"/>
          <w:szCs w:val="24"/>
          <w:lang w:val="pt-BR"/>
        </w:rPr>
      </w:pPr>
    </w:p>
    <w:p w:rsidR="00553639" w:rsidRPr="003E5F82" w:rsidRDefault="00553639" w:rsidP="003E5F82">
      <w:pPr>
        <w:spacing w:after="0" w:line="240" w:lineRule="auto"/>
        <w:jc w:val="both"/>
        <w:rPr>
          <w:rFonts w:ascii="Times New Roman" w:hAnsi="Times New Roman"/>
          <w:sz w:val="20"/>
          <w:szCs w:val="20"/>
          <w:lang w:val="pt-BR"/>
        </w:rPr>
      </w:pPr>
      <w:r w:rsidRPr="003E5F82">
        <w:rPr>
          <w:rFonts w:ascii="Times New Roman" w:hAnsi="Times New Roman"/>
          <w:sz w:val="20"/>
          <w:szCs w:val="20"/>
          <w:lang w:val="pt-BR"/>
        </w:rPr>
        <w:t>Erros padrões em parênteses. *** p&lt;0.01, ** p&lt;0.05, * p&lt;0.1</w:t>
      </w:r>
    </w:p>
    <w:p w:rsidR="00553639" w:rsidRDefault="00553639" w:rsidP="005F36AF">
      <w:pPr>
        <w:spacing w:after="0" w:line="240" w:lineRule="auto"/>
        <w:ind w:firstLine="720"/>
        <w:jc w:val="both"/>
        <w:rPr>
          <w:rFonts w:ascii="Times New Roman" w:hAnsi="Times New Roman"/>
          <w:sz w:val="24"/>
          <w:szCs w:val="24"/>
          <w:lang w:val="pt-BR"/>
        </w:rPr>
      </w:pPr>
    </w:p>
    <w:p w:rsidR="00553639" w:rsidRDefault="00553639" w:rsidP="00822B89">
      <w:pPr>
        <w:spacing w:after="0" w:line="240" w:lineRule="auto"/>
        <w:jc w:val="both"/>
        <w:rPr>
          <w:rFonts w:ascii="Times New Roman" w:hAnsi="Times New Roman"/>
          <w:b/>
          <w:sz w:val="24"/>
          <w:szCs w:val="24"/>
          <w:lang w:val="pt-BR"/>
        </w:rPr>
      </w:pPr>
    </w:p>
    <w:p w:rsidR="00553639" w:rsidRDefault="00553639" w:rsidP="009F599C">
      <w:pPr>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As variáveis que interessam, depois de comentadas as variáveis de controle, são aquelas usadas para testar a hipótese deste trabalho, quais sejam, as que testam a correlação entre pauta exportadora e comportamento de desalinhamento cambial. A especificação (V) mostra grande magnitude e significância estatística para a variável “Commodities/Exportações”, indicando correlação inequívoca entre países que concentram suas exportações em produtos primários com episódios de sobrevalorização cambial. Por outro lado, usando a mesma metodologia de construção de variável, mas para o setor de manufaturados, encontramos uma relação positiva significante, mas de magnitude muito próxima de zero, comportamento bastante diverso do encontrado para a variável “Commodities/Exportações”. Esses resultados nos levam a concluir que, se a pauta exportadora de um país tem importância para explicar o desalinhamento sobre-apreciador do câmbio, enquanto o mesmo não ocorre com países em que a pauta de exportações se concentra em produtos manufaturados. </w:t>
      </w:r>
    </w:p>
    <w:p w:rsidR="00553639" w:rsidRDefault="00553639" w:rsidP="00CB528E">
      <w:pPr>
        <w:spacing w:after="0" w:line="240" w:lineRule="auto"/>
        <w:jc w:val="both"/>
        <w:rPr>
          <w:rFonts w:ascii="Times New Roman" w:hAnsi="Times New Roman"/>
          <w:b/>
          <w:sz w:val="24"/>
          <w:szCs w:val="24"/>
          <w:lang w:val="pt-BR"/>
        </w:rPr>
      </w:pPr>
    </w:p>
    <w:p w:rsidR="00553639" w:rsidRDefault="00553639" w:rsidP="00CB528E">
      <w:pPr>
        <w:spacing w:after="0" w:line="240" w:lineRule="auto"/>
        <w:jc w:val="both"/>
        <w:rPr>
          <w:rFonts w:ascii="Times New Roman" w:hAnsi="Times New Roman"/>
          <w:b/>
          <w:sz w:val="24"/>
          <w:szCs w:val="24"/>
          <w:lang w:val="pt-BR"/>
        </w:rPr>
      </w:pPr>
    </w:p>
    <w:p w:rsidR="00553639" w:rsidRDefault="00553639" w:rsidP="00CB528E">
      <w:pPr>
        <w:spacing w:after="0" w:line="240" w:lineRule="auto"/>
        <w:jc w:val="both"/>
        <w:rPr>
          <w:rFonts w:ascii="Times New Roman" w:hAnsi="Times New Roman"/>
          <w:b/>
          <w:sz w:val="24"/>
          <w:szCs w:val="24"/>
          <w:lang w:val="pt-BR"/>
        </w:rPr>
      </w:pPr>
    </w:p>
    <w:p w:rsidR="00553639" w:rsidRDefault="00553639" w:rsidP="00CB528E">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6. </w:t>
      </w:r>
      <w:r w:rsidRPr="00CB528E">
        <w:rPr>
          <w:rFonts w:ascii="Times New Roman" w:hAnsi="Times New Roman"/>
          <w:b/>
          <w:sz w:val="24"/>
          <w:szCs w:val="24"/>
          <w:lang w:val="pt-BR"/>
        </w:rPr>
        <w:t>Comentários Conclusivos</w:t>
      </w:r>
    </w:p>
    <w:p w:rsidR="00553639" w:rsidRDefault="00553639" w:rsidP="00526E94">
      <w:pPr>
        <w:spacing w:after="0" w:line="240" w:lineRule="auto"/>
        <w:ind w:firstLine="720"/>
        <w:jc w:val="both"/>
        <w:rPr>
          <w:rFonts w:ascii="Times New Roman" w:hAnsi="Times New Roman"/>
          <w:b/>
          <w:sz w:val="24"/>
          <w:szCs w:val="24"/>
          <w:lang w:val="pt-BR"/>
        </w:rPr>
      </w:pPr>
    </w:p>
    <w:p w:rsidR="00553639" w:rsidRDefault="00553639" w:rsidP="00526E94">
      <w:pPr>
        <w:spacing w:after="0" w:line="240" w:lineRule="auto"/>
        <w:ind w:firstLine="720"/>
        <w:jc w:val="both"/>
        <w:rPr>
          <w:rFonts w:ascii="Times New Roman" w:hAnsi="Times New Roman"/>
          <w:sz w:val="24"/>
          <w:szCs w:val="24"/>
          <w:lang w:val="pt-BR"/>
        </w:rPr>
      </w:pPr>
      <w:r w:rsidRPr="00526E94">
        <w:rPr>
          <w:rFonts w:ascii="Times New Roman" w:hAnsi="Times New Roman"/>
          <w:sz w:val="24"/>
          <w:szCs w:val="24"/>
          <w:lang w:val="pt-BR"/>
        </w:rPr>
        <w:t>Esse trabalho buscou estabelecer a discussão do seguinte problema:</w:t>
      </w:r>
      <w:r w:rsidRPr="00A0590F">
        <w:rPr>
          <w:rFonts w:ascii="Times New Roman" w:hAnsi="Times New Roman"/>
          <w:sz w:val="24"/>
          <w:szCs w:val="24"/>
          <w:lang w:val="pt-BR"/>
        </w:rPr>
        <w:t xml:space="preserve"> há relação entre concentração de exportações de </w:t>
      </w:r>
      <w:r w:rsidRPr="00A0590F">
        <w:rPr>
          <w:rFonts w:ascii="Times New Roman" w:hAnsi="Times New Roman"/>
          <w:i/>
          <w:sz w:val="24"/>
          <w:szCs w:val="24"/>
          <w:lang w:val="pt-BR"/>
        </w:rPr>
        <w:t xml:space="preserve">commodities </w:t>
      </w:r>
      <w:r w:rsidRPr="00A0590F">
        <w:rPr>
          <w:rFonts w:ascii="Times New Roman" w:hAnsi="Times New Roman"/>
          <w:sz w:val="24"/>
          <w:szCs w:val="24"/>
          <w:lang w:val="pt-BR"/>
        </w:rPr>
        <w:t xml:space="preserve">e apreciação da taxa de câmbio real? </w:t>
      </w:r>
      <w:r w:rsidRPr="00526E94">
        <w:rPr>
          <w:rFonts w:ascii="Times New Roman" w:hAnsi="Times New Roman"/>
          <w:sz w:val="24"/>
          <w:szCs w:val="24"/>
          <w:lang w:val="pt-BR"/>
        </w:rPr>
        <w:t xml:space="preserve">Para isso nesse trabalho foi construído, a partir de um painel cointegrado para 102 países, um índice de desalinhamento da TCR, com o intuito de relacioná-lo ao tipo de pauta de exportação dos países, num segundo exercício empírico. </w:t>
      </w:r>
      <w:r>
        <w:rPr>
          <w:rFonts w:ascii="Times New Roman" w:hAnsi="Times New Roman"/>
          <w:sz w:val="24"/>
          <w:szCs w:val="24"/>
          <w:lang w:val="pt-BR"/>
        </w:rPr>
        <w:t>Os resultados mostraram que há grande magnitude e significância estatística para a variável “Commodities/Exportações”, indicando correlação inequívoca entre países que concentram suas exportações em produtos primários com episódios de sobrevalorização cambial. Por outro lado, usando a mesma metodologia de construção de variável, mas para o setor de manufaturados, encontramos uma relação positiva significante, mas de magnitude muito próxima de zero – comportamento bastante diverso do encontrado para a variável “Commodities/Exportações”. Esses resultados são condizentes com o que apregoam os modelos de doença holandesa e nos levam a concluir que, se a pauta exportadora de um país tem importância para explicar o desalinhamento sobre-apreciador do câmbio, são os países produtores e exportadores de bens primários que devem se preocupar com a dinâmica de apreciação do câmbio real que pode derivar de tal característica de suas economias.</w:t>
      </w:r>
    </w:p>
    <w:p w:rsidR="00553639" w:rsidRDefault="00553639" w:rsidP="00526E94">
      <w:pPr>
        <w:spacing w:after="0" w:line="240" w:lineRule="auto"/>
        <w:ind w:firstLine="720"/>
        <w:jc w:val="both"/>
        <w:rPr>
          <w:rFonts w:ascii="Times New Roman" w:hAnsi="Times New Roman"/>
          <w:sz w:val="24"/>
          <w:szCs w:val="24"/>
          <w:lang w:val="pt-BR"/>
        </w:rPr>
      </w:pPr>
    </w:p>
    <w:p w:rsidR="00553639" w:rsidRDefault="00553639" w:rsidP="00526E94">
      <w:pPr>
        <w:spacing w:after="0" w:line="240" w:lineRule="auto"/>
        <w:jc w:val="both"/>
        <w:rPr>
          <w:rFonts w:ascii="Times New Roman" w:hAnsi="Times New Roman"/>
          <w:b/>
          <w:sz w:val="24"/>
          <w:szCs w:val="24"/>
          <w:lang w:val="pt-BR"/>
        </w:rPr>
      </w:pPr>
    </w:p>
    <w:p w:rsidR="00553639" w:rsidRPr="008C0517" w:rsidRDefault="00553639" w:rsidP="00526E94">
      <w:pPr>
        <w:spacing w:after="0" w:line="240" w:lineRule="auto"/>
        <w:jc w:val="both"/>
        <w:rPr>
          <w:rFonts w:ascii="Times New Roman" w:hAnsi="Times New Roman"/>
          <w:b/>
          <w:sz w:val="24"/>
          <w:szCs w:val="24"/>
          <w:lang w:val="pt-BR"/>
        </w:rPr>
      </w:pPr>
      <w:r>
        <w:rPr>
          <w:rFonts w:ascii="Times New Roman" w:hAnsi="Times New Roman"/>
          <w:b/>
          <w:sz w:val="24"/>
          <w:szCs w:val="24"/>
          <w:lang w:val="pt-BR"/>
        </w:rPr>
        <w:t>R</w:t>
      </w:r>
      <w:r w:rsidRPr="008C0517">
        <w:rPr>
          <w:rFonts w:ascii="Times New Roman" w:hAnsi="Times New Roman"/>
          <w:b/>
          <w:sz w:val="24"/>
          <w:szCs w:val="24"/>
          <w:lang w:val="pt-BR"/>
        </w:rPr>
        <w:t>eferências Bibliográficas</w:t>
      </w:r>
    </w:p>
    <w:p w:rsidR="00553639" w:rsidRDefault="00553639" w:rsidP="00526E94">
      <w:pPr>
        <w:pStyle w:val="Title"/>
        <w:ind w:left="540" w:hanging="540"/>
        <w:jc w:val="both"/>
        <w:rPr>
          <w:b w:val="0"/>
          <w:sz w:val="24"/>
        </w:rPr>
      </w:pPr>
    </w:p>
    <w:p w:rsidR="00553639" w:rsidRPr="00335E3A" w:rsidRDefault="00553639" w:rsidP="00526E94">
      <w:pPr>
        <w:pStyle w:val="Title"/>
        <w:ind w:left="540" w:hanging="540"/>
        <w:jc w:val="both"/>
        <w:rPr>
          <w:b w:val="0"/>
          <w:noProof/>
          <w:sz w:val="24"/>
          <w:lang w:val="en-US"/>
        </w:rPr>
      </w:pPr>
      <w:r w:rsidRPr="007C249A">
        <w:rPr>
          <w:b w:val="0"/>
          <w:sz w:val="24"/>
        </w:rPr>
        <w:t xml:space="preserve">ARELLANO, M; BOND, B. </w:t>
      </w:r>
      <w:r w:rsidRPr="007C249A">
        <w:rPr>
          <w:b w:val="0"/>
          <w:noProof/>
          <w:sz w:val="24"/>
        </w:rPr>
        <w:t xml:space="preserve">(1991). </w:t>
      </w:r>
      <w:r w:rsidRPr="00335E3A">
        <w:rPr>
          <w:b w:val="0"/>
          <w:noProof/>
          <w:sz w:val="24"/>
          <w:lang w:val="en-US"/>
        </w:rPr>
        <w:t xml:space="preserve">Some Test Specification for Panel Data: Monte Carlo Evidence and an application to employment equations. </w:t>
      </w:r>
      <w:r w:rsidRPr="00335E3A">
        <w:rPr>
          <w:b w:val="0"/>
          <w:i/>
          <w:iCs/>
          <w:noProof/>
          <w:sz w:val="24"/>
          <w:lang w:val="en-US"/>
        </w:rPr>
        <w:t>Review of Economic Studies</w:t>
      </w:r>
      <w:r w:rsidRPr="00335E3A">
        <w:rPr>
          <w:b w:val="0"/>
          <w:noProof/>
          <w:sz w:val="24"/>
          <w:lang w:val="en-US"/>
        </w:rPr>
        <w:t>.</w:t>
      </w:r>
    </w:p>
    <w:p w:rsidR="00553639" w:rsidRDefault="00553639" w:rsidP="00526E94">
      <w:pPr>
        <w:pStyle w:val="Title"/>
        <w:ind w:left="540" w:hanging="540"/>
        <w:jc w:val="both"/>
        <w:rPr>
          <w:b w:val="0"/>
          <w:bCs w:val="0"/>
          <w:sz w:val="24"/>
          <w:lang w:val="en-US"/>
        </w:rPr>
      </w:pPr>
    </w:p>
    <w:p w:rsidR="00553639" w:rsidRPr="00453C9F" w:rsidRDefault="00553639" w:rsidP="00526E94">
      <w:pPr>
        <w:pStyle w:val="Title"/>
        <w:ind w:left="540" w:hanging="540"/>
        <w:jc w:val="both"/>
        <w:rPr>
          <w:b w:val="0"/>
          <w:bCs w:val="0"/>
          <w:sz w:val="24"/>
          <w:lang w:val="en-US"/>
        </w:rPr>
      </w:pPr>
      <w:r w:rsidRPr="005035FA">
        <w:rPr>
          <w:b w:val="0"/>
          <w:bCs w:val="0"/>
          <w:sz w:val="24"/>
          <w:lang w:val="en-US"/>
        </w:rPr>
        <w:t>A</w:t>
      </w:r>
      <w:r w:rsidRPr="00453C9F">
        <w:rPr>
          <w:b w:val="0"/>
          <w:bCs w:val="0"/>
          <w:sz w:val="24"/>
          <w:lang w:val="en-US"/>
        </w:rPr>
        <w:t xml:space="preserve">RELLANO, M. BOVER, O. (1995), Another look at the instrumental-variableestimation of error-components models, </w:t>
      </w:r>
      <w:r w:rsidRPr="00453C9F">
        <w:rPr>
          <w:b w:val="0"/>
          <w:bCs w:val="0"/>
          <w:i/>
          <w:sz w:val="24"/>
          <w:lang w:val="en-US"/>
        </w:rPr>
        <w:t>Journal of Econometrics</w:t>
      </w:r>
      <w:r w:rsidRPr="00453C9F">
        <w:rPr>
          <w:b w:val="0"/>
          <w:bCs w:val="0"/>
          <w:sz w:val="24"/>
          <w:lang w:val="en-US"/>
        </w:rPr>
        <w:t>, 68.</w:t>
      </w:r>
    </w:p>
    <w:p w:rsidR="00553639" w:rsidRPr="00453C9F" w:rsidRDefault="00553639" w:rsidP="00526E94">
      <w:pPr>
        <w:pStyle w:val="Title"/>
        <w:ind w:left="540" w:hanging="540"/>
        <w:jc w:val="both"/>
        <w:rPr>
          <w:b w:val="0"/>
          <w:bCs w:val="0"/>
          <w:sz w:val="24"/>
          <w:lang w:val="en-US"/>
        </w:rPr>
      </w:pPr>
    </w:p>
    <w:p w:rsidR="00553639" w:rsidRPr="00453C9F" w:rsidRDefault="00553639" w:rsidP="00526E94">
      <w:pPr>
        <w:pStyle w:val="Title"/>
        <w:ind w:left="540" w:hanging="540"/>
        <w:jc w:val="both"/>
        <w:rPr>
          <w:b w:val="0"/>
          <w:bCs w:val="0"/>
          <w:sz w:val="24"/>
          <w:lang w:val="en-US"/>
        </w:rPr>
      </w:pPr>
      <w:r w:rsidRPr="00453C9F">
        <w:rPr>
          <w:b w:val="0"/>
          <w:bCs w:val="0"/>
          <w:sz w:val="24"/>
          <w:lang w:val="en-US"/>
        </w:rPr>
        <w:t>BALTAGI, B. (2005) Econometric Analisys of Panel Data. John Wiley &amp; Sons.</w:t>
      </w:r>
    </w:p>
    <w:p w:rsidR="00553639" w:rsidRPr="00453C9F" w:rsidRDefault="00553639" w:rsidP="00526E94">
      <w:pPr>
        <w:pStyle w:val="Title"/>
        <w:ind w:left="540" w:hanging="540"/>
        <w:jc w:val="both"/>
        <w:rPr>
          <w:b w:val="0"/>
          <w:bCs w:val="0"/>
          <w:sz w:val="24"/>
          <w:lang w:val="en-US"/>
        </w:rPr>
      </w:pPr>
    </w:p>
    <w:p w:rsidR="00553639" w:rsidRPr="00453C9F" w:rsidRDefault="00553639" w:rsidP="00526E94">
      <w:pPr>
        <w:spacing w:line="240" w:lineRule="auto"/>
        <w:ind w:left="540" w:hanging="540"/>
        <w:jc w:val="both"/>
        <w:rPr>
          <w:rFonts w:ascii="Times New Roman" w:hAnsi="Times New Roman"/>
          <w:b/>
          <w:bCs/>
          <w:sz w:val="24"/>
          <w:szCs w:val="24"/>
        </w:rPr>
      </w:pPr>
      <w:r w:rsidRPr="00453C9F">
        <w:rPr>
          <w:rFonts w:ascii="Times New Roman" w:hAnsi="Times New Roman"/>
          <w:sz w:val="24"/>
          <w:szCs w:val="24"/>
        </w:rPr>
        <w:t xml:space="preserve">BLUNDEL, R; BOND (2000) A.Estimation in Dynamic Panel Data Models: Improving on the Performance of The Standard GMM Estimators. </w:t>
      </w:r>
      <w:r w:rsidRPr="00453C9F">
        <w:rPr>
          <w:rFonts w:ascii="Times New Roman" w:hAnsi="Times New Roman"/>
          <w:i/>
          <w:sz w:val="24"/>
          <w:szCs w:val="24"/>
        </w:rPr>
        <w:t>The Institute for Fiscal Studies</w:t>
      </w:r>
      <w:r w:rsidRPr="00453C9F">
        <w:rPr>
          <w:rFonts w:ascii="Times New Roman" w:hAnsi="Times New Roman"/>
          <w:sz w:val="24"/>
          <w:szCs w:val="24"/>
        </w:rPr>
        <w:t xml:space="preserve">. </w:t>
      </w:r>
    </w:p>
    <w:p w:rsidR="00553639" w:rsidRPr="00453C9F" w:rsidRDefault="00553639" w:rsidP="00526E94">
      <w:pPr>
        <w:widowControl w:val="0"/>
        <w:autoSpaceDE w:val="0"/>
        <w:autoSpaceDN w:val="0"/>
        <w:adjustRightInd w:val="0"/>
        <w:spacing w:before="100" w:beforeAutospacing="1" w:after="100" w:afterAutospacing="1" w:line="240" w:lineRule="auto"/>
        <w:ind w:left="624" w:hanging="624"/>
        <w:jc w:val="both"/>
        <w:rPr>
          <w:rFonts w:ascii="Times New Roman" w:hAnsi="Times New Roman"/>
          <w:sz w:val="24"/>
          <w:szCs w:val="24"/>
        </w:rPr>
      </w:pPr>
      <w:r w:rsidRPr="00453C9F">
        <w:rPr>
          <w:rFonts w:ascii="Times New Roman" w:hAnsi="Times New Roman"/>
          <w:sz w:val="24"/>
          <w:szCs w:val="24"/>
        </w:rPr>
        <w:t>BHADURI, A., and MARGLIN, S., A.</w:t>
      </w:r>
      <w:r w:rsidRPr="00453C9F">
        <w:rPr>
          <w:rFonts w:ascii="Times New Roman" w:hAnsi="Times New Roman"/>
          <w:caps/>
          <w:sz w:val="24"/>
          <w:szCs w:val="24"/>
        </w:rPr>
        <w:t xml:space="preserve"> (1990), </w:t>
      </w:r>
      <w:r w:rsidRPr="00453C9F">
        <w:rPr>
          <w:rFonts w:ascii="Times New Roman" w:hAnsi="Times New Roman"/>
          <w:sz w:val="24"/>
          <w:szCs w:val="24"/>
        </w:rPr>
        <w:t xml:space="preserve">‘Unemployment and the real wages: the economic basis for contesting political ideologies’, </w:t>
      </w:r>
      <w:r w:rsidRPr="00453C9F">
        <w:rPr>
          <w:rFonts w:ascii="Times New Roman" w:hAnsi="Times New Roman"/>
          <w:i/>
          <w:sz w:val="24"/>
          <w:szCs w:val="24"/>
        </w:rPr>
        <w:t>Cambridge Journal of Economics,</w:t>
      </w:r>
      <w:r w:rsidRPr="00453C9F">
        <w:rPr>
          <w:rFonts w:ascii="Times New Roman" w:hAnsi="Times New Roman"/>
          <w:sz w:val="24"/>
          <w:szCs w:val="24"/>
        </w:rPr>
        <w:t xml:space="preserve"> 14, December.</w:t>
      </w:r>
    </w:p>
    <w:p w:rsidR="00553639" w:rsidRPr="00453C9F" w:rsidRDefault="00553639" w:rsidP="00526E94">
      <w:pPr>
        <w:spacing w:line="240" w:lineRule="auto"/>
        <w:ind w:left="709" w:hanging="709"/>
        <w:jc w:val="both"/>
        <w:rPr>
          <w:rFonts w:ascii="Times New Roman" w:hAnsi="Times New Roman"/>
          <w:sz w:val="24"/>
          <w:szCs w:val="24"/>
          <w:lang w:val="pt-BR"/>
        </w:rPr>
      </w:pPr>
      <w:r w:rsidRPr="00453C9F">
        <w:rPr>
          <w:rFonts w:ascii="Times New Roman" w:hAnsi="Times New Roman"/>
          <w:sz w:val="24"/>
          <w:szCs w:val="24"/>
        </w:rPr>
        <w:t xml:space="preserve">BRESSER-PEREIRA, L.,C. (2006) “Exchange rate, fix, float or manage it?” Preface to Mathias Vernengo, (ed.) </w:t>
      </w:r>
      <w:r w:rsidRPr="00453C9F">
        <w:rPr>
          <w:rFonts w:ascii="Times New Roman" w:hAnsi="Times New Roman"/>
          <w:i/>
          <w:iCs/>
          <w:sz w:val="24"/>
          <w:szCs w:val="24"/>
        </w:rPr>
        <w:t>Financial Integration or Dollarization: No Panacea</w:t>
      </w:r>
      <w:r w:rsidRPr="00453C9F">
        <w:rPr>
          <w:rFonts w:ascii="Times New Roman" w:hAnsi="Times New Roman"/>
          <w:sz w:val="24"/>
          <w:szCs w:val="24"/>
        </w:rPr>
        <w:t xml:space="preserve">. </w:t>
      </w:r>
      <w:r w:rsidRPr="00453C9F">
        <w:rPr>
          <w:rFonts w:ascii="Times New Roman" w:hAnsi="Times New Roman"/>
          <w:sz w:val="24"/>
          <w:szCs w:val="24"/>
          <w:lang w:val="pt-BR"/>
        </w:rPr>
        <w:t>Cheltenham: Edward Elgar.</w:t>
      </w:r>
    </w:p>
    <w:p w:rsidR="00553639" w:rsidRPr="00453C9F" w:rsidRDefault="00553639" w:rsidP="00526E94">
      <w:pPr>
        <w:widowControl w:val="0"/>
        <w:autoSpaceDE w:val="0"/>
        <w:autoSpaceDN w:val="0"/>
        <w:adjustRightInd w:val="0"/>
        <w:spacing w:before="100" w:beforeAutospacing="1" w:after="100" w:afterAutospacing="1" w:line="240" w:lineRule="auto"/>
        <w:ind w:left="624" w:hanging="624"/>
        <w:jc w:val="both"/>
        <w:rPr>
          <w:rFonts w:ascii="Times New Roman" w:hAnsi="Times New Roman"/>
          <w:sz w:val="24"/>
          <w:szCs w:val="24"/>
          <w:lang w:val="pt-BR"/>
        </w:rPr>
      </w:pPr>
      <w:r w:rsidRPr="00453C9F">
        <w:rPr>
          <w:rFonts w:ascii="Times New Roman" w:hAnsi="Times New Roman"/>
          <w:sz w:val="24"/>
          <w:szCs w:val="24"/>
          <w:lang w:val="pt-BR"/>
        </w:rPr>
        <w:t xml:space="preserve">BRESSER-PEREIRA, L.,C. e NAKANO (2003) “Crescimento com poupança externa?” </w:t>
      </w:r>
      <w:r w:rsidRPr="00453C9F">
        <w:rPr>
          <w:rFonts w:ascii="Times New Roman" w:hAnsi="Times New Roman"/>
          <w:i/>
          <w:sz w:val="24"/>
          <w:szCs w:val="24"/>
          <w:lang w:val="pt-BR"/>
        </w:rPr>
        <w:t>in Revista de Economia  Política</w:t>
      </w:r>
      <w:r w:rsidRPr="00453C9F">
        <w:rPr>
          <w:rFonts w:ascii="Times New Roman" w:hAnsi="Times New Roman"/>
          <w:sz w:val="24"/>
          <w:szCs w:val="24"/>
          <w:lang w:val="pt-BR"/>
        </w:rPr>
        <w:t>, vol. 23, n.2, Abril-Junho, São Paulo.</w:t>
      </w:r>
    </w:p>
    <w:p w:rsidR="00553639" w:rsidRPr="00453C9F" w:rsidRDefault="00553639" w:rsidP="00526E94">
      <w:pPr>
        <w:widowControl w:val="0"/>
        <w:autoSpaceDE w:val="0"/>
        <w:autoSpaceDN w:val="0"/>
        <w:adjustRightInd w:val="0"/>
        <w:spacing w:before="100" w:beforeAutospacing="1" w:after="100" w:afterAutospacing="1" w:line="240" w:lineRule="auto"/>
        <w:ind w:left="624" w:hanging="624"/>
        <w:jc w:val="both"/>
        <w:rPr>
          <w:rFonts w:ascii="Times New Roman" w:hAnsi="Times New Roman"/>
          <w:sz w:val="24"/>
          <w:szCs w:val="24"/>
        </w:rPr>
      </w:pPr>
      <w:r w:rsidRPr="00453C9F">
        <w:rPr>
          <w:rFonts w:ascii="Times New Roman" w:hAnsi="Times New Roman"/>
          <w:sz w:val="24"/>
          <w:szCs w:val="24"/>
        </w:rPr>
        <w:t xml:space="preserve">EICHENGREEN, B. (2008) “The Real Exchange Rate and Economic Growth”, UC Berkeley, </w:t>
      </w:r>
      <w:r w:rsidRPr="00453C9F">
        <w:rPr>
          <w:rFonts w:ascii="Times New Roman" w:hAnsi="Times New Roman"/>
          <w:i/>
          <w:sz w:val="24"/>
          <w:szCs w:val="24"/>
        </w:rPr>
        <w:t>mimeo</w:t>
      </w:r>
      <w:r w:rsidRPr="00453C9F">
        <w:rPr>
          <w:rFonts w:ascii="Times New Roman" w:hAnsi="Times New Roman"/>
          <w:sz w:val="24"/>
          <w:szCs w:val="24"/>
        </w:rPr>
        <w:t>.</w:t>
      </w:r>
    </w:p>
    <w:p w:rsidR="00553639" w:rsidRPr="00453C9F" w:rsidRDefault="00553639" w:rsidP="00526E94">
      <w:pPr>
        <w:widowControl w:val="0"/>
        <w:autoSpaceDE w:val="0"/>
        <w:autoSpaceDN w:val="0"/>
        <w:adjustRightInd w:val="0"/>
        <w:spacing w:before="100" w:beforeAutospacing="1" w:after="100" w:afterAutospacing="1" w:line="240" w:lineRule="auto"/>
        <w:ind w:left="624" w:hanging="624"/>
        <w:jc w:val="both"/>
        <w:rPr>
          <w:rFonts w:ascii="Times New Roman" w:hAnsi="Times New Roman"/>
          <w:b/>
          <w:sz w:val="24"/>
          <w:szCs w:val="24"/>
        </w:rPr>
      </w:pPr>
      <w:r w:rsidRPr="00453C9F">
        <w:rPr>
          <w:rFonts w:ascii="Times New Roman" w:hAnsi="Times New Roman"/>
          <w:caps/>
          <w:sz w:val="24"/>
          <w:szCs w:val="24"/>
        </w:rPr>
        <w:t xml:space="preserve">edwards, s., (1995), </w:t>
      </w:r>
      <w:r w:rsidRPr="00453C9F">
        <w:rPr>
          <w:rFonts w:ascii="Times New Roman" w:hAnsi="Times New Roman"/>
          <w:bCs/>
          <w:color w:val="000000"/>
          <w:sz w:val="24"/>
          <w:szCs w:val="24"/>
        </w:rPr>
        <w:t>Why are Saving Rates so Different Across Countries? An International Comparative Analysis.</w:t>
      </w:r>
      <w:r w:rsidRPr="00453C9F">
        <w:rPr>
          <w:rFonts w:ascii="Times New Roman" w:hAnsi="Times New Roman"/>
          <w:b/>
          <w:bCs/>
          <w:color w:val="000000"/>
          <w:sz w:val="24"/>
          <w:szCs w:val="24"/>
        </w:rPr>
        <w:t xml:space="preserve"> </w:t>
      </w:r>
      <w:hyperlink r:id="rId25" w:history="1">
        <w:r w:rsidRPr="00453C9F">
          <w:rPr>
            <w:rStyle w:val="Hyperlink"/>
            <w:rFonts w:ascii="Times New Roman" w:hAnsi="Times New Roman"/>
            <w:i/>
            <w:iCs/>
            <w:sz w:val="24"/>
            <w:szCs w:val="24"/>
          </w:rPr>
          <w:t>NBER Working Paper</w:t>
        </w:r>
        <w:r w:rsidRPr="00453C9F">
          <w:rPr>
            <w:rStyle w:val="Hyperlink"/>
            <w:rFonts w:ascii="Times New Roman" w:hAnsi="Times New Roman"/>
            <w:b/>
            <w:iCs/>
            <w:sz w:val="24"/>
            <w:szCs w:val="24"/>
          </w:rPr>
          <w:t xml:space="preserve">, </w:t>
        </w:r>
        <w:r w:rsidRPr="00453C9F">
          <w:rPr>
            <w:rStyle w:val="Hyperlink"/>
            <w:rFonts w:ascii="Times New Roman" w:hAnsi="Times New Roman"/>
            <w:iCs/>
            <w:sz w:val="24"/>
            <w:szCs w:val="24"/>
          </w:rPr>
          <w:t>No. W5097</w:t>
        </w:r>
      </w:hyperlink>
      <w:r w:rsidRPr="00453C9F">
        <w:rPr>
          <w:rFonts w:ascii="Times New Roman" w:hAnsi="Times New Roman"/>
          <w:b/>
          <w:iCs/>
          <w:sz w:val="24"/>
          <w:szCs w:val="24"/>
        </w:rPr>
        <w:t>.</w:t>
      </w:r>
    </w:p>
    <w:p w:rsidR="00553639" w:rsidRPr="00453C9F" w:rsidRDefault="00553639" w:rsidP="00526E94">
      <w:pPr>
        <w:spacing w:before="100" w:beforeAutospacing="1" w:after="100" w:afterAutospacing="1" w:line="240" w:lineRule="auto"/>
        <w:ind w:left="624" w:hanging="624"/>
        <w:jc w:val="both"/>
        <w:rPr>
          <w:rFonts w:ascii="Times New Roman" w:hAnsi="Times New Roman"/>
          <w:bCs/>
          <w:sz w:val="24"/>
          <w:szCs w:val="24"/>
        </w:rPr>
      </w:pPr>
      <w:r w:rsidRPr="00453C9F">
        <w:rPr>
          <w:rFonts w:ascii="Times New Roman" w:hAnsi="Times New Roman"/>
          <w:bCs/>
          <w:sz w:val="24"/>
          <w:szCs w:val="24"/>
        </w:rPr>
        <w:t xml:space="preserve">FRENKEL, R., </w:t>
      </w:r>
      <w:r w:rsidRPr="00453C9F">
        <w:rPr>
          <w:rFonts w:ascii="Times New Roman" w:hAnsi="Times New Roman"/>
          <w:sz w:val="24"/>
          <w:szCs w:val="24"/>
        </w:rPr>
        <w:t>and</w:t>
      </w:r>
      <w:r w:rsidRPr="00453C9F">
        <w:rPr>
          <w:rFonts w:ascii="Times New Roman" w:hAnsi="Times New Roman"/>
          <w:bCs/>
          <w:sz w:val="24"/>
          <w:szCs w:val="24"/>
        </w:rPr>
        <w:t xml:space="preserve"> TAYLOR, L.,</w:t>
      </w:r>
      <w:r w:rsidRPr="00453C9F">
        <w:rPr>
          <w:rFonts w:ascii="Times New Roman" w:hAnsi="Times New Roman"/>
          <w:bCs/>
          <w:caps/>
          <w:sz w:val="24"/>
          <w:szCs w:val="24"/>
        </w:rPr>
        <w:t xml:space="preserve"> (2006),</w:t>
      </w:r>
      <w:r w:rsidRPr="00453C9F">
        <w:rPr>
          <w:rFonts w:ascii="Times New Roman" w:hAnsi="Times New Roman"/>
          <w:bCs/>
          <w:sz w:val="24"/>
          <w:szCs w:val="24"/>
        </w:rPr>
        <w:t xml:space="preserve"> ‘Real exchange rate, monetary policy and employment’, </w:t>
      </w:r>
      <w:r w:rsidRPr="00453C9F">
        <w:rPr>
          <w:rFonts w:ascii="Times New Roman" w:hAnsi="Times New Roman"/>
          <w:bCs/>
          <w:i/>
          <w:sz w:val="24"/>
          <w:szCs w:val="24"/>
        </w:rPr>
        <w:t>Desa Working paper n.19</w:t>
      </w:r>
      <w:r w:rsidRPr="00453C9F">
        <w:rPr>
          <w:rFonts w:ascii="Times New Roman" w:hAnsi="Times New Roman"/>
          <w:bCs/>
          <w:sz w:val="24"/>
          <w:szCs w:val="24"/>
        </w:rPr>
        <w:t>, United Nations, New York.</w:t>
      </w:r>
    </w:p>
    <w:p w:rsidR="00553639" w:rsidRPr="00453C9F" w:rsidRDefault="00553639" w:rsidP="00526E94">
      <w:pPr>
        <w:pStyle w:val="Title"/>
        <w:ind w:left="540" w:hanging="540"/>
        <w:jc w:val="both"/>
        <w:rPr>
          <w:rStyle w:val="Strong"/>
          <w:sz w:val="24"/>
          <w:lang w:val="en-US"/>
        </w:rPr>
      </w:pPr>
      <w:r w:rsidRPr="00453C9F">
        <w:rPr>
          <w:rStyle w:val="Strong"/>
          <w:sz w:val="24"/>
          <w:lang w:val="en-US"/>
        </w:rPr>
        <w:t xml:space="preserve">HESTON A, SUMMERS R e ATEN B. (2006) </w:t>
      </w:r>
      <w:r w:rsidRPr="00453C9F">
        <w:rPr>
          <w:rStyle w:val="Strong"/>
          <w:i/>
          <w:sz w:val="24"/>
          <w:lang w:val="en-US"/>
        </w:rPr>
        <w:t>Penn World Table Version 6.2,</w:t>
      </w:r>
      <w:r w:rsidRPr="00453C9F">
        <w:rPr>
          <w:rStyle w:val="Strong"/>
          <w:sz w:val="24"/>
          <w:lang w:val="en-US"/>
        </w:rPr>
        <w:t xml:space="preserve"> Center for International Comparisons of Production, Income and Prices at the University of Pennsylvania.</w:t>
      </w:r>
    </w:p>
    <w:p w:rsidR="00553639" w:rsidRDefault="00553639" w:rsidP="00526E94">
      <w:pPr>
        <w:autoSpaceDE w:val="0"/>
        <w:autoSpaceDN w:val="0"/>
        <w:adjustRightInd w:val="0"/>
        <w:spacing w:before="100" w:beforeAutospacing="1" w:after="100" w:afterAutospacing="1" w:line="240" w:lineRule="auto"/>
        <w:ind w:left="624" w:hanging="624"/>
        <w:jc w:val="both"/>
        <w:rPr>
          <w:rFonts w:ascii="Times New Roman" w:hAnsi="Times New Roman"/>
          <w:sz w:val="24"/>
          <w:szCs w:val="24"/>
        </w:rPr>
      </w:pPr>
      <w:r w:rsidRPr="00453C9F">
        <w:rPr>
          <w:rFonts w:ascii="Times New Roman" w:hAnsi="Times New Roman"/>
          <w:sz w:val="24"/>
          <w:szCs w:val="24"/>
        </w:rPr>
        <w:t xml:space="preserve">LEVY-YEYATI, E., and STURZENEGGER, F., (2007), “Fear of floating in reverse: exchange rate policies in the 2000s”, </w:t>
      </w:r>
      <w:r w:rsidRPr="00453C9F">
        <w:rPr>
          <w:rFonts w:ascii="Times New Roman" w:hAnsi="Times New Roman"/>
          <w:i/>
          <w:sz w:val="24"/>
          <w:szCs w:val="24"/>
        </w:rPr>
        <w:t>Kennedy School of Government</w:t>
      </w:r>
      <w:r w:rsidRPr="00453C9F">
        <w:rPr>
          <w:rFonts w:ascii="Times New Roman" w:hAnsi="Times New Roman"/>
          <w:sz w:val="24"/>
          <w:szCs w:val="24"/>
        </w:rPr>
        <w:t>, Havard, mimeo</w:t>
      </w:r>
    </w:p>
    <w:p w:rsidR="00553639" w:rsidRPr="00453C9F" w:rsidRDefault="00553639" w:rsidP="00755816">
      <w:pPr>
        <w:autoSpaceDE w:val="0"/>
        <w:autoSpaceDN w:val="0"/>
        <w:adjustRightInd w:val="0"/>
        <w:spacing w:after="0" w:line="240" w:lineRule="auto"/>
        <w:rPr>
          <w:rFonts w:ascii="Times New Roman" w:hAnsi="Times New Roman"/>
          <w:sz w:val="24"/>
          <w:szCs w:val="24"/>
        </w:rPr>
      </w:pPr>
      <w:r>
        <w:rPr>
          <w:rFonts w:ascii="TimesNewRomanPSMT" w:hAnsi="TimesNewRomanPSMT" w:cs="TimesNewRomanPSMT"/>
          <w:sz w:val="24"/>
          <w:szCs w:val="24"/>
        </w:rPr>
        <w:t xml:space="preserve">LANE, P. R; MILESI-FERRETTI, G. M. </w:t>
      </w:r>
      <w:r w:rsidRPr="00755816">
        <w:rPr>
          <w:rFonts w:ascii="Times New Roman" w:hAnsi="Times New Roman"/>
          <w:bCs/>
          <w:i/>
          <w:sz w:val="24"/>
          <w:szCs w:val="24"/>
        </w:rPr>
        <w:t>The Transfer Problem Revisited: Net Foreign Assets and Real Exchange Rates</w:t>
      </w:r>
      <w:r>
        <w:rPr>
          <w:rFonts w:ascii="TimesNewRomanPSMT" w:hAnsi="TimesNewRomanPSMT" w:cs="TimesNewRomanPSMT"/>
          <w:sz w:val="24"/>
          <w:szCs w:val="24"/>
        </w:rPr>
        <w:t>, IMF Working Paper, No. 00123, 2004.</w:t>
      </w:r>
    </w:p>
    <w:p w:rsidR="00553639" w:rsidRPr="00453C9F" w:rsidRDefault="00553639" w:rsidP="00526E94">
      <w:pPr>
        <w:widowControl w:val="0"/>
        <w:autoSpaceDE w:val="0"/>
        <w:autoSpaceDN w:val="0"/>
        <w:adjustRightInd w:val="0"/>
        <w:spacing w:before="100" w:beforeAutospacing="1" w:after="100" w:afterAutospacing="1" w:line="240" w:lineRule="auto"/>
        <w:ind w:left="624" w:hanging="624"/>
        <w:jc w:val="both"/>
        <w:rPr>
          <w:rFonts w:ascii="Times New Roman" w:hAnsi="Times New Roman"/>
          <w:sz w:val="24"/>
          <w:szCs w:val="24"/>
        </w:rPr>
      </w:pPr>
      <w:r w:rsidRPr="00453C9F">
        <w:rPr>
          <w:rFonts w:ascii="Times New Roman" w:hAnsi="Times New Roman"/>
          <w:sz w:val="24"/>
          <w:szCs w:val="24"/>
        </w:rPr>
        <w:t>MONTIEL, P.; SÉRVEN, L., (2008), “Real exchange rate, savings and growth: is there a link?”,</w:t>
      </w:r>
      <w:r w:rsidRPr="00453C9F">
        <w:rPr>
          <w:rFonts w:ascii="Times New Roman" w:hAnsi="Times New Roman"/>
          <w:bCs/>
          <w:sz w:val="24"/>
          <w:szCs w:val="24"/>
        </w:rPr>
        <w:t xml:space="preserve"> Policy research working paper</w:t>
      </w:r>
      <w:r w:rsidRPr="00453C9F">
        <w:rPr>
          <w:rFonts w:ascii="Times New Roman" w:hAnsi="Times New Roman"/>
          <w:bCs/>
          <w:i/>
          <w:sz w:val="24"/>
          <w:szCs w:val="24"/>
        </w:rPr>
        <w:t>, The World Bank</w:t>
      </w:r>
      <w:r w:rsidRPr="00453C9F">
        <w:rPr>
          <w:rFonts w:ascii="Times New Roman" w:hAnsi="Times New Roman"/>
          <w:bCs/>
          <w:sz w:val="24"/>
          <w:szCs w:val="24"/>
        </w:rPr>
        <w:t>, Washington</w:t>
      </w:r>
    </w:p>
    <w:p w:rsidR="00553639" w:rsidRPr="00453C9F" w:rsidRDefault="00553639" w:rsidP="00526E94">
      <w:pPr>
        <w:widowControl w:val="0"/>
        <w:autoSpaceDE w:val="0"/>
        <w:autoSpaceDN w:val="0"/>
        <w:adjustRightInd w:val="0"/>
        <w:spacing w:before="100" w:beforeAutospacing="1" w:after="100" w:afterAutospacing="1" w:line="240" w:lineRule="auto"/>
        <w:ind w:left="624" w:hanging="624"/>
        <w:jc w:val="both"/>
        <w:rPr>
          <w:rFonts w:ascii="Times New Roman" w:hAnsi="Times New Roman"/>
          <w:bCs/>
          <w:sz w:val="24"/>
          <w:szCs w:val="24"/>
        </w:rPr>
      </w:pPr>
      <w:r w:rsidRPr="00453C9F">
        <w:rPr>
          <w:rFonts w:ascii="Times New Roman" w:hAnsi="Times New Roman"/>
          <w:bCs/>
          <w:sz w:val="24"/>
          <w:szCs w:val="24"/>
        </w:rPr>
        <w:t xml:space="preserve">REINHART, C; TALVI, E. (1998). Capital Flows and Savings in Latin America and Asia: A Reinterpretation. </w:t>
      </w:r>
      <w:r w:rsidRPr="00453C9F">
        <w:rPr>
          <w:rFonts w:ascii="Times New Roman" w:hAnsi="Times New Roman"/>
          <w:bCs/>
          <w:i/>
          <w:sz w:val="24"/>
          <w:szCs w:val="24"/>
        </w:rPr>
        <w:t>Journal of Development Economics</w:t>
      </w:r>
      <w:r w:rsidRPr="00453C9F">
        <w:rPr>
          <w:rFonts w:ascii="Times New Roman" w:hAnsi="Times New Roman"/>
          <w:bCs/>
          <w:sz w:val="24"/>
          <w:szCs w:val="24"/>
        </w:rPr>
        <w:t>, 57.</w:t>
      </w:r>
    </w:p>
    <w:p w:rsidR="00553639" w:rsidRPr="00453C9F" w:rsidRDefault="00553639" w:rsidP="00526E94">
      <w:pPr>
        <w:widowControl w:val="0"/>
        <w:autoSpaceDE w:val="0"/>
        <w:autoSpaceDN w:val="0"/>
        <w:adjustRightInd w:val="0"/>
        <w:spacing w:before="100" w:beforeAutospacing="1" w:after="100" w:afterAutospacing="1" w:line="240" w:lineRule="auto"/>
        <w:ind w:left="624" w:hanging="624"/>
        <w:jc w:val="both"/>
        <w:rPr>
          <w:rFonts w:ascii="Times New Roman" w:hAnsi="Times New Roman"/>
          <w:sz w:val="24"/>
          <w:szCs w:val="24"/>
        </w:rPr>
      </w:pPr>
      <w:r w:rsidRPr="00453C9F">
        <w:rPr>
          <w:rFonts w:ascii="Times New Roman" w:hAnsi="Times New Roman"/>
          <w:caps/>
          <w:sz w:val="24"/>
          <w:szCs w:val="24"/>
        </w:rPr>
        <w:t>Rodrik, D., (2008)</w:t>
      </w:r>
      <w:r w:rsidRPr="00453C9F">
        <w:rPr>
          <w:rFonts w:ascii="Times New Roman" w:hAnsi="Times New Roman"/>
          <w:smallCaps/>
          <w:sz w:val="24"/>
          <w:szCs w:val="24"/>
        </w:rPr>
        <w:t xml:space="preserve"> </w:t>
      </w:r>
      <w:r w:rsidRPr="00453C9F">
        <w:rPr>
          <w:rFonts w:ascii="Times New Roman" w:hAnsi="Times New Roman"/>
          <w:sz w:val="24"/>
          <w:szCs w:val="24"/>
        </w:rPr>
        <w:t>“Real Exchange Rate and Economic Growth: Theory and Evidence”, John F. Kennedy School of Government, Harvard University, Draft, July.</w:t>
      </w:r>
    </w:p>
    <w:p w:rsidR="00553639" w:rsidRPr="00453C9F" w:rsidRDefault="00553639" w:rsidP="00526E94">
      <w:pPr>
        <w:widowControl w:val="0"/>
        <w:autoSpaceDE w:val="0"/>
        <w:autoSpaceDN w:val="0"/>
        <w:adjustRightInd w:val="0"/>
        <w:spacing w:before="100" w:beforeAutospacing="1" w:after="100" w:afterAutospacing="1" w:line="240" w:lineRule="auto"/>
        <w:ind w:left="624" w:hanging="624"/>
        <w:jc w:val="both"/>
        <w:rPr>
          <w:rFonts w:ascii="Times New Roman" w:hAnsi="Times New Roman"/>
          <w:sz w:val="24"/>
          <w:szCs w:val="24"/>
        </w:rPr>
      </w:pPr>
      <w:r w:rsidRPr="00453C9F">
        <w:rPr>
          <w:rFonts w:ascii="Times New Roman" w:hAnsi="Times New Roman"/>
          <w:caps/>
          <w:sz w:val="24"/>
          <w:szCs w:val="24"/>
        </w:rPr>
        <w:t>williamson, j</w:t>
      </w:r>
      <w:r w:rsidRPr="00453C9F">
        <w:rPr>
          <w:rFonts w:ascii="Times New Roman" w:hAnsi="Times New Roman"/>
          <w:sz w:val="24"/>
          <w:szCs w:val="24"/>
        </w:rPr>
        <w:t xml:space="preserve">, (2008) “Exchange rate economics”, </w:t>
      </w:r>
      <w:r w:rsidRPr="00453C9F">
        <w:rPr>
          <w:rFonts w:ascii="Times New Roman" w:hAnsi="Times New Roman"/>
          <w:i/>
          <w:sz w:val="24"/>
          <w:szCs w:val="24"/>
        </w:rPr>
        <w:t>Working Paper Series</w:t>
      </w:r>
      <w:r w:rsidRPr="00453C9F">
        <w:rPr>
          <w:rFonts w:ascii="Times New Roman" w:hAnsi="Times New Roman"/>
          <w:sz w:val="24"/>
          <w:szCs w:val="24"/>
        </w:rPr>
        <w:t>, Peterson Institute for international economics, Washington.</w:t>
      </w:r>
    </w:p>
    <w:p w:rsidR="00553639" w:rsidRPr="00453C9F" w:rsidRDefault="00553639" w:rsidP="00526E94">
      <w:pPr>
        <w:widowControl w:val="0"/>
        <w:autoSpaceDE w:val="0"/>
        <w:autoSpaceDN w:val="0"/>
        <w:adjustRightInd w:val="0"/>
        <w:spacing w:before="100" w:beforeAutospacing="1" w:after="100" w:afterAutospacing="1" w:line="240" w:lineRule="auto"/>
        <w:ind w:left="624" w:hanging="624"/>
        <w:jc w:val="both"/>
        <w:rPr>
          <w:rFonts w:ascii="Times New Roman" w:hAnsi="Times New Roman"/>
          <w:sz w:val="24"/>
          <w:szCs w:val="24"/>
        </w:rPr>
      </w:pPr>
      <w:r w:rsidRPr="00453C9F">
        <w:rPr>
          <w:rFonts w:ascii="Times New Roman" w:hAnsi="Times New Roman"/>
          <w:sz w:val="24"/>
          <w:szCs w:val="24"/>
        </w:rPr>
        <w:t xml:space="preserve">WINDMEIJER, F. (2004) “A finite sample correction for the variance of linear two-step GMM estimator”, </w:t>
      </w:r>
      <w:r w:rsidRPr="00453C9F">
        <w:rPr>
          <w:rFonts w:ascii="Times New Roman" w:hAnsi="Times New Roman"/>
          <w:i/>
          <w:sz w:val="24"/>
          <w:szCs w:val="24"/>
        </w:rPr>
        <w:t>Journal of Econometrics,</w:t>
      </w:r>
      <w:r w:rsidRPr="00453C9F">
        <w:rPr>
          <w:rFonts w:ascii="Times New Roman" w:hAnsi="Times New Roman"/>
          <w:sz w:val="24"/>
          <w:szCs w:val="24"/>
        </w:rPr>
        <w:t xml:space="preserve"> 126-1.</w:t>
      </w:r>
    </w:p>
    <w:p w:rsidR="00553639" w:rsidRPr="00526E94" w:rsidRDefault="00553639" w:rsidP="00526E94">
      <w:pPr>
        <w:spacing w:after="0" w:line="240" w:lineRule="auto"/>
        <w:ind w:firstLine="720"/>
        <w:jc w:val="both"/>
        <w:rPr>
          <w:rFonts w:ascii="Times New Roman" w:hAnsi="Times New Roman"/>
          <w:sz w:val="24"/>
          <w:szCs w:val="24"/>
        </w:rPr>
      </w:pPr>
    </w:p>
    <w:p w:rsidR="00553639" w:rsidRPr="00526E94" w:rsidRDefault="00553639" w:rsidP="00526E94">
      <w:pPr>
        <w:tabs>
          <w:tab w:val="left" w:pos="720"/>
          <w:tab w:val="left" w:pos="9270"/>
        </w:tabs>
        <w:spacing w:after="0" w:line="240" w:lineRule="auto"/>
        <w:ind w:firstLine="720"/>
        <w:jc w:val="both"/>
        <w:rPr>
          <w:rFonts w:ascii="Times New Roman" w:hAnsi="Times New Roman"/>
          <w:sz w:val="24"/>
          <w:szCs w:val="24"/>
        </w:rPr>
      </w:pPr>
    </w:p>
    <w:p w:rsidR="00553639" w:rsidRPr="00526E94" w:rsidRDefault="00553639" w:rsidP="00526E94">
      <w:pPr>
        <w:pStyle w:val="BodyText"/>
        <w:spacing w:after="0" w:line="240" w:lineRule="auto"/>
        <w:jc w:val="both"/>
        <w:rPr>
          <w:szCs w:val="24"/>
          <w:lang w:val="en-US"/>
        </w:rPr>
      </w:pPr>
    </w:p>
    <w:p w:rsidR="00553639" w:rsidRPr="00526E94" w:rsidRDefault="00553639" w:rsidP="00526E94">
      <w:pPr>
        <w:spacing w:after="0" w:line="240" w:lineRule="auto"/>
        <w:ind w:firstLine="720"/>
        <w:jc w:val="both"/>
        <w:rPr>
          <w:rFonts w:ascii="Times New Roman" w:hAnsi="Times New Roman"/>
          <w:b/>
          <w:sz w:val="24"/>
          <w:szCs w:val="24"/>
        </w:rPr>
      </w:pPr>
    </w:p>
    <w:p w:rsidR="00553639" w:rsidRPr="00526E94" w:rsidRDefault="00553639" w:rsidP="00CB528E">
      <w:pPr>
        <w:spacing w:after="0" w:line="240" w:lineRule="auto"/>
        <w:jc w:val="both"/>
        <w:rPr>
          <w:rFonts w:ascii="Times New Roman" w:hAnsi="Times New Roman"/>
          <w:b/>
          <w:sz w:val="24"/>
          <w:szCs w:val="24"/>
        </w:rPr>
      </w:pPr>
    </w:p>
    <w:p w:rsidR="00553639" w:rsidRPr="00BD3C3B" w:rsidRDefault="00553639" w:rsidP="008C0517">
      <w:pPr>
        <w:tabs>
          <w:tab w:val="left" w:pos="720"/>
        </w:tabs>
        <w:spacing w:after="0" w:line="240" w:lineRule="auto"/>
        <w:jc w:val="center"/>
        <w:rPr>
          <w:rFonts w:ascii="Times New Roman" w:hAnsi="Times New Roman"/>
          <w:b/>
          <w:sz w:val="24"/>
          <w:szCs w:val="24"/>
          <w:lang w:val="pt-BR"/>
        </w:rPr>
      </w:pPr>
      <w:r w:rsidRPr="00BD3C3B">
        <w:rPr>
          <w:rFonts w:ascii="Times New Roman" w:hAnsi="Times New Roman"/>
          <w:b/>
          <w:sz w:val="24"/>
          <w:szCs w:val="24"/>
          <w:lang w:val="pt-BR"/>
        </w:rPr>
        <w:t>Apêndice I – Determinação Teórica do Câmbio Real de Longo Prazo.</w:t>
      </w:r>
    </w:p>
    <w:p w:rsidR="00553639" w:rsidRDefault="00553639" w:rsidP="00CB528E">
      <w:pPr>
        <w:tabs>
          <w:tab w:val="left" w:pos="720"/>
        </w:tabs>
        <w:spacing w:after="0" w:line="240" w:lineRule="auto"/>
        <w:ind w:firstLine="720"/>
        <w:rPr>
          <w:rFonts w:ascii="Times New Roman" w:hAnsi="Times New Roman"/>
          <w:sz w:val="24"/>
          <w:szCs w:val="24"/>
          <w:lang w:val="pt-BR"/>
        </w:rPr>
      </w:pPr>
    </w:p>
    <w:p w:rsidR="00553639" w:rsidRDefault="00553639" w:rsidP="00E53F77">
      <w:pPr>
        <w:tabs>
          <w:tab w:val="left" w:pos="720"/>
        </w:tabs>
        <w:spacing w:after="0" w:line="240" w:lineRule="auto"/>
        <w:ind w:firstLine="720"/>
        <w:rPr>
          <w:rFonts w:ascii="Times New Roman" w:hAnsi="Times New Roman"/>
          <w:sz w:val="24"/>
          <w:szCs w:val="24"/>
          <w:lang w:val="pt-BR"/>
        </w:rPr>
      </w:pPr>
      <w:r>
        <w:rPr>
          <w:rFonts w:ascii="Times New Roman" w:hAnsi="Times New Roman"/>
          <w:sz w:val="24"/>
          <w:szCs w:val="24"/>
          <w:lang w:val="pt-BR"/>
        </w:rPr>
        <w:t xml:space="preserve">Utilizamos como exemplo o modelo de estoques e fluxos de Alberola (2003). A taxa de câmbio real </w:t>
      </w:r>
      <w:r>
        <w:rPr>
          <w:rFonts w:ascii="Times New Roman" w:hAnsi="Times New Roman"/>
          <w:i/>
          <w:sz w:val="24"/>
          <w:szCs w:val="24"/>
          <w:lang w:val="pt-BR"/>
        </w:rPr>
        <w:t>q</w:t>
      </w:r>
      <w:r>
        <w:rPr>
          <w:rFonts w:ascii="Times New Roman" w:hAnsi="Times New Roman"/>
          <w:sz w:val="24"/>
          <w:szCs w:val="24"/>
          <w:lang w:val="pt-BR"/>
        </w:rPr>
        <w:t xml:space="preserve"> é definida como a razão entre o preço estrangeiro (</w:t>
      </w:r>
      <w:r>
        <w:rPr>
          <w:rFonts w:ascii="Times New Roman" w:hAnsi="Times New Roman"/>
          <w:i/>
          <w:sz w:val="24"/>
          <w:szCs w:val="24"/>
          <w:lang w:val="pt-BR"/>
        </w:rPr>
        <w:t>p*</w:t>
      </w:r>
      <w:r>
        <w:rPr>
          <w:rFonts w:ascii="Times New Roman" w:hAnsi="Times New Roman"/>
          <w:sz w:val="24"/>
          <w:szCs w:val="24"/>
          <w:lang w:val="pt-BR"/>
        </w:rPr>
        <w:t>) e o preço doméstico (</w:t>
      </w:r>
      <w:r>
        <w:rPr>
          <w:rFonts w:ascii="Times New Roman" w:hAnsi="Times New Roman"/>
          <w:i/>
          <w:sz w:val="24"/>
          <w:szCs w:val="24"/>
          <w:lang w:val="pt-BR"/>
        </w:rPr>
        <w:t>p</w:t>
      </w:r>
      <w:r>
        <w:rPr>
          <w:rFonts w:ascii="Times New Roman" w:hAnsi="Times New Roman"/>
          <w:sz w:val="24"/>
          <w:szCs w:val="24"/>
          <w:lang w:val="pt-BR"/>
        </w:rPr>
        <w:t xml:space="preserve">), sendo </w:t>
      </w:r>
      <w:r>
        <w:rPr>
          <w:rFonts w:ascii="Times New Roman" w:hAnsi="Times New Roman"/>
          <w:i/>
          <w:sz w:val="24"/>
          <w:szCs w:val="24"/>
          <w:lang w:val="pt-BR"/>
        </w:rPr>
        <w:t>s</w:t>
      </w:r>
      <w:r>
        <w:rPr>
          <w:rFonts w:ascii="Times New Roman" w:hAnsi="Times New Roman"/>
          <w:sz w:val="24"/>
          <w:szCs w:val="24"/>
          <w:lang w:val="pt-BR"/>
        </w:rPr>
        <w:t xml:space="preserve"> a taxa nominal de câmbio (com todas as variáveis denotadas em logaritmos. </w:t>
      </w:r>
    </w:p>
    <w:p w:rsidR="00553639" w:rsidRDefault="00553639" w:rsidP="00E53F77">
      <w:pPr>
        <w:tabs>
          <w:tab w:val="left" w:pos="720"/>
        </w:tabs>
        <w:spacing w:after="0" w:line="240" w:lineRule="auto"/>
        <w:ind w:firstLine="720"/>
        <w:rPr>
          <w:rFonts w:ascii="Times New Roman" w:hAnsi="Times New Roman"/>
          <w:sz w:val="24"/>
          <w:szCs w:val="24"/>
          <w:lang w:val="pt-BR"/>
        </w:rPr>
      </w:pPr>
    </w:p>
    <w:tbl>
      <w:tblPr>
        <w:tblW w:w="0" w:type="auto"/>
        <w:tblLook w:val="00A0"/>
      </w:tblPr>
      <w:tblGrid>
        <w:gridCol w:w="8838"/>
        <w:gridCol w:w="738"/>
      </w:tblGrid>
      <w:tr w:rsidR="00553639" w:rsidTr="00B16390">
        <w:tc>
          <w:tcPr>
            <w:tcW w:w="8838" w:type="dxa"/>
          </w:tcPr>
          <w:p w:rsidR="00553639" w:rsidRPr="00B16390" w:rsidRDefault="00553639" w:rsidP="00B16390">
            <w:pPr>
              <w:tabs>
                <w:tab w:val="left" w:pos="720"/>
              </w:tabs>
              <w:spacing w:after="0" w:line="240" w:lineRule="auto"/>
              <w:ind w:firstLine="720"/>
              <w:rPr>
                <w:sz w:val="24"/>
                <w:szCs w:val="24"/>
                <w:lang w:val="pt-BR"/>
              </w:rPr>
            </w:pPr>
            <w:r w:rsidRPr="00B16390">
              <w:pict>
                <v:shape id="_x0000_i1055" type="#_x0000_t75" style="width: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5577&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525577&quot;&gt;&lt;m:oMathPara&gt;&lt;m:oMath&gt;&lt;m:r&gt;&lt;w:rPr&gt;&lt;w:rFonts w:ascii=&quot;Cambria Math&quot; w:h-ansi=&quot;Cambria Math&quot;/&gt;&lt;wx:font wx:val=&quot;Cambria Math&quot;/&gt;&lt;w:i/&gt;&lt;w:sz w:val=&quot;24&quot;/&gt;&lt;w:sz-cs w:val=&quot;24&quot;/&gt;&lt;w:lang w:val=&quot;PT-BR&quot;/&gt;&lt;/w:rPr&gt;&lt;m:t&gt;q&lt;/m:t&gt;&lt;/m:r&gt;&lt;m:r&gt;&lt;w:rPr&gt;&lt;w:rFonts w:ascii=&quot;Cambria Math&quot; w:h-ansi=&quot;Cambria Math&quot;/&gt;&lt;wx:font wx:val=&quot;Cambria Math&quot;/&gt;&lt;w:i/&gt;&lt;w:sz w:val=&quot;24&quot;/&gt;&lt;w:sz-cs w:val=&quot;24&quot;/&gt;&lt;w:lang w:val=&quot;PT-BR&quot;/&gt;&lt;/w:rPr&gt;&lt;m:t&gt;=s+p*-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p>
        </w:tc>
        <w:tc>
          <w:tcPr>
            <w:tcW w:w="738" w:type="dxa"/>
          </w:tcPr>
          <w:p w:rsidR="00553639" w:rsidRPr="00B16390" w:rsidRDefault="00553639" w:rsidP="00B16390">
            <w:pPr>
              <w:tabs>
                <w:tab w:val="left" w:pos="720"/>
              </w:tabs>
              <w:spacing w:after="0" w:line="240" w:lineRule="auto"/>
              <w:rPr>
                <w:sz w:val="24"/>
                <w:szCs w:val="24"/>
                <w:lang w:val="pt-BR"/>
              </w:rPr>
            </w:pPr>
            <w:r w:rsidRPr="00B16390">
              <w:rPr>
                <w:sz w:val="24"/>
                <w:szCs w:val="24"/>
                <w:lang w:val="pt-BR"/>
              </w:rPr>
              <w:t>(A1)</w:t>
            </w:r>
          </w:p>
        </w:tc>
      </w:tr>
    </w:tbl>
    <w:p w:rsidR="00553639" w:rsidRDefault="00553639" w:rsidP="00E53F77">
      <w:pPr>
        <w:tabs>
          <w:tab w:val="left" w:pos="720"/>
        </w:tabs>
        <w:spacing w:after="0" w:line="240" w:lineRule="auto"/>
        <w:ind w:firstLine="720"/>
        <w:rPr>
          <w:rFonts w:ascii="Times New Roman" w:hAnsi="Times New Roman"/>
          <w:sz w:val="24"/>
          <w:szCs w:val="24"/>
          <w:lang w:val="pt-BR"/>
        </w:rPr>
      </w:pPr>
      <w:r w:rsidRPr="00146C03">
        <w:rPr>
          <w:rFonts w:ascii="Times New Roman" w:hAnsi="Times New Roman"/>
          <w:sz w:val="24"/>
          <w:szCs w:val="24"/>
          <w:lang w:val="pt-BR"/>
        </w:rPr>
        <w:t xml:space="preserve">Denotando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56" type="#_x0000_t75" style="width:1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D2119&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7D2119&quot;&gt;&lt;m:oMathPara&gt;&lt;m:oMath&gt;&lt;m:r&gt;&lt;w:rPr&gt;&lt;w:rFonts w:ascii=&quot;Cambria Math&quot; w:h-ansi=&quot;Cambria Math&quot;/&gt;&lt;wx:font wx:val=&quot;Cambria Math&quot;/&gt;&lt;w:i/&gt;&lt;w:sz w:val=&quot;24&quot;/&gt;&lt;w:sz-cs w:val=&quot;24&quot;/&gt;&lt;w:lang w:val=&quot;PT-BR&quot;/&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7"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57" type="#_x0000_t75" style="width:1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D2119&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7D2119&quot;&gt;&lt;m:oMathPara&gt;&lt;m:oMath&gt;&lt;m:r&gt;&lt;w:rPr&gt;&lt;w:rFonts w:ascii=&quot;Cambria Math&quot; w:h-ansi=&quot;Cambria Math&quot;/&gt;&lt;wx:font wx:val=&quot;Cambria Math&quot;/&gt;&lt;w:i/&gt;&lt;w:sz w:val=&quot;24&quot;/&gt;&lt;w:sz-cs w:val=&quot;24&quot;/&gt;&lt;w:lang w:val=&quot;PT-BR&quot;/&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7" o:title="" chromakey="white"/>
          </v:shape>
        </w:pict>
      </w:r>
      <w:r w:rsidRPr="00B16390">
        <w:rPr>
          <w:rFonts w:ascii="Times New Roman" w:hAnsi="Times New Roman"/>
          <w:sz w:val="24"/>
          <w:szCs w:val="24"/>
          <w:lang w:val="pt-BR"/>
        </w:rPr>
        <w:fldChar w:fldCharType="end"/>
      </w:r>
      <w:r w:rsidRPr="00146C03">
        <w:rPr>
          <w:rFonts w:ascii="Times New Roman" w:hAnsi="Times New Roman"/>
          <w:sz w:val="24"/>
          <w:szCs w:val="24"/>
          <w:lang w:val="pt-BR"/>
        </w:rPr>
        <w:t xml:space="preserve"> o percentual de bens comercializáveis no índice de preços,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58"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B7F5F&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0B7F5F&quot;&gt;&lt;m:oMathPara&gt;&lt;m:oMath&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r&gt;&lt;w:rPr&gt;&lt;w:rFonts w:ascii=&quot;Cambria Math&quot; w:fareast=&quot;Times New Roman&quot; w:h-ansi=&quot;Cambria Math&quot;/&gt;&lt;wx:font wx:val=&quot;Cambria Math&quot;/&gt;&lt;w:i/&gt;&lt;w:sz w:val=&quot;24&quot;/&gt;&lt;w:sz-cs w:val=&quot;24&quot;/&gt;&lt;w:lang w:val=&quot;PT-BR&quot;/&gt;&lt;/w:rPr&gt;&lt;m:t&gt;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8"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59"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B7F5F&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0B7F5F&quot;&gt;&lt;m:oMathPara&gt;&lt;m:oMath&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r&gt;&lt;w:rPr&gt;&lt;w:rFonts w:ascii=&quot;Cambria Math&quot; w:fareast=&quot;Times New Roman&quot; w:h-ansi=&quot;Cambria Math&quot;/&gt;&lt;wx:font wx:val=&quot;Cambria Math&quot;/&gt;&lt;w:i/&gt;&lt;w:sz w:val=&quot;24&quot;/&gt;&lt;w:sz-cs w:val=&quot;24&quot;/&gt;&lt;w:lang w:val=&quot;PT-BR&quot;/&gt;&lt;/w:rPr&gt;&lt;m:t&gt;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8"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o nível de preços dos bens comercializáveis 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60"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C2FC7&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5C2FC7&quot;&gt;&lt;m:oMathPara&gt;&lt;m:oMath&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r&gt;&lt;w:rPr&gt;&lt;w:rFonts w:ascii=&quot;Cambria Math&quot; w:fareast=&quot;Times New Roman&quot; w:h-ansi=&quot;Cambria Math&quot;/&gt;&lt;wx:font wx:val=&quot;Cambria Math&quot;/&gt;&lt;w:i/&gt;&lt;w:sz w:val=&quot;24&quot;/&gt;&lt;w:sz-cs w:val=&quot;24&quot;/&gt;&lt;w:lang w:val=&quot;PT-BR&quot;/&gt;&lt;/w:rPr&gt;&lt;m:t&gt;N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9"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61"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C2FC7&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5C2FC7&quot;&gt;&lt;m:oMathPara&gt;&lt;m:oMath&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r&gt;&lt;w:rPr&gt;&lt;w:rFonts w:ascii=&quot;Cambria Math&quot; w:fareast=&quot;Times New Roman&quot; w:h-ansi=&quot;Cambria Math&quot;/&gt;&lt;wx:font wx:val=&quot;Cambria Math&quot;/&gt;&lt;w:i/&gt;&lt;w:sz w:val=&quot;24&quot;/&gt;&lt;w:sz-cs w:val=&quot;24&quot;/&gt;&lt;w:lang w:val=&quot;PT-BR&quot;/&gt;&lt;/w:rPr&gt;&lt;m:t&gt;N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9"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o nível de preços de bens não-comercializáveis; referindo aos preços estrangeiros com um asterisco, a taxa de câmbio real pode ser escrito como se segue:</w:t>
      </w:r>
    </w:p>
    <w:tbl>
      <w:tblPr>
        <w:tblW w:w="0" w:type="auto"/>
        <w:tblLayout w:type="fixed"/>
        <w:tblLook w:val="00A0"/>
      </w:tblPr>
      <w:tblGrid>
        <w:gridCol w:w="8928"/>
        <w:gridCol w:w="648"/>
      </w:tblGrid>
      <w:tr w:rsidR="00553639" w:rsidRPr="00877717" w:rsidTr="00865EC3">
        <w:tc>
          <w:tcPr>
            <w:tcW w:w="8928" w:type="dxa"/>
          </w:tcPr>
          <w:p w:rsidR="00553639" w:rsidRPr="00B16390" w:rsidRDefault="00553639" w:rsidP="00B16390">
            <w:pPr>
              <w:tabs>
                <w:tab w:val="left" w:pos="720"/>
              </w:tabs>
              <w:spacing w:after="0" w:line="240" w:lineRule="auto"/>
              <w:ind w:firstLine="720"/>
              <w:jc w:val="center"/>
              <w:rPr>
                <w:sz w:val="24"/>
                <w:szCs w:val="24"/>
                <w:lang w:val="pt-BR"/>
              </w:rPr>
            </w:pPr>
            <w:r w:rsidRPr="00B16390">
              <w:pict>
                <v:shape id="_x0000_i1062" type="#_x0000_t75" style="width:455.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33A1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333A18&quot;&gt;&lt;m:oMathPara&gt;&lt;m:oMath&gt;&lt;m:r&gt;&lt;w:rPr&gt;&lt;w:rFonts w:ascii=&quot;Cambria Math&quot; w:fareast=&quot;Times New Roman&quot; w:h-ansi=&quot;Cambria Math&quot;/&gt;&lt;wx:font wx:val=&quot;Cambria Math&quot;/&gt;&lt;w:i/&gt;&lt;w:sz w:val=&quot;24&quot;/&gt;&lt;w:sz-cs w:val=&quot;24&quot;/&gt;&lt;w:lang w:val=&quot;PT-BR&quot;/&gt;&lt;/w:rPr&gt;&lt;m:t&gt;q&lt;/m:t&gt;&lt;/m:r&gt;&lt;m:r&gt;&lt;w:rPr&gt;&lt;w:rFonts w:ascii=&quot;Cambria Math&quot; w:fareast=&quot;Times New Roman&quot; w:h-ansi=&quot;Cambria Math&quot;/&gt;&lt;wx:font wx:val=&quot;Cambria Math&quot;/&gt;&lt;w:i/&gt;&lt;w:sz w:val=&quot;24&quot;/&gt;&lt;w:sz-cs w:val=&quot;24&quot;/&gt;&lt;w:lang w:val=&quot;PT-BR&quot;/&gt;&lt;/w:rPr&gt;&lt;m:t&gt;=&lt;/m:t&gt;&lt;/m:r&gt;&lt;m:d&gt;&lt;m:dPr&gt;&lt;m:ctrlPr&gt;&lt;w:rPr&gt;&lt;w:rFonts w:ascii=&quot;Cambria Math&quot; w:fareast=&quot;Times New Roman&quot; w:h-ansi=&quot;Cambria Math&quot;/&gt;&lt;wx:font wx:val=&quot;Cambria Math&quot;/&gt;&lt;w:i/&gt;&lt;w:sz w:val=&quot;24&quot;/&gt;&lt;w:sz-cs w:val=&quot;24&quot;/&gt;&lt;w:lang w:val=&quot;PT-BR&quot;/&gt;&lt;/w:rPr&gt;&lt;/m:ctrlPr&gt;&lt;/m:dPr&gt;&lt;m:e&gt;&lt;m:r&gt;&lt;w:rPr&gt;&lt;w:rFonts w:ascii=&quot;Cambria Math&quot; w:fareast=&quot;Times New Roman&quot; w:h-ansi=&quot;Cambria Math&quot;/&gt;&lt;wx:font wx:val=&quot;Cambria Math&quot;/&gt;&lt;w:i/&gt;&lt;w:sz w:val=&quot;24&quot;/&gt;&lt;w:sz-cs w:val=&quot;24&quot;/&gt;&lt;w:lang w:val=&quot;PT-BR&quot;/&gt;&lt;/w:rPr&gt;&lt;m:t&gt;s+&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T&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sup&gt;&lt;/m:sSup&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r&gt;&lt;w:rPr&gt;&lt;w:rFonts w:ascii=&quot;Cambria Math&quot; w:fareast=&quot;Times New Roman&quot; w:h-ansi=&quot;Cambria Math&quot;/&gt;&lt;wx:font wx:val=&quot;Cambria Math&quot;/&gt;&lt;w:i/&gt;&lt;w:sz w:val=&quot;24&quot;/&gt;&lt;w:sz-cs w:val=&quot;24&quot;/&gt;&lt;w:lang w:val=&quot;PT-BR&quot;/&gt;&lt;/w:rPr&gt;&lt;m:t&gt;T&lt;/m:t&gt;&lt;/m:r&gt;&lt;/m:sup&gt;&lt;/m:sSup&gt;&lt;/m:e&gt;&lt;/m:d&gt;&lt;m:r&gt;&lt;w:rPr&gt;&lt;w:rFonts w:ascii=&quot;Cambria Math&quot; w:fareast=&quot;Times New Roman&quot; w:h-ansi=&quot;Cambria Math&quot;/&gt;&lt;wx:font wx:val=&quot;Cambria Math&quot;/&gt;&lt;w:i/&gt;&lt;w:sz w:val=&quot;24&quot;/&gt;&lt;w:sz-cs w:val=&quot;24&quot;/&gt;&lt;w:lang w:val=&quot;PT-BR&quot;/&gt;&lt;/w:rPr&gt;&lt;m:t&gt;=&lt;/m:t&gt;&lt;/m:r&gt;&lt;m:d&gt;&lt;m:dPr&gt;&lt;m:ctrlPr&gt;&lt;w:rPr&gt;&lt;w:rFonts w:ascii=&quot;Cambria Math&quot; w:fareast=&quot;Times New Roman&quot; w:h-ansi=&quot;Cambria Math&quot;/&gt;&lt;wx:font wx:val=&quot;Cambria Math&quot;/&gt;&lt;w:i/&gt;&lt;w:sz w:val=&quot;24&quot;/&gt;&lt;w:sz-cs w:val=&quot;24&quot;/&gt;&lt;w:lang w:val=&quot;PT-BR&quot;/&gt;&lt;/w:rPr&gt;&lt;/m:ctrlPr&gt;&lt;/m:dPr&gt;&lt;m:e&gt;&lt;m:r&gt;&lt;w:rPr&gt;&lt;w:rFonts w:ascii=&quot;Cambria Math&quot; w:fareast=&quot;Times New Roman&quot; w:h-ansi=&quot;Cambria Math&quot;/&gt;&lt;wx:font wx:val=&quot;Cambria Math&quot;/&gt;&lt;w:i/&gt;&lt;w:sz w:val=&quot;24&quot;/&gt;&lt;w:sz-cs w:val=&quot;24&quot;/&gt;&lt;w:lang w:val=&quot;PT-BR&quot;/&gt;&lt;/w:rPr&gt;&lt;m:t&gt;1-Î±&lt;/m:t&gt;&lt;/m:r&gt;&lt;/m:e&gt;&lt;/m:d&gt;&lt;m:r&gt;&lt;w:rPr&gt;&lt;w:rFonts w:ascii=&quot;Cambria Math&quot; w:fareast=&quot;Times New Roman&quot; w:h-ansi=&quot;Cambria Math&quot;/&gt;&lt;wx:font wx:val=&quot;Cambria Math&quot;/&gt;&lt;w:i/&gt;&lt;w:sz w:val=&quot;24&quot;/&gt;&lt;w:sz-cs w:val=&quot;24&quot;/&gt;&lt;w:lang w:val=&quot;PT-BR&quot;/&gt;&lt;/w:rPr&gt;&lt;m:t&gt;[&lt;/m:t&gt;&lt;/m:r&gt;&lt;m:d&gt;&lt;m:dPr&gt;&lt;m:ctrlPr&gt;&lt;w:rPr&gt;&lt;w:rFonts w:ascii=&quot;Cambria Math&quot; w:fareast=&quot;Times New Roman&quot; w:h-ansi=&quot;Cambria Math&quot;/&gt;&lt;wx:font wx:val=&quot;Cambria Math&quot;/&gt;&lt;w:i/&gt;&lt;w:sz w:val=&quot;24&quot;/&gt;&lt;w:sz-cs w:val=&quot;24&quot;/&gt;&lt;w:lang w:val=&quot;PT-BR&quot;/&gt;&lt;/w:rPr&gt;&lt;/m:ctrlPr&gt;&lt;/m:dPr&gt;&lt;m:e&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NT&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sup&gt;&lt;/m:sSup&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T&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sup&gt;&lt;/m:sSup&gt;&lt;/m:e&gt;&lt;/m:d&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NT&lt;/m:t&gt;&lt;/m:r&gt;&lt;/m:e&gt;&lt;m:sup/&gt;&lt;/m:sSup&gt;&lt;/m:sup&gt;&lt;/m:sSup&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p&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T&lt;/m:t&gt;&lt;/m:r&gt;&lt;/m:e&gt;&lt;m:sup/&gt;&lt;/m:sSup&gt;&lt;/m:sup&gt;&lt;/m:sSup&gt;&lt;m:r&gt;&lt;w:rPr&gt;&lt;w:rFonts w:ascii=&quot;Cambria Math&quot; w:fareast=&quot;Times New Roman&quot; w:h-ansi=&quot;Cambria Math&quot;/&gt;&lt;wx:font wx:val=&quot;Cambria Math&quot;/&gt;&lt;w:i/&gt;&lt;w:sz w:val=&quot;24&quot;/&gt;&lt;w:sz-cs w:val=&quot;24&quot;/&gt;&lt;w:lang w:val=&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0" o:title="" chromakey="white"/>
                </v:shape>
              </w:pict>
            </w:r>
          </w:p>
          <w:p w:rsidR="00553639" w:rsidRPr="00B16390" w:rsidRDefault="00553639" w:rsidP="00B16390">
            <w:pPr>
              <w:tabs>
                <w:tab w:val="left" w:pos="720"/>
              </w:tabs>
              <w:spacing w:after="0" w:line="240" w:lineRule="auto"/>
              <w:rPr>
                <w:sz w:val="24"/>
                <w:szCs w:val="24"/>
                <w:lang w:val="pt-BR"/>
              </w:rPr>
            </w:pPr>
          </w:p>
        </w:tc>
        <w:tc>
          <w:tcPr>
            <w:tcW w:w="648" w:type="dxa"/>
          </w:tcPr>
          <w:p w:rsidR="00553639" w:rsidRPr="00B16390" w:rsidRDefault="00553639" w:rsidP="00B16390">
            <w:pPr>
              <w:tabs>
                <w:tab w:val="left" w:pos="720"/>
              </w:tabs>
              <w:spacing w:after="0" w:line="240" w:lineRule="auto"/>
              <w:rPr>
                <w:sz w:val="24"/>
                <w:szCs w:val="24"/>
                <w:lang w:val="pt-BR"/>
              </w:rPr>
            </w:pPr>
            <w:r w:rsidRPr="00B16390">
              <w:rPr>
                <w:sz w:val="24"/>
                <w:szCs w:val="24"/>
                <w:lang w:val="pt-BR"/>
              </w:rPr>
              <w:t>(A2)</w:t>
            </w:r>
          </w:p>
        </w:tc>
      </w:tr>
    </w:tbl>
    <w:p w:rsidR="00553639" w:rsidRDefault="00553639" w:rsidP="00E53F77">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O primeiro termo, denotado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63"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96C7F&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96C7F&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q&lt;/m:t&gt;&lt;/m:r&gt;&lt;/m:e&gt;&lt;m:sup&gt;&lt;m:r&gt;&lt;w:rPr&gt;&lt;w:rFonts w:ascii=&quot;Cambria Math&quot; w:h-ansi=&quot;Cambria Math&quot;/&gt;&lt;wx:font wx:val=&quot;Cambria Math&quot;/&gt;&lt;w:i/&gt;&lt;w:sz w:val=&quot;24&quot;/&gt;&lt;w:sz-cs w:val=&quot;24&quot;/&gt;&lt;w:lang w:val=&quot;PT-BR&quot;/&gt;&lt;/w:rPr&gt;&lt;m:t&gt;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1"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64"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96C7F&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96C7F&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q&lt;/m:t&gt;&lt;/m:r&gt;&lt;/m:e&gt;&lt;m:sup&gt;&lt;m:r&gt;&lt;w:rPr&gt;&lt;w:rFonts w:ascii=&quot;Cambria Math&quot; w:h-ansi=&quot;Cambria Math&quot;/&gt;&lt;wx:font wx:val=&quot;Cambria Math&quot;/&gt;&lt;w:i/&gt;&lt;w:sz w:val=&quot;24&quot;/&gt;&lt;w:sz-cs w:val=&quot;24&quot;/&gt;&lt;w:lang w:val=&quot;PT-BR&quot;/&gt;&lt;/w:rPr&gt;&lt;m:t&gt;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1"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daqui por diante, se refere ao preço relativo dos bens comercializáveis entre os países. É determinada pelas condições de equilíbrio do balanço de pagamentos. O segundo termo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65"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37C9B&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A37C9B&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q&lt;/m:t&gt;&lt;/m:r&gt;&lt;/m:e&gt;&lt;m:sup&gt;&lt;m:r&gt;&lt;w:rPr&gt;&lt;w:rFonts w:ascii=&quot;Cambria Math&quot; w:h-ansi=&quot;Cambria Math&quot;/&gt;&lt;wx:font wx:val=&quot;Cambria Math&quot;/&gt;&lt;w:i/&gt;&lt;w:sz w:val=&quot;24&quot;/&gt;&lt;w:sz-cs w:val=&quot;24&quot;/&gt;&lt;w:lang w:val=&quot;PT-BR&quot;/&gt;&lt;/w:rPr&gt;&lt;m:t&gt;N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2"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66"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37C9B&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A37C9B&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q&lt;/m:t&gt;&lt;/m:r&gt;&lt;/m:e&gt;&lt;m:sup&gt;&lt;m:r&gt;&lt;w:rPr&gt;&lt;w:rFonts w:ascii=&quot;Cambria Math&quot; w:h-ansi=&quot;Cambria Math&quot;/&gt;&lt;wx:font wx:val=&quot;Cambria Math&quot;/&gt;&lt;w:i/&gt;&lt;w:sz w:val=&quot;24&quot;/&gt;&lt;w:sz-cs w:val=&quot;24&quot;/&gt;&lt;w:lang w:val=&quot;PT-BR&quot;/&gt;&lt;/w:rPr&gt;&lt;m:t&gt;N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2"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daqui por diante) é o quociente dos preços estrangeiros pelos domésticos dos bens não comercializáveis. Nos países emergentes, os bens não comercializáveis são esperados ser mais baratos do que nos países industriais porque os salários são menores onde a produtividade neste setor é similar. Assim, o valor real da meda é menor (</w:t>
      </w:r>
      <w:r>
        <w:rPr>
          <w:rFonts w:ascii="Times New Roman" w:hAnsi="Times New Roman"/>
          <w:i/>
          <w:sz w:val="24"/>
          <w:szCs w:val="24"/>
          <w:lang w:val="pt-BR"/>
        </w:rPr>
        <w:t>q</w:t>
      </w:r>
      <w:r>
        <w:rPr>
          <w:rFonts w:ascii="Times New Roman" w:hAnsi="Times New Roman"/>
          <w:sz w:val="24"/>
          <w:szCs w:val="24"/>
          <w:lang w:val="pt-BR"/>
        </w:rPr>
        <w:t xml:space="preserve"> é maior) devido ao setor de bens não comercializáveis. Esse é o chamado efeito Balassa Samuelson que é definido pela produtividade relativa no comercializável em relação ao setor não comercializável.</w:t>
      </w:r>
    </w:p>
    <w:p w:rsidR="00553639" w:rsidRDefault="00553639" w:rsidP="00E53F77">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A taxa de câmbio de equilíbrio, denotada como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67"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32893&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32893&quot;&gt;&lt;m:oMathPara&gt;&lt;m:oMath&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3"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68"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32893&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32893&quot;&gt;&lt;m:oMathPara&gt;&lt;m:oMath&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3"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é então definida como aquela que faz alcançar os equilíbrios internos e externos simultaneamente:</w:t>
      </w:r>
    </w:p>
    <w:p w:rsidR="00553639" w:rsidRDefault="00553639" w:rsidP="00E53F77">
      <w:pPr>
        <w:tabs>
          <w:tab w:val="left" w:pos="720"/>
        </w:tabs>
        <w:spacing w:after="0" w:line="240" w:lineRule="auto"/>
        <w:ind w:firstLine="720"/>
        <w:jc w:val="both"/>
        <w:rPr>
          <w:rFonts w:ascii="Times New Roman" w:hAnsi="Times New Roman"/>
          <w:sz w:val="24"/>
          <w:szCs w:val="24"/>
          <w:lang w:val="pt-BR"/>
        </w:rPr>
      </w:pPr>
    </w:p>
    <w:tbl>
      <w:tblPr>
        <w:tblW w:w="0" w:type="auto"/>
        <w:tblLook w:val="00A0"/>
      </w:tblPr>
      <w:tblGrid>
        <w:gridCol w:w="8906"/>
        <w:gridCol w:w="670"/>
      </w:tblGrid>
      <w:tr w:rsidR="00553639" w:rsidTr="00B16390">
        <w:tc>
          <w:tcPr>
            <w:tcW w:w="8906" w:type="dxa"/>
          </w:tcPr>
          <w:p w:rsidR="00553639" w:rsidRPr="00B16390" w:rsidRDefault="00553639" w:rsidP="00B16390">
            <w:pPr>
              <w:tabs>
                <w:tab w:val="left" w:pos="720"/>
              </w:tabs>
              <w:spacing w:after="0" w:line="240" w:lineRule="auto"/>
              <w:ind w:firstLine="720"/>
              <w:jc w:val="both"/>
              <w:rPr>
                <w:sz w:val="24"/>
                <w:szCs w:val="24"/>
                <w:lang w:val="pt-BR"/>
              </w:rPr>
            </w:pPr>
            <w:r w:rsidRPr="00B16390">
              <w:pict>
                <v:shape id="_x0000_i1069" type="#_x0000_t75" style="width:73.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99B&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63599B&quot;&gt;&lt;m:oMathPara&gt;&lt;m:oMath&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r&gt;&lt;w:rPr&gt;&lt;w:rFonts w:ascii=&quot;Cambria Math&quot; w:h-ansi=&quot;Cambria Math&quot;/&gt;&lt;wx:font wx:val=&quot;Cambria Math&quot;/&gt;&lt;w:i/&gt;&lt;w:sz w:val=&quot;24&quot;/&gt;&lt;w:sz-cs w:val=&quot;24&quot;/&gt;&lt;w:lang w:val=&quot;PT-BR&quot;/&gt;&lt;/w:rPr&gt;&lt;m:t&gt;=&lt;/m:t&gt;&lt;/m:r&gt;&lt;m:sSup&gt;&lt;m:sSupPr&gt;&lt;m:ctrlPr&gt;&lt;w:rPr&gt;&lt;w:rFonts w:ascii=&quot;Cambria Math&quot; w:h-ansi=&quot;Cambria Math&quot;/&gt;&lt;wx:font wx:val=&quot;Cambria Math&quot;/&gt;&lt;w:i/&gt;&lt;w:sz w:val=&quot;24&quot;/&gt;&lt;w:sz-cs w:val=&quot;24&quot;/&gt;&lt;w:lang w:val=&quot;PT-BR&quot;/&gt;&lt;/w:rPr&gt;&lt;/m:ctrlPr&gt;&lt;/m:sSupPr&gt;&lt;m:e&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e&gt;&lt;m:sup&gt;&lt;m:r&gt;&lt;w:rPr&gt;&lt;w:rFonts w:ascii=&quot;Cambria Math&quot; w:h-ansi=&quot;Cambria Math&quot;/&gt;&lt;wx:font wx:val=&quot;Cambria Math&quot;/&gt;&lt;w:i/&gt;&lt;w:sz w:val=&quot;24&quot;/&gt;&lt;w:sz-cs w:val=&quot;24&quot;/&gt;&lt;w:lang w:val=&quot;PT-BR&quot;/&gt;&lt;/w:rPr&gt;&lt;m:t&gt;T&lt;/m:t&gt;&lt;/m:r&gt;&lt;/m:sup&gt;&lt;/m:sSup&gt;&lt;m:r&gt;&lt;w:rPr&gt;&lt;w:rFonts w:ascii=&quot;Cambria Math&quot; w:h-ansi=&quot;Cambria Math&quot;/&gt;&lt;wx:font wx:val=&quot;Cambria Math&quot;/&gt;&lt;w:i/&gt;&lt;w:sz w:val=&quot;24&quot;/&gt;&lt;w:sz-cs w:val=&quot;24&quot;/&gt;&lt;w:lang w:val=&quot;PT-BR&quot;/&gt;&lt;/w:rPr&gt;&lt;m:t&gt;+ &lt;/m:t&gt;&lt;/m:r&gt;&lt;m:sSup&gt;&lt;m:sSupPr&gt;&lt;m:ctrlPr&gt;&lt;w:rPr&gt;&lt;w:rFonts w:ascii=&quot;Cambria Math&quot; w:h-ansi=&quot;Cambria Math&quot;/&gt;&lt;wx:font wx:val=&quot;Cambria Math&quot;/&gt;&lt;w:i/&gt;&lt;w:sz w:val=&quot;24&quot;/&gt;&lt;w:sz-cs w:val=&quot;24&quot;/&gt;&lt;w:lang w:val=&quot;PT-BR&quot;/&gt;&lt;/w:rPr&gt;&lt;/m:ctrlPr&gt;&lt;/m:sSupPr&gt;&lt;m:e&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e&gt;&lt;m:sup&gt;&lt;m:r&gt;&lt;w:rPr&gt;&lt;w:rFonts w:ascii=&quot;Cambria Math&quot; w:h-ansi=&quot;Cambria Math&quot;/&gt;&lt;wx:font wx:val=&quot;Cambria Math&quot;/&gt;&lt;w:i/&gt;&lt;w:sz w:val=&quot;24&quot;/&gt;&lt;w:sz-cs w:val=&quot;24&quot;/&gt;&lt;w:lang w:val=&quot;PT-BR&quot;/&gt;&lt;/w:rPr&gt;&lt;m:t&gt;N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4" o:title="" chromakey="white"/>
                </v:shape>
              </w:pict>
            </w:r>
          </w:p>
        </w:tc>
        <w:tc>
          <w:tcPr>
            <w:tcW w:w="670" w:type="dxa"/>
          </w:tcPr>
          <w:p w:rsidR="00553639" w:rsidRPr="00B16390" w:rsidRDefault="00553639" w:rsidP="00B16390">
            <w:pPr>
              <w:tabs>
                <w:tab w:val="left" w:pos="720"/>
              </w:tabs>
              <w:spacing w:after="0" w:line="240" w:lineRule="auto"/>
              <w:jc w:val="both"/>
              <w:rPr>
                <w:sz w:val="24"/>
                <w:szCs w:val="24"/>
                <w:lang w:val="pt-BR"/>
              </w:rPr>
            </w:pPr>
            <w:r w:rsidRPr="00B16390">
              <w:rPr>
                <w:sz w:val="24"/>
                <w:szCs w:val="24"/>
                <w:lang w:val="pt-BR"/>
              </w:rPr>
              <w:t>(A3)</w:t>
            </w:r>
          </w:p>
        </w:tc>
      </w:tr>
    </w:tbl>
    <w:p w:rsidR="00553639" w:rsidRDefault="00553639" w:rsidP="00E53F77">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A contribuição externa para a taxa de câmbio de equilíbrio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70"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B2138&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EB2138&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e&gt;&lt;m:sup&gt;&lt;m:r&gt;&lt;w:rPr&gt;&lt;w:rFonts w:ascii=&quot;Cambria Math&quot; w:h-ansi=&quot;Cambria Math&quot;/&gt;&lt;wx:font wx:val=&quot;Cambria Math&quot;/&gt;&lt;w:i/&gt;&lt;w:sz w:val=&quot;24&quot;/&gt;&lt;w:sz-cs w:val=&quot;24&quot;/&gt;&lt;w:lang w:val=&quot;PT-BR&quot;/&gt;&lt;/w:rPr&gt;&lt;m:t&gt;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5"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71"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B2138&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EB2138&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e&gt;&lt;m:sup&gt;&lt;m:r&gt;&lt;w:rPr&gt;&lt;w:rFonts w:ascii=&quot;Cambria Math&quot; w:h-ansi=&quot;Cambria Math&quot;/&gt;&lt;wx:font wx:val=&quot;Cambria Math&quot;/&gt;&lt;w:i/&gt;&lt;w:sz w:val=&quot;24&quot;/&gt;&lt;w:sz-cs w:val=&quot;24&quot;/&gt;&lt;w:lang w:val=&quot;PT-BR&quot;/&gt;&lt;/w:rPr&gt;&lt;m:t&gt;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5"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é derivado do equilíbrio do balanço de pagamentos:</w:t>
      </w:r>
    </w:p>
    <w:p w:rsidR="00553639" w:rsidRDefault="00553639" w:rsidP="00E53F77">
      <w:pPr>
        <w:tabs>
          <w:tab w:val="left" w:pos="720"/>
        </w:tabs>
        <w:spacing w:after="0" w:line="240" w:lineRule="auto"/>
        <w:ind w:firstLine="720"/>
        <w:jc w:val="both"/>
        <w:rPr>
          <w:rFonts w:ascii="Times New Roman" w:hAnsi="Times New Roman"/>
          <w:sz w:val="24"/>
          <w:szCs w:val="24"/>
          <w:lang w:val="pt-BR"/>
        </w:rPr>
      </w:pPr>
    </w:p>
    <w:tbl>
      <w:tblPr>
        <w:tblW w:w="0" w:type="auto"/>
        <w:tblLook w:val="00A0"/>
      </w:tblPr>
      <w:tblGrid>
        <w:gridCol w:w="8928"/>
        <w:gridCol w:w="648"/>
      </w:tblGrid>
      <w:tr w:rsidR="00553639" w:rsidTr="00B16390">
        <w:tc>
          <w:tcPr>
            <w:tcW w:w="8928" w:type="dxa"/>
          </w:tcPr>
          <w:p w:rsidR="00553639" w:rsidRPr="00B16390" w:rsidRDefault="00553639" w:rsidP="00B16390">
            <w:pPr>
              <w:tabs>
                <w:tab w:val="left" w:pos="720"/>
              </w:tabs>
              <w:spacing w:after="0" w:line="240" w:lineRule="auto"/>
              <w:ind w:firstLine="720"/>
              <w:jc w:val="center"/>
              <w:rPr>
                <w:sz w:val="24"/>
                <w:szCs w:val="24"/>
                <w:lang w:val="pt-BR"/>
              </w:rPr>
            </w:pPr>
            <w:r w:rsidRPr="00B16390">
              <w:rPr>
                <w:sz w:val="24"/>
                <w:szCs w:val="24"/>
                <w:lang w:val="pt-BR"/>
              </w:rPr>
              <w:fldChar w:fldCharType="begin"/>
            </w:r>
            <w:r w:rsidRPr="00B16390">
              <w:rPr>
                <w:sz w:val="24"/>
                <w:szCs w:val="24"/>
                <w:lang w:val="pt-BR"/>
              </w:rPr>
              <w:instrText xml:space="preserve"> QUOTE </w:instrText>
            </w:r>
            <w:r w:rsidRPr="00B16390">
              <w:pict>
                <v:shape id="_x0000_i1072" type="#_x0000_t75" style="width:106.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55F53&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C55F53&quot;&gt;&lt;m:oMathPara&gt;&lt;m:oMath&gt;&lt;m:r&gt;&lt;w:rPr&gt;&lt;w:rFonts w:ascii=&quot;Cambria Math&quot; w:h-ansi=&quot;Cambria Math&quot;/&gt;&lt;wx:font wx:val=&quot;Cambria Math&quot;/&gt;&lt;w:i/&gt;&lt;w:sz w:val=&quot;24&quot;/&gt;&lt;w:sz-cs w:val=&quot;24&quot;/&gt;&lt;w:lang w:val=&quot;PT-BR&quot;/&gt;&lt;/w:rPr&gt;&lt;m:t&gt;Î³&lt;/m:t&gt;&lt;/m:r&gt;&lt;m:sSup&gt;&lt;m:sSupPr&gt;&lt;m:ctrlPr&gt;&lt;w:rPr&gt;&lt;w:rFonts w:ascii=&quot;Cambria Math&quot; w:h-ansi=&quot;Cambria Math&quot;/&gt;&lt;wx:font wx:val=&quot;Cambria Math&quot;/&gt;&lt;w:i/&gt;&lt;w:sz w:val=&quot;24&quot;/&gt;&lt;w:sz-cs w:val=&quot;24&quot;/&gt;&lt;w:lang w:val=&quot;PT-BR&quot;/&gt;&lt;/w:rPr&gt;&lt;/m:ctrlPr&gt;&lt;/m:sSupPr&gt;&lt;m:e&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e&gt;&lt;m:sup&gt;&lt;m:r&gt;&lt;w:rPr&gt;&lt;w:rFonts w:ascii=&quot;Cambria Math&quot; w:h-ansi=&quot;Cambria Math&quot;/&gt;&lt;wx:font wx:val=&quot;Cambria Math&quot;/&gt;&lt;w:i/&gt;&lt;w:sz w:val=&quot;24&quot;/&gt;&lt;w:sz-cs w:val=&quot;24&quot;/&gt;&lt;w:lang w:val=&quot;PT-BR&quot;/&gt;&lt;/w:rPr&gt;&lt;m:t&gt;T&lt;/m:t&gt;&lt;/m:r&gt;&lt;/m:sup&gt;&lt;/m:sSup&gt;&lt;m:r&gt;&lt;w:rPr&gt;&lt;w:rFonts w:ascii=&quot;Cambria Math&quot; w:h-ansi=&quot;Cambria Math&quot;/&gt;&lt;wx:font wx:val=&quot;Cambria Math&quot;/&gt;&lt;w:i/&gt;&lt;w:sz w:val=&quot;24&quot;/&gt;&lt;w:sz-cs w:val=&quot;24&quot;/&gt;&lt;w:lang w:val=&quot;PT-BR&quot;/&gt;&lt;/w:rPr&gt;&lt;m:t&gt;+&lt;/m:t&gt;&lt;/m:r&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i&lt;/m:t&gt;&lt;/m:r&gt;&lt;/m:e&gt;&lt;m:sup&gt;&lt;m:r&gt;&lt;w:rPr&gt;&lt;w:rFonts w:ascii=&quot;Cambria Math&quot; w:h-ansi=&quot;Cambria Math&quot;/&gt;&lt;wx:font wx:val=&quot;Cambria Math&quot;/&gt;&lt;w:i/&gt;&lt;w:sz w:val=&quot;24&quot;/&gt;&lt;w:sz-cs w:val=&quot;24&quot;/&gt;&lt;w:lang w:val=&quot;PT-BR&quot;/&gt;&lt;/w:rPr&gt;&lt;m:t&gt;*&lt;/m:t&gt;&lt;/m:r&gt;&lt;/m:sup&gt;&lt;/m:sSup&gt;&lt;m:r&gt;&lt;w:rPr&gt;&lt;w:rFonts w:ascii=&quot;Cambria Math&quot; w:h-ansi=&quot;Cambria Math&quot;/&gt;&lt;wx:font wx:val=&quot;Cambria Math&quot;/&gt;&lt;w:i/&gt;&lt;w:sz w:val=&quot;24&quot;/&gt;&lt;w:sz-cs w:val=&quot;24&quot;/&gt;&lt;w:lang w:val=&quot;PT-BR&quot;/&gt;&lt;/w:rPr&gt;&lt;m:t&gt;f=Î·(F-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Pr="00B16390">
              <w:rPr>
                <w:sz w:val="24"/>
                <w:szCs w:val="24"/>
                <w:lang w:val="pt-BR"/>
              </w:rPr>
              <w:instrText xml:space="preserve"> </w:instrText>
            </w:r>
            <w:r w:rsidRPr="00B16390">
              <w:rPr>
                <w:sz w:val="24"/>
                <w:szCs w:val="24"/>
                <w:lang w:val="pt-BR"/>
              </w:rPr>
              <w:fldChar w:fldCharType="separate"/>
            </w:r>
            <w:r w:rsidRPr="00B16390">
              <w:pict>
                <v:shape id="_x0000_i1073" type="#_x0000_t75" style="width:106.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55F53&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C55F53&quot;&gt;&lt;m:oMathPara&gt;&lt;m:oMath&gt;&lt;m:r&gt;&lt;w:rPr&gt;&lt;w:rFonts w:ascii=&quot;Cambria Math&quot; w:h-ansi=&quot;Cambria Math&quot;/&gt;&lt;wx:font wx:val=&quot;Cambria Math&quot;/&gt;&lt;w:i/&gt;&lt;w:sz w:val=&quot;24&quot;/&gt;&lt;w:sz-cs w:val=&quot;24&quot;/&gt;&lt;w:lang w:val=&quot;PT-BR&quot;/&gt;&lt;/w:rPr&gt;&lt;m:t&gt;Î³&lt;/m:t&gt;&lt;/m:r&gt;&lt;m:sSup&gt;&lt;m:sSupPr&gt;&lt;m:ctrlPr&gt;&lt;w:rPr&gt;&lt;w:rFonts w:ascii=&quot;Cambria Math&quot; w:h-ansi=&quot;Cambria Math&quot;/&gt;&lt;wx:font wx:val=&quot;Cambria Math&quot;/&gt;&lt;w:i/&gt;&lt;w:sz w:val=&quot;24&quot;/&gt;&lt;w:sz-cs w:val=&quot;24&quot;/&gt;&lt;w:lang w:val=&quot;PT-BR&quot;/&gt;&lt;/w:rPr&gt;&lt;/m:ctrlPr&gt;&lt;/m:sSupPr&gt;&lt;m:e&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e&gt;&lt;m:sup&gt;&lt;m:r&gt;&lt;w:rPr&gt;&lt;w:rFonts w:ascii=&quot;Cambria Math&quot; w:h-ansi=&quot;Cambria Math&quot;/&gt;&lt;wx:font wx:val=&quot;Cambria Math&quot;/&gt;&lt;w:i/&gt;&lt;w:sz w:val=&quot;24&quot;/&gt;&lt;w:sz-cs w:val=&quot;24&quot;/&gt;&lt;w:lang w:val=&quot;PT-BR&quot;/&gt;&lt;/w:rPr&gt;&lt;m:t&gt;T&lt;/m:t&gt;&lt;/m:r&gt;&lt;/m:sup&gt;&lt;/m:sSup&gt;&lt;m:r&gt;&lt;w:rPr&gt;&lt;w:rFonts w:ascii=&quot;Cambria Math&quot; w:h-ansi=&quot;Cambria Math&quot;/&gt;&lt;wx:font wx:val=&quot;Cambria Math&quot;/&gt;&lt;w:i/&gt;&lt;w:sz w:val=&quot;24&quot;/&gt;&lt;w:sz-cs w:val=&quot;24&quot;/&gt;&lt;w:lang w:val=&quot;PT-BR&quot;/&gt;&lt;/w:rPr&gt;&lt;m:t&gt;+&lt;/m:t&gt;&lt;/m:r&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i&lt;/m:t&gt;&lt;/m:r&gt;&lt;/m:e&gt;&lt;m:sup&gt;&lt;m:r&gt;&lt;w:rPr&gt;&lt;w:rFonts w:ascii=&quot;Cambria Math&quot; w:h-ansi=&quot;Cambria Math&quot;/&gt;&lt;wx:font wx:val=&quot;Cambria Math&quot;/&gt;&lt;w:i/&gt;&lt;w:sz w:val=&quot;24&quot;/&gt;&lt;w:sz-cs w:val=&quot;24&quot;/&gt;&lt;w:lang w:val=&quot;PT-BR&quot;/&gt;&lt;/w:rPr&gt;&lt;m:t&gt;*&lt;/m:t&gt;&lt;/m:r&gt;&lt;/m:sup&gt;&lt;/m:sSup&gt;&lt;m:r&gt;&lt;w:rPr&gt;&lt;w:rFonts w:ascii=&quot;Cambria Math&quot; w:h-ansi=&quot;Cambria Math&quot;/&gt;&lt;wx:font wx:val=&quot;Cambria Math&quot;/&gt;&lt;w:i/&gt;&lt;w:sz w:val=&quot;24&quot;/&gt;&lt;w:sz-cs w:val=&quot;24&quot;/&gt;&lt;w:lang w:val=&quot;PT-BR&quot;/&gt;&lt;/w:rPr&gt;&lt;m:t&gt;f=Î·(F-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r w:rsidRPr="00B16390">
              <w:rPr>
                <w:sz w:val="24"/>
                <w:szCs w:val="24"/>
                <w:lang w:val="pt-BR"/>
              </w:rPr>
              <w:fldChar w:fldCharType="end"/>
            </w:r>
            <w:r w:rsidRPr="00B16390">
              <w:rPr>
                <w:sz w:val="24"/>
                <w:szCs w:val="24"/>
                <w:lang w:val="pt-BR"/>
              </w:rPr>
              <w:t xml:space="preserve">, </w:t>
            </w:r>
            <w:r w:rsidRPr="00B16390">
              <w:rPr>
                <w:sz w:val="24"/>
                <w:szCs w:val="24"/>
                <w:lang w:val="pt-BR"/>
              </w:rPr>
              <w:fldChar w:fldCharType="begin"/>
            </w:r>
            <w:r w:rsidRPr="00B16390">
              <w:rPr>
                <w:sz w:val="24"/>
                <w:szCs w:val="24"/>
                <w:lang w:val="pt-BR"/>
              </w:rPr>
              <w:instrText xml:space="preserve"> QUOTE </w:instrText>
            </w:r>
            <w:r w:rsidRPr="00B16390">
              <w:pict>
                <v:shape id="_x0000_i1074"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B5D73&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B5D73&quot;&gt;&lt;m:oMathPara&gt;&lt;m:oMath&gt;&lt;m:r&gt;&lt;w:rPr&gt;&lt;w:rFonts w:ascii=&quot;Cambria Math&quot; w:fareast=&quot;Times New Roman&quot; w:h-ansi=&quot;Cambria Math&quot;/&gt;&lt;wx:font wx:val=&quot;Cambria Math&quot;/&gt;&lt;w:i/&gt;&lt;w:sz w:val=&quot;24&quot;/&gt;&lt;w:sz-cs w:val=&quot;24&quot;/&gt;&lt;w:lang w:val=&quot;PT-BR&quot;/&gt;&lt;/w:rPr&gt;&lt;m:t&gt;Î³&lt;/m:t&gt;&lt;/m:r&gt;&lt;m:r&gt;&lt;w:rPr&gt;&lt;w:rFonts w:ascii=&quot;Cambria Math&quot; w:fareast=&quot;Times New Roman&quot; w:h-ansi=&quot;Cambria Math&quot;/&gt;&lt;wx:font wx:val=&quot;Cambria Math&quot;/&gt;&lt;w:i/&gt;&lt;w:sz w:val=&quot;24&quot;/&gt;&lt;w:sz-cs w:val=&quot;24&quot;/&gt;&lt;w:lang w:val=&quot;PT-BR&quot;/&gt;&lt;/w:rPr&gt;&lt;m:t&gt;,Î·&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7" o:title="" chromakey="white"/>
                </v:shape>
              </w:pict>
            </w:r>
            <w:r w:rsidRPr="00B16390">
              <w:rPr>
                <w:sz w:val="24"/>
                <w:szCs w:val="24"/>
                <w:lang w:val="pt-BR"/>
              </w:rPr>
              <w:instrText xml:space="preserve"> </w:instrText>
            </w:r>
            <w:r w:rsidRPr="00B16390">
              <w:rPr>
                <w:sz w:val="24"/>
                <w:szCs w:val="24"/>
                <w:lang w:val="pt-BR"/>
              </w:rPr>
              <w:fldChar w:fldCharType="separate"/>
            </w:r>
            <w:r w:rsidRPr="00B16390">
              <w:pict>
                <v:shape id="_x0000_i1075"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B5D73&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DB5D73&quot;&gt;&lt;m:oMathPara&gt;&lt;m:oMath&gt;&lt;m:r&gt;&lt;w:rPr&gt;&lt;w:rFonts w:ascii=&quot;Cambria Math&quot; w:fareast=&quot;Times New Roman&quot; w:h-ansi=&quot;Cambria Math&quot;/&gt;&lt;wx:font wx:val=&quot;Cambria Math&quot;/&gt;&lt;w:i/&gt;&lt;w:sz w:val=&quot;24&quot;/&gt;&lt;w:sz-cs w:val=&quot;24&quot;/&gt;&lt;w:lang w:val=&quot;PT-BR&quot;/&gt;&lt;/w:rPr&gt;&lt;m:t&gt;Î³&lt;/m:t&gt;&lt;/m:r&gt;&lt;m:r&gt;&lt;w:rPr&gt;&lt;w:rFonts w:ascii=&quot;Cambria Math&quot; w:fareast=&quot;Times New Roman&quot; w:h-ansi=&quot;Cambria Math&quot;/&gt;&lt;wx:font wx:val=&quot;Cambria Math&quot;/&gt;&lt;w:i/&gt;&lt;w:sz w:val=&quot;24&quot;/&gt;&lt;w:sz-cs w:val=&quot;24&quot;/&gt;&lt;w:lang w:val=&quot;PT-BR&quot;/&gt;&lt;/w:rPr&gt;&lt;m:t&gt;,Î·&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7" o:title="" chromakey="white"/>
                </v:shape>
              </w:pict>
            </w:r>
            <w:r w:rsidRPr="00B16390">
              <w:rPr>
                <w:sz w:val="24"/>
                <w:szCs w:val="24"/>
                <w:lang w:val="pt-BR"/>
              </w:rPr>
              <w:fldChar w:fldCharType="end"/>
            </w:r>
          </w:p>
          <w:p w:rsidR="00553639" w:rsidRPr="00B16390" w:rsidRDefault="00553639" w:rsidP="00B16390">
            <w:pPr>
              <w:tabs>
                <w:tab w:val="left" w:pos="720"/>
              </w:tabs>
              <w:spacing w:after="0" w:line="240" w:lineRule="auto"/>
              <w:rPr>
                <w:sz w:val="24"/>
                <w:szCs w:val="24"/>
                <w:lang w:val="pt-BR"/>
              </w:rPr>
            </w:pPr>
          </w:p>
        </w:tc>
        <w:tc>
          <w:tcPr>
            <w:tcW w:w="648" w:type="dxa"/>
          </w:tcPr>
          <w:p w:rsidR="00553639" w:rsidRPr="00B16390" w:rsidRDefault="00553639" w:rsidP="00B16390">
            <w:pPr>
              <w:tabs>
                <w:tab w:val="left" w:pos="720"/>
              </w:tabs>
              <w:spacing w:after="0" w:line="240" w:lineRule="auto"/>
              <w:jc w:val="center"/>
              <w:rPr>
                <w:sz w:val="24"/>
                <w:szCs w:val="24"/>
                <w:lang w:val="pt-BR"/>
              </w:rPr>
            </w:pPr>
            <w:r w:rsidRPr="00B16390">
              <w:rPr>
                <w:sz w:val="24"/>
                <w:szCs w:val="24"/>
                <w:lang w:val="pt-BR"/>
              </w:rPr>
              <w:t>(A4)</w:t>
            </w:r>
          </w:p>
        </w:tc>
      </w:tr>
    </w:tbl>
    <w:p w:rsidR="00553639" w:rsidRDefault="00553639" w:rsidP="00E53F77">
      <w:pPr>
        <w:spacing w:after="0" w:line="240" w:lineRule="auto"/>
        <w:rPr>
          <w:rFonts w:ascii="Times New Roman" w:hAnsi="Times New Roman"/>
          <w:sz w:val="24"/>
          <w:szCs w:val="24"/>
          <w:lang w:val="pt-BR"/>
        </w:rPr>
      </w:pPr>
      <w:r>
        <w:rPr>
          <w:rFonts w:ascii="Times New Roman" w:hAnsi="Times New Roman"/>
          <w:sz w:val="24"/>
          <w:szCs w:val="24"/>
          <w:lang w:val="pt-BR"/>
        </w:rPr>
        <w:t xml:space="preserve">Onde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76"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D14A0&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BD14A0&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i&lt;/m:t&gt;&lt;/m:r&gt;&lt;/m:e&gt;&lt;m:sup&gt;&lt;m:r&gt;&lt;w:rPr&gt;&lt;w:rFonts w:ascii=&quot;Cambria Math&quot; w:h-ansi=&quot;Cambria Math&quot;/&gt;&lt;wx:font wx:val=&quot;Cambria Math&quot;/&gt;&lt;w:i/&gt;&lt;w:sz w:val=&quot;24&quot;/&gt;&lt;w:sz-cs w:val=&quot;24&quot;/&gt;&lt;w:lang w:val=&quot;PT-BR&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8"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77"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D14A0&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BD14A0&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i&lt;/m:t&gt;&lt;/m:r&gt;&lt;/m:e&gt;&lt;m:sup&gt;&lt;m:r&gt;&lt;w:rPr&gt;&lt;w:rFonts w:ascii=&quot;Cambria Math&quot; w:h-ansi=&quot;Cambria Math&quot;/&gt;&lt;wx:font wx:val=&quot;Cambria Math&quot;/&gt;&lt;w:i/&gt;&lt;w:sz w:val=&quot;24&quot;/&gt;&lt;w:sz-cs w:val=&quot;24&quot;/&gt;&lt;w:lang w:val=&quot;PT-BR&quot;/&gt;&lt;/w:rPr&gt;&lt;m:t&g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8"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é a taxa de juros internacional, </w:t>
      </w:r>
      <w:r>
        <w:rPr>
          <w:rFonts w:ascii="Times New Roman" w:hAnsi="Times New Roman"/>
          <w:i/>
          <w:sz w:val="24"/>
          <w:szCs w:val="24"/>
          <w:lang w:val="pt-BR"/>
        </w:rPr>
        <w:t>f</w:t>
      </w:r>
      <w:r>
        <w:rPr>
          <w:rFonts w:ascii="Times New Roman" w:hAnsi="Times New Roman"/>
          <w:sz w:val="24"/>
          <w:szCs w:val="24"/>
          <w:lang w:val="pt-BR"/>
        </w:rPr>
        <w:t xml:space="preserve"> é o estoque de ativos estrangeiros líquidos e </w:t>
      </w:r>
      <w:r>
        <w:rPr>
          <w:rFonts w:ascii="Times New Roman" w:hAnsi="Times New Roman"/>
          <w:i/>
          <w:sz w:val="24"/>
          <w:szCs w:val="24"/>
          <w:lang w:val="pt-BR"/>
        </w:rPr>
        <w:t>F</w:t>
      </w:r>
      <w:r>
        <w:rPr>
          <w:rFonts w:ascii="Times New Roman" w:hAnsi="Times New Roman"/>
          <w:sz w:val="24"/>
          <w:szCs w:val="24"/>
          <w:lang w:val="pt-BR"/>
        </w:rPr>
        <w:t xml:space="preserve"> é o nível desejado de posição estrangeira líquida que os investidores, supostamente, ajustam lentamente.</w:t>
      </w:r>
    </w:p>
    <w:p w:rsidR="00553639" w:rsidRDefault="00553639" w:rsidP="00E53F77">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A contribuição interna à taxa de câmbio real de equilíbrio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78"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60A8C&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B60A8C&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e&gt;&lt;m:sup&gt;&lt;m:r&gt;&lt;w:rPr&gt;&lt;w:rFonts w:ascii=&quot;Cambria Math&quot; w:h-ansi=&quot;Cambria Math&quot;/&gt;&lt;wx:font wx:val=&quot;Cambria Math&quot;/&gt;&lt;w:i/&gt;&lt;w:sz w:val=&quot;24&quot;/&gt;&lt;w:sz-cs w:val=&quot;24&quot;/&gt;&lt;w:lang w:val=&quot;PT-BR&quot;/&gt;&lt;/w:rPr&gt;&lt;m:t&gt;N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9"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79"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60A8C&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B60A8C&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e&gt;&lt;m:sup&gt;&lt;m:r&gt;&lt;w:rPr&gt;&lt;w:rFonts w:ascii=&quot;Cambria Math&quot; w:h-ansi=&quot;Cambria Math&quot;/&gt;&lt;wx:font wx:val=&quot;Cambria Math&quot;/&gt;&lt;w:i/&gt;&lt;w:sz w:val=&quot;24&quot;/&gt;&lt;w:sz-cs w:val=&quot;24&quot;/&gt;&lt;w:lang w:val=&quot;PT-BR&quot;/&gt;&lt;/w:rPr&gt;&lt;m:t&gt;NT&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9"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advém do efeito Balassa-Samuelson e pode ser expresso como:</w:t>
      </w:r>
    </w:p>
    <w:tbl>
      <w:tblPr>
        <w:tblW w:w="0" w:type="auto"/>
        <w:tblLook w:val="00A0"/>
      </w:tblPr>
      <w:tblGrid>
        <w:gridCol w:w="8953"/>
        <w:gridCol w:w="623"/>
      </w:tblGrid>
      <w:tr w:rsidR="00553639" w:rsidTr="00B16390">
        <w:tc>
          <w:tcPr>
            <w:tcW w:w="9018" w:type="dxa"/>
          </w:tcPr>
          <w:p w:rsidR="00553639" w:rsidRPr="00B16390" w:rsidRDefault="00553639" w:rsidP="00B16390">
            <w:pPr>
              <w:spacing w:after="0" w:line="240" w:lineRule="auto"/>
              <w:jc w:val="both"/>
              <w:rPr>
                <w:sz w:val="24"/>
                <w:szCs w:val="24"/>
                <w:lang w:val="pt-BR"/>
              </w:rPr>
            </w:pPr>
            <w:r w:rsidRPr="00B16390">
              <w:pict>
                <v:shape id="_x0000_i1080" type="#_x0000_t75" style="width:21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969CF&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E969CF&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e&gt;&lt;m:sup&gt;&lt;m:r&gt;&lt;w:rPr&gt;&lt;w:rFonts w:ascii=&quot;Cambria Math&quot; w:h-ansi=&quot;Cambria Math&quot;/&gt;&lt;wx:font wx:val=&quot;Cambria Math&quot;/&gt;&lt;w:i/&gt;&lt;w:sz w:val=&quot;24&quot;/&gt;&lt;w:sz-cs w:val=&quot;24&quot;/&gt;&lt;w:lang w:val=&quot;PT-BR&quot;/&gt;&lt;/w:rPr&gt;&lt;m:t&gt;NT&lt;/m:t&gt;&lt;/m:r&gt;&lt;/m:sup&gt;&lt;/m:sSup&gt;&lt;m:r&gt;&lt;w:rPr&gt;&lt;w:rFonts w:ascii=&quot;Cambria Math&quot; w:h-ansi=&quot;Cambria Math&quot;/&gt;&lt;wx:font wx:val=&quot;Cambria Math&quot;/&gt;&lt;w:i/&gt;&lt;w:sz w:val=&quot;24&quot;/&gt;&lt;w:sz-cs w:val=&quot;24&quot;/&gt;&lt;w:lang w:val=&quot;PT-BR&quot;/&gt;&lt;/w:rPr&gt;&lt;m:t&gt;=&lt;/m:t&gt;&lt;/m:r&gt;&lt;m:d&gt;&lt;m:dPr&gt;&lt;m:ctrlPr&gt;&lt;w:rPr&gt;&lt;w:rFonts w:ascii=&quot;Cambria Math&quot; w:h-ansi=&quot;Cambria Math&quot;/&gt;&lt;wx:font wx:val=&quot;Cambria Math&quot;/&gt;&lt;w:i/&gt;&lt;w:sz w:val=&quot;24&quot;/&gt;&lt;w:sz-cs w:val=&quot;24&quot;/&gt;&lt;w:lang w:val=&quot;PT-BR&quot;/&gt;&lt;/w:rPr&gt;&lt;/m:ctrlPr&gt;&lt;/m:dPr&gt;&lt;m:e&gt;&lt;m:r&gt;&lt;w:rPr&gt;&lt;w:rFonts w:ascii=&quot;Cambria Math&quot; w:h-ansi=&quot;Cambria Math&quot;/&gt;&lt;wx:font wx:val=&quot;Cambria Math&quot;/&gt;&lt;w:i/&gt;&lt;w:sz w:val=&quot;24&quot;/&gt;&lt;w:sz-cs w:val=&quot;24&quot;/&gt;&lt;w:lang w:val=&quot;PT-BR&quot;/&gt;&lt;/w:rPr&gt;&lt;m:t&gt;1-Î±&lt;/m:t&gt;&lt;/m:r&gt;&lt;/m:e&gt;&lt;/m:d&gt;&lt;m:r&gt;&lt;w:rPr&gt;&lt;w:rFonts w:ascii=&quot;Cambria Math&quot; w:h-ansi=&quot;Cambria Math&quot;/&gt;&lt;wx:font wx:val=&quot;Cambria Math&quot;/&gt;&lt;w:i/&gt;&lt;w:sz w:val=&quot;24&quot;/&gt;&lt;w:sz-cs w:val=&quot;24&quot;/&gt;&lt;w:lang w:val=&quot;PT-BR&quot;/&gt;&lt;/w:rPr&gt;&lt;m:t&gt;[&lt;/m:t&gt;&lt;/m:r&gt;&lt;m:d&gt;&lt;m:dPr&gt;&lt;m:ctrlPr&gt;&lt;w:rPr&gt;&lt;w:rFonts w:ascii=&quot;Cambria Math&quot; w:h-ansi=&quot;Cambria Math&quot;/&gt;&lt;wx:font wx:val=&quot;Cambria Math&quot;/&gt;&lt;w:i/&gt;&lt;w:sz w:val=&quot;24&quot;/&gt;&lt;w:sz-cs w:val=&quot;24&quot;/&gt;&lt;w:lang w:val=&quot;PT-BR&quot;/&gt;&lt;/w:rPr&gt;&lt;/m:ctrlPr&gt;&lt;/m:dPr&gt;&lt;m:e&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T&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sup&gt;&lt;/m:sSup&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NT&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sup&gt;&lt;/m:sSup&gt;&lt;m:ctrlPr&gt;&lt;w:rPr&gt;&lt;w:rFonts w:ascii=&quot;Cambria Math&quot; w:fareast=&quot;Times New Roman&quot; w:h-ansi=&quot;Cambria Math&quot;/&gt;&lt;wx:font wx:val=&quot;Cambria Math&quot;/&gt;&lt;w:i/&gt;&lt;w:sz w:val=&quot;24&quot;/&gt;&lt;w:sz-cs w:val=&quot;24&quot;/&gt;&lt;w:lang w:val=&quot;PT-BR&quot;/&gt;&lt;/w:rPr&gt;&lt;/m:ctrlPr&gt;&lt;/m:e&gt;&lt;/m:d&gt;&lt;m:r&gt;&lt;w:rPr&gt;&lt;w:rFonts w:ascii=&quot;Cambria Math&quot; w:fareast=&quot;Times New Roman&quot; w:h-ansi=&quot;Cambria Math&quot;/&gt;&lt;wx:font wx:val=&quot;Cambria Math&quot;/&gt;&lt;w:i/&gt;&lt;w:sz w:val=&quot;24&quot;/&gt;&lt;w:sz-cs w:val=&quot;24&quot;/&gt;&lt;w:lang w:val=&quot;PT-BR&quot;/&gt;&lt;/w:rPr&gt;&lt;m:t&gt;-&lt;/m:t&gt;&lt;/m:r&gt;&lt;m:d&gt;&lt;m:dPr&gt;&lt;m:ctrlPr&gt;&lt;w:rPr&gt;&lt;w:rFonts w:ascii=&quot;Cambria Math&quot; w:fareast=&quot;Times New Roman&quot; w:h-ansi=&quot;Cambria Math&quot;/&gt;&lt;wx:font wx:val=&quot;Cambria Math&quot;/&gt;&lt;w:i/&gt;&lt;w:sz w:val=&quot;24&quot;/&gt;&lt;w:sz-cs w:val=&quot;24&quot;/&gt;&lt;w:lang w:val=&quot;PT-BR&quot;/&gt;&lt;/w:rPr&gt;&lt;/m:ctrlPr&gt;&lt;/m:dPr&gt;&lt;m:e&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r&gt;&lt;w:rPr&gt;&lt;w:rFonts w:ascii=&quot;Cambria Math&quot; w:fareast=&quot;Times New Roman&quot; w:h-ansi=&quot;Cambria Math&quot;/&gt;&lt;wx:font wx:val=&quot;Cambria Math&quot;/&gt;&lt;w:i/&gt;&lt;w:sz w:val=&quot;24&quot;/&gt;&lt;w:sz-cs w:val=&quot;24&quot;/&gt;&lt;w:lang w:val=&quot;PT-BR&quot;/&gt;&lt;/w:rPr&gt;&lt;m:t&gt;T&lt;/m:t&gt;&lt;/m:r&gt;&lt;/m:sup&gt;&lt;/m:sSup&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r&gt;&lt;w:rPr&gt;&lt;w:rFonts w:ascii=&quot;Cambria Math&quot; w:fareast=&quot;Times New Roman&quot; w:h-ansi=&quot;Cambria Math&quot;/&gt;&lt;wx:font wx:val=&quot;Cambria Math&quot;/&gt;&lt;w:i/&gt;&lt;w:sz w:val=&quot;24&quot;/&gt;&lt;w:sz-cs w:val=&quot;24&quot;/&gt;&lt;w:lang w:val=&quot;PT-BR&quot;/&gt;&lt;/w:rPr&gt;&lt;m:t&gt;NT&lt;/m:t&gt;&lt;/m:r&gt;&lt;/m:sup&gt;&lt;/m:sSup&gt;&lt;/m:e&gt;&lt;/m:d&gt;&lt;m:r&gt;&lt;w:rPr&gt;&lt;w:rFonts w:ascii=&quot;Cambria Math&quot; w:fareast=&quot;Times New Roman&quot; w:h-ansi=&quot;Cambria Math&quot;/&gt;&lt;wx:font wx:val=&quot;Cambria Math&quot;/&gt;&lt;w:i/&gt;&lt;w:sz w:val=&quot;24&quot;/&gt;&lt;w:sz-cs w:val=&quot;24&quot;/&gt;&lt;w:lang w:val=&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p>
        </w:tc>
        <w:tc>
          <w:tcPr>
            <w:tcW w:w="558" w:type="dxa"/>
          </w:tcPr>
          <w:p w:rsidR="00553639" w:rsidRPr="00B16390" w:rsidRDefault="00553639" w:rsidP="00B16390">
            <w:pPr>
              <w:spacing w:after="0" w:line="240" w:lineRule="auto"/>
              <w:jc w:val="both"/>
              <w:rPr>
                <w:sz w:val="24"/>
                <w:szCs w:val="24"/>
                <w:lang w:val="pt-BR"/>
              </w:rPr>
            </w:pPr>
            <w:r w:rsidRPr="00B16390">
              <w:rPr>
                <w:sz w:val="24"/>
                <w:szCs w:val="24"/>
                <w:lang w:val="pt-BR"/>
              </w:rPr>
              <w:t>(A5)</w:t>
            </w:r>
          </w:p>
        </w:tc>
      </w:tr>
    </w:tbl>
    <w:p w:rsidR="00553639" w:rsidRDefault="00553639" w:rsidP="00CB528E">
      <w:pPr>
        <w:tabs>
          <w:tab w:val="left" w:pos="720"/>
        </w:tabs>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Onde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81"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0DC0&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3F0DC0&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y&lt;/m:t&gt;&lt;/m:r&gt;&lt;/m:e&gt;&lt;m:sup&gt;&lt;m:r&gt;&lt;w:rPr&gt;&lt;w:rFonts w:ascii=&quot;Cambria Math&quot; w:h-ansi=&quot;Cambria Math&quot;/&gt;&lt;wx:font wx:val=&quot;Cambria Math&quot;/&gt;&lt;w:i/&gt;&lt;w:sz w:val=&quot;24&quot;/&gt;&lt;w:sz-cs w:val=&quot;24&quot;/&gt;&lt;w:lang w:val=&quot;PT-BR&quot;/&gt;&lt;/w:rPr&gt;&lt;m:t&gt;i&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1"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82"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0DC0&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3F0DC0&quot;&gt;&lt;m:oMathPara&gt;&lt;m:oMath&gt;&lt;m:sSup&gt;&lt;m:sSupPr&gt;&lt;m:ctrlPr&gt;&lt;w:rPr&gt;&lt;w:rFonts w:ascii=&quot;Cambria Math&quot; w:h-ansi=&quot;Cambria Math&quot;/&gt;&lt;wx:font wx:val=&quot;Cambria Math&quot;/&gt;&lt;w:i/&gt;&lt;w:sz w:val=&quot;24&quot;/&gt;&lt;w:sz-cs w:val=&quot;24&quot;/&gt;&lt;w:lang w:val=&quot;PT-BR&quot;/&gt;&lt;/w:rPr&gt;&lt;/m:ctrlPr&gt;&lt;/m:sSupPr&gt;&lt;m:e&gt;&lt;m:r&gt;&lt;w:rPr&gt;&lt;w:rFonts w:ascii=&quot;Cambria Math&quot; w:h-ansi=&quot;Cambria Math&quot;/&gt;&lt;wx:font wx:val=&quot;Cambria Math&quot;/&gt;&lt;w:i/&gt;&lt;w:sz w:val=&quot;24&quot;/&gt;&lt;w:sz-cs w:val=&quot;24&quot;/&gt;&lt;w:lang w:val=&quot;PT-BR&quot;/&gt;&lt;/w:rPr&gt;&lt;m:t&gt;y&lt;/m:t&gt;&lt;/m:r&gt;&lt;/m:e&gt;&lt;m:sup&gt;&lt;m:r&gt;&lt;w:rPr&gt;&lt;w:rFonts w:ascii=&quot;Cambria Math&quot; w:h-ansi=&quot;Cambria Math&quot;/&gt;&lt;wx:font wx:val=&quot;Cambria Math&quot;/&gt;&lt;w:i/&gt;&lt;w:sz w:val=&quot;24&quot;/&gt;&lt;w:sz-cs w:val=&quot;24&quot;/&gt;&lt;w:lang w:val=&quot;PT-BR&quot;/&gt;&lt;/w:rPr&gt;&lt;m:t&gt;i&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1"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está relacionado à produtividade do setor </w:t>
      </w:r>
      <w:r>
        <w:rPr>
          <w:rFonts w:ascii="Times New Roman" w:hAnsi="Times New Roman"/>
          <w:i/>
          <w:sz w:val="24"/>
          <w:szCs w:val="24"/>
          <w:lang w:val="pt-BR"/>
        </w:rPr>
        <w:t>i</w:t>
      </w:r>
      <w:r>
        <w:rPr>
          <w:rFonts w:ascii="Times New Roman" w:hAnsi="Times New Roman"/>
          <w:sz w:val="24"/>
          <w:szCs w:val="24"/>
          <w:lang w:val="pt-BR"/>
        </w:rPr>
        <w:t>, (</w:t>
      </w:r>
      <w:r>
        <w:rPr>
          <w:rFonts w:ascii="Times New Roman" w:hAnsi="Times New Roman"/>
          <w:i/>
          <w:sz w:val="24"/>
          <w:szCs w:val="24"/>
          <w:lang w:val="pt-BR"/>
        </w:rPr>
        <w:t xml:space="preserve">i </w:t>
      </w:r>
      <w:r>
        <w:rPr>
          <w:rFonts w:ascii="Times New Roman" w:hAnsi="Times New Roman"/>
          <w:sz w:val="24"/>
          <w:szCs w:val="24"/>
          <w:lang w:val="pt-BR"/>
        </w:rPr>
        <w:t xml:space="preserve">= </w:t>
      </w:r>
      <w:r w:rsidRPr="00877717">
        <w:rPr>
          <w:rFonts w:ascii="Times New Roman" w:hAnsi="Times New Roman"/>
          <w:i/>
          <w:sz w:val="24"/>
          <w:szCs w:val="24"/>
          <w:lang w:val="pt-BR"/>
        </w:rPr>
        <w:t>NT, T</w:t>
      </w:r>
      <w:r>
        <w:rPr>
          <w:rFonts w:ascii="Times New Roman" w:hAnsi="Times New Roman"/>
          <w:sz w:val="24"/>
          <w:szCs w:val="24"/>
          <w:lang w:val="pt-BR"/>
        </w:rPr>
        <w:t>). De (A3), (A4) e (A5), nós temos a taxa de câmbio real de equilíbrio:</w:t>
      </w:r>
    </w:p>
    <w:tbl>
      <w:tblPr>
        <w:tblW w:w="9593" w:type="dxa"/>
        <w:tblLook w:val="00A0"/>
      </w:tblPr>
      <w:tblGrid>
        <w:gridCol w:w="8922"/>
        <w:gridCol w:w="671"/>
      </w:tblGrid>
      <w:tr w:rsidR="00553639" w:rsidTr="00B16390">
        <w:trPr>
          <w:trHeight w:val="547"/>
        </w:trPr>
        <w:tc>
          <w:tcPr>
            <w:tcW w:w="8922" w:type="dxa"/>
          </w:tcPr>
          <w:p w:rsidR="00553639" w:rsidRPr="00B16390" w:rsidRDefault="00553639" w:rsidP="00B16390">
            <w:pPr>
              <w:tabs>
                <w:tab w:val="left" w:pos="720"/>
              </w:tabs>
              <w:spacing w:after="0" w:line="240" w:lineRule="auto"/>
              <w:jc w:val="center"/>
              <w:rPr>
                <w:sz w:val="24"/>
                <w:szCs w:val="24"/>
                <w:lang w:val="pt-BR"/>
              </w:rPr>
            </w:pPr>
            <w:r w:rsidRPr="00B16390">
              <w:rPr>
                <w:sz w:val="24"/>
                <w:szCs w:val="24"/>
                <w:lang w:val="pt-BR"/>
              </w:rPr>
              <w:fldChar w:fldCharType="begin"/>
            </w:r>
            <w:r w:rsidRPr="00B16390">
              <w:rPr>
                <w:sz w:val="24"/>
                <w:szCs w:val="24"/>
                <w:lang w:val="pt-BR"/>
              </w:rPr>
              <w:instrText xml:space="preserve"> QUOTE </w:instrText>
            </w:r>
            <w:r w:rsidRPr="00B16390">
              <w:pict>
                <v:shape id="_x0000_i1083" type="#_x0000_t75" style="width:28.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53475&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353475&quot;&gt;&lt;m:oMathPara&gt;&lt;m:oMath&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r&gt;&lt;m:rPr&gt;&lt;m:sty m:val=&quot;p&quot;/&gt;&lt;/m:rPr&gt;&lt;w:rPr&gt;&lt;w:rFonts w:ascii=&quot;Cambria Math&quot; w:fareast=&quot;Times New Roman&quot;/&gt;&lt;wx:font wx:val=&quot;Cambria Math&quot;/&gt;&lt;w:sz w:val=&quot;24&quot;/&gt;&lt;w:sz-cs w:val=&quot;24&quot;/&gt;&lt;w:lang w:val=&quot;PT-BR&quot;/&gt;&lt;/w:rPr&gt;&lt;m:t&gt;=&lt;/m:t&gt;&lt;/m:r&gt;&lt;m:f&gt;&lt;m:fPr&gt;&lt;m:ctrlPr&gt;&lt;w:rPr&gt;&lt;w:rFonts w:ascii=&quot;Cambria Math&quot; w:fareast=&quot;Times New Roman&quot; w:h-ansi=&quot;Cambria Math&quot;/&gt;&lt;wx:font wx:val=&quot;Cambria Math&quot;/&gt;&lt;w:sz w:val=&quot;24&quot;/&gt;&lt;w:sz-cs w:val=&quot;24&quot;/&gt;&lt;w:lang w:val=&quot;PT-BR&quot;/&gt;&lt;/w:rPr&gt;&lt;/m:ctrlPr&gt;&lt;/m:fPr&gt;&lt;m:num&gt;&lt;m:r&gt;&lt;m:rPr&gt;&lt;m:sty m:val=&quot;p&quot;/&gt;&lt;/m:rPr&gt;&lt;w:rPr&gt;&lt;w:rFonts w:ascii=&quot;Cambria Math&quot; w:fareast=&quot;Times New Roman&quot;/&gt;&lt;wx:font wx:val=&quot;Cambria Math&quot;/&gt;&lt;w:sz w:val=&quot;24&quot;/&gt;&lt;w:sz-cs w:val=&quot;24&quot;/&gt;&lt;w:lang w:val=&quot;PT-BR&quot;/&gt;&lt;/w:rPr&gt;&lt;m:t&gt;1&lt;/m:t&gt;&lt;/m:r&gt;&lt;/m:num&gt;&lt;m:den&gt;&lt;m:r&gt;&lt;m:rPr&gt;&lt;m:sty m:val=&quot;p&quot;/&gt;&lt;/m:rPr&gt;&lt;w:rPr&gt;&lt;w:rFonts w:ascii=&quot;Cambria Math&quot; w:fareast=&quot;Times New Roman&quot; w:h-ansi=&quot;Cambria Math&quot;/&gt;&lt;wx:font wx:val=&quot;Cambria Math&quot;/&gt;&lt;w:sz w:val=&quot;24&quot;/&gt;&lt;w:sz-cs w:val=&quot;24&quot;/&gt;&lt;w:lang w:val=&quot;PT-BR&quot;/&gt;&lt;/w:rPr&gt;&lt;m:t&gt;Î³&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2" o:title="" chromakey="white"/>
                </v:shape>
              </w:pict>
            </w:r>
            <w:r w:rsidRPr="00B16390">
              <w:rPr>
                <w:sz w:val="24"/>
                <w:szCs w:val="24"/>
                <w:lang w:val="pt-BR"/>
              </w:rPr>
              <w:instrText xml:space="preserve"> </w:instrText>
            </w:r>
            <w:r w:rsidRPr="00B16390">
              <w:rPr>
                <w:sz w:val="24"/>
                <w:szCs w:val="24"/>
                <w:lang w:val="pt-BR"/>
              </w:rPr>
              <w:fldChar w:fldCharType="separate"/>
            </w:r>
            <w:r w:rsidRPr="00B16390">
              <w:pict>
                <v:shape id="_x0000_i1084" type="#_x0000_t75" style="width:28.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53475&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353475&quot;&gt;&lt;m:oMathPara&gt;&lt;m:oMath&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r&gt;&lt;m:rPr&gt;&lt;m:sty m:val=&quot;p&quot;/&gt;&lt;/m:rPr&gt;&lt;w:rPr&gt;&lt;w:rFonts w:ascii=&quot;Cambria Math&quot; w:fareast=&quot;Times New Roman&quot;/&gt;&lt;wx:font wx:val=&quot;Cambria Math&quot;/&gt;&lt;w:sz w:val=&quot;24&quot;/&gt;&lt;w:sz-cs w:val=&quot;24&quot;/&gt;&lt;w:lang w:val=&quot;PT-BR&quot;/&gt;&lt;/w:rPr&gt;&lt;m:t&gt;=&lt;/m:t&gt;&lt;/m:r&gt;&lt;m:f&gt;&lt;m:fPr&gt;&lt;m:ctrlPr&gt;&lt;w:rPr&gt;&lt;w:rFonts w:ascii=&quot;Cambria Math&quot; w:fareast=&quot;Times New Roman&quot; w:h-ansi=&quot;Cambria Math&quot;/&gt;&lt;wx:font wx:val=&quot;Cambria Math&quot;/&gt;&lt;w:sz w:val=&quot;24&quot;/&gt;&lt;w:sz-cs w:val=&quot;24&quot;/&gt;&lt;w:lang w:val=&quot;PT-BR&quot;/&gt;&lt;/w:rPr&gt;&lt;/m:ctrlPr&gt;&lt;/m:fPr&gt;&lt;m:num&gt;&lt;m:r&gt;&lt;m:rPr&gt;&lt;m:sty m:val=&quot;p&quot;/&gt;&lt;/m:rPr&gt;&lt;w:rPr&gt;&lt;w:rFonts w:ascii=&quot;Cambria Math&quot; w:fareast=&quot;Times New Roman&quot;/&gt;&lt;wx:font wx:val=&quot;Cambria Math&quot;/&gt;&lt;w:sz w:val=&quot;24&quot;/&gt;&lt;w:sz-cs w:val=&quot;24&quot;/&gt;&lt;w:lang w:val=&quot;PT-BR&quot;/&gt;&lt;/w:rPr&gt;&lt;m:t&gt;1&lt;/m:t&gt;&lt;/m:r&gt;&lt;/m:num&gt;&lt;m:den&gt;&lt;m:r&gt;&lt;m:rPr&gt;&lt;m:sty m:val=&quot;p&quot;/&gt;&lt;/m:rPr&gt;&lt;w:rPr&gt;&lt;w:rFonts w:ascii=&quot;Cambria Math&quot; w:fareast=&quot;Times New Roman&quot; w:h-ansi=&quot;Cambria Math&quot;/&gt;&lt;wx:font wx:val=&quot;Cambria Math&quot;/&gt;&lt;w:sz w:val=&quot;24&quot;/&gt;&lt;w:sz-cs w:val=&quot;24&quot;/&gt;&lt;w:lang w:val=&quot;PT-BR&quot;/&gt;&lt;/w:rPr&gt;&lt;m:t&gt;Î³&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2" o:title="" chromakey="white"/>
                </v:shape>
              </w:pict>
            </w:r>
            <w:r w:rsidRPr="00B16390">
              <w:rPr>
                <w:sz w:val="24"/>
                <w:szCs w:val="24"/>
                <w:lang w:val="pt-BR"/>
              </w:rPr>
              <w:fldChar w:fldCharType="end"/>
            </w:r>
            <w:r w:rsidRPr="00B16390">
              <w:rPr>
                <w:sz w:val="24"/>
                <w:szCs w:val="24"/>
                <w:lang w:val="pt-BR"/>
              </w:rPr>
              <w:t>[</w:t>
            </w:r>
            <w:r w:rsidRPr="00B16390">
              <w:rPr>
                <w:sz w:val="24"/>
                <w:szCs w:val="24"/>
                <w:lang w:val="pt-BR"/>
              </w:rPr>
              <w:fldChar w:fldCharType="begin"/>
            </w:r>
            <w:r w:rsidRPr="00B16390">
              <w:rPr>
                <w:sz w:val="24"/>
                <w:szCs w:val="24"/>
                <w:lang w:val="pt-BR"/>
              </w:rPr>
              <w:instrText xml:space="preserve"> QUOTE </w:instrText>
            </w:r>
            <w:r w:rsidRPr="00B16390">
              <w:pict>
                <v:shape id="_x0000_i1085" type="#_x0000_t75" style="width:386.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662A&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0C662A&quot;&gt;&lt;m:oMathPara&gt;&lt;m:oMath&gt;&lt;m:r&gt;&lt;w:rPr&gt;&lt;w:rFonts w:ascii=&quot;Cambria Math&quot; w:fareast=&quot;Times New Roman&quot; w:h-ansi=&quot;Cambria Math&quot;/&gt;&lt;wx:font wx:val=&quot;Cambria Math&quot;/&gt;&lt;w:i/&gt;&lt;w:sz w:val=&quot;24&quot;/&gt;&lt;w:sz-cs w:val=&quot;24&quot;/&gt;&lt;w:lang w:val=&quot;PT-BR&quot;/&gt;&lt;/w:rPr&gt;&lt;m:t&gt;Î·F&lt;/m:t&gt;&lt;/m:r&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i&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r&gt;&lt;w:rPr&gt;&lt;w:rFonts w:ascii=&quot;Cambria Math&quot; w:fareast=&quot;Times New Roman&quot; w:h-ansi=&quot;Cambria Math&quot;/&gt;&lt;wx:font wx:val=&quot;Cambria Math&quot;/&gt;&lt;w:i/&gt;&lt;w:sz w:val=&quot;24&quot;/&gt;&lt;w:sz-cs w:val=&quot;24&quot;/&gt;&lt;w:lang w:val=&quot;PT-BR&quot;/&gt;&lt;/w:rPr&gt;&lt;m:t&gt;+Î·)f]+&lt;/m:t&gt;&lt;/m:r&gt;&lt;m:d&gt;&lt;m:dPr&gt;&lt;m:ctrlPr&gt;&lt;w:rPr&gt;&lt;w:rFonts w:ascii=&quot;Cambria Math&quot; w:fareast=&quot;Times New Roman&quot; w:h-ansi=&quot;Cambria Math&quot;/&gt;&lt;wx:font wx:val=&quot;Cambria Math&quot;/&gt;&lt;w:i/&gt;&lt;w:sz w:val=&quot;24&quot;/&gt;&lt;w:sz-cs w:val=&quot;24&quot;/&gt;&lt;w:lang w:val=&quot;PT-BR&quot;/&gt;&lt;/w:rPr&gt;&lt;/m:ctrlPr&gt;&lt;/m:dPr&gt;&lt;m:e&gt;&lt;m:r&gt;&lt;w:rPr&gt;&lt;w:rFonts w:ascii=&quot;Cambria Math&quot; w:fareast=&quot;Times New Roman&quot; w:h-ansi=&quot;Cambria Math&quot;/&gt;&lt;wx:font wx:val=&quot;Cambria Math&quot;/&gt;&lt;w:i/&gt;&lt;w:sz w:val=&quot;24&quot;/&gt;&lt;w:sz-cs w:val=&quot;24&quot;/&gt;&lt;w:lang w:val=&quot;PT-BR&quot;/&gt;&lt;/w:rPr&gt;&lt;m:t&gt;1-Î±&lt;/m:t&gt;&lt;/m:r&gt;&lt;/m:e&gt;&lt;/m:d&gt;&lt;m:r&gt;&lt;w:rPr&gt;&lt;w:rFonts w:ascii=&quot;Cambria Math&quot; w:fareast=&quot;Times New Roman&quot; w:h-ansi=&quot;Cambria Math&quot;/&gt;&lt;wx:font wx:val=&quot;Cambria Math&quot;/&gt;&lt;w:i/&gt;&lt;w:sz w:val=&quot;24&quot;/&gt;&lt;w:sz-cs w:val=&quot;24&quot;/&gt;&lt;w:lang w:val=&quot;PT-BR&quot;/&gt;&lt;/w:rPr&gt;&lt;m:t&gt;[&lt;/m:t&gt;&lt;/m:r&gt;&lt;m:d&gt;&lt;m:dPr&gt;&lt;m:ctrlPr&gt;&lt;w:rPr&gt;&lt;w:rFonts w:ascii=&quot;Cambria Math&quot; w:h-ansi=&quot;Cambria Math&quot;/&gt;&lt;wx:font wx:val=&quot;Cambria Math&quot;/&gt;&lt;w:i/&gt;&lt;w:sz w:val=&quot;24&quot;/&gt;&lt;w:sz-cs w:val=&quot;24&quot;/&gt;&lt;w:lang w:val=&quot;PT-BR&quot;/&gt;&lt;/w:rPr&gt;&lt;/m:ctrlPr&gt;&lt;/m:dPr&gt;&lt;m:e&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T&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sup&gt;&lt;/m:sSup&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NT&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sup&gt;&lt;/m:sSup&gt;&lt;m:ctrlPr&gt;&lt;w:rPr&gt;&lt;w:rFonts w:ascii=&quot;Cambria Math&quot; w:fareast=&quot;Times New Roman&quot; w:h-ansi=&quot;Cambria Math&quot;/&gt;&lt;wx:font wx:val=&quot;Cambria Math&quot;/&gt;&lt;w:i/&gt;&lt;w:sz w:val=&quot;24&quot;/&gt;&lt;w:sz-cs w:val=&quot;24&quot;/&gt;&lt;w:lang w:val=&quot;PT-BR&quot;/&gt;&lt;/w:rPr&gt;&lt;/m:ctrlPr&gt;&lt;/m:e&gt;&lt;/m:d&gt;&lt;m:r&gt;&lt;w:rPr&gt;&lt;w:rFonts w:ascii=&quot;Cambria Math&quot; w:fareast=&quot;Times New Roman&quot; w:h-ansi=&quot;Cambria Math&quot;/&gt;&lt;wx:font wx:val=&quot;Cambria Math&quot;/&gt;&lt;w:i/&gt;&lt;w:sz w:val=&quot;24&quot;/&gt;&lt;w:sz-cs w:val=&quot;24&quot;/&gt;&lt;w:lang w:val=&quot;PT-BR&quot;/&gt;&lt;/w:rPr&gt;&lt;m:t&gt;-&lt;/m:t&gt;&lt;/m:r&gt;&lt;m:d&gt;&lt;m:dPr&gt;&lt;m:ctrlPr&gt;&lt;w:rPr&gt;&lt;w:rFonts w:ascii=&quot;Cambria Math&quot; w:fareast=&quot;Times New Roman&quot; w:h-ansi=&quot;Cambria Math&quot;/&gt;&lt;wx:font wx:val=&quot;Cambria Math&quot;/&gt;&lt;w:i/&gt;&lt;w:sz w:val=&quot;24&quot;/&gt;&lt;w:sz-cs w:val=&quot;24&quot;/&gt;&lt;w:lang w:val=&quot;PT-BR&quot;/&gt;&lt;/w:rPr&gt;&lt;/m:ctrlPr&gt;&lt;/m:dPr&gt;&lt;m:e&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r&gt;&lt;w:rPr&gt;&lt;w:rFonts w:ascii=&quot;Cambria Math&quot; w:fareast=&quot;Times New Roman&quot; w:h-ansi=&quot;Cambria Math&quot;/&gt;&lt;wx:font wx:val=&quot;Cambria Math&quot;/&gt;&lt;w:i/&gt;&lt;w:sz w:val=&quot;24&quot;/&gt;&lt;w:sz-cs w:val=&quot;24&quot;/&gt;&lt;w:lang w:val=&quot;PT-BR&quot;/&gt;&lt;/w:rPr&gt;&lt;m:t&gt;T&lt;/m:t&gt;&lt;/m:r&gt;&lt;/m:sup&gt;&lt;/m:sSup&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r&gt;&lt;w:rPr&gt;&lt;w:rFonts w:ascii=&quot;Cambria Math&quot; w:fareast=&quot;Times New Roman&quot; w:h-ansi=&quot;Cambria Math&quot;/&gt;&lt;wx:font wx:val=&quot;Cambria Math&quot;/&gt;&lt;w:i/&gt;&lt;w:sz w:val=&quot;24&quot;/&gt;&lt;w:sz-cs w:val=&quot;24&quot;/&gt;&lt;w:lang w:val=&quot;PT-BR&quot;/&gt;&lt;/w:rPr&gt;&lt;m:t&gt;NT&lt;/m:t&gt;&lt;/m:r&gt;&lt;/m:sup&gt;&lt;/m:sSup&gt;&lt;/m:e&gt;&lt;/m:d&gt;&lt;m:r&gt;&lt;w:rPr&gt;&lt;w:rFonts w:ascii=&quot;Cambria Math&quot; w:fareast=&quot;Times New Roman&quot; w:h-ansi=&quot;Cambria Math&quot;/&gt;&lt;wx:font wx:val=&quot;Cambria Math&quot;/&gt;&lt;w:i/&gt;&lt;w:sz w:val=&quot;24&quot;/&gt;&lt;w:sz-cs w:val=&quot;24&quot;/&gt;&lt;w:lang w:val=&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Pr="00B16390">
              <w:rPr>
                <w:sz w:val="24"/>
                <w:szCs w:val="24"/>
                <w:lang w:val="pt-BR"/>
              </w:rPr>
              <w:instrText xml:space="preserve"> </w:instrText>
            </w:r>
            <w:r w:rsidRPr="00B16390">
              <w:rPr>
                <w:sz w:val="24"/>
                <w:szCs w:val="24"/>
                <w:lang w:val="pt-BR"/>
              </w:rPr>
              <w:fldChar w:fldCharType="separate"/>
            </w:r>
            <w:r w:rsidRPr="00B16390">
              <w:pict>
                <v:shape id="_x0000_i1086" type="#_x0000_t75" style="width:386.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662A&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0C662A&quot;&gt;&lt;m:oMathPara&gt;&lt;m:oMath&gt;&lt;m:r&gt;&lt;w:rPr&gt;&lt;w:rFonts w:ascii=&quot;Cambria Math&quot; w:fareast=&quot;Times New Roman&quot; w:h-ansi=&quot;Cambria Math&quot;/&gt;&lt;wx:font wx:val=&quot;Cambria Math&quot;/&gt;&lt;w:i/&gt;&lt;w:sz w:val=&quot;24&quot;/&gt;&lt;w:sz-cs w:val=&quot;24&quot;/&gt;&lt;w:lang w:val=&quot;PT-BR&quot;/&gt;&lt;/w:rPr&gt;&lt;m:t&gt;Î·F&lt;/m:t&gt;&lt;/m:r&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i&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r&gt;&lt;w:rPr&gt;&lt;w:rFonts w:ascii=&quot;Cambria Math&quot; w:fareast=&quot;Times New Roman&quot; w:h-ansi=&quot;Cambria Math&quot;/&gt;&lt;wx:font wx:val=&quot;Cambria Math&quot;/&gt;&lt;w:i/&gt;&lt;w:sz w:val=&quot;24&quot;/&gt;&lt;w:sz-cs w:val=&quot;24&quot;/&gt;&lt;w:lang w:val=&quot;PT-BR&quot;/&gt;&lt;/w:rPr&gt;&lt;m:t&gt;+Î·)f]+&lt;/m:t&gt;&lt;/m:r&gt;&lt;m:d&gt;&lt;m:dPr&gt;&lt;m:ctrlPr&gt;&lt;w:rPr&gt;&lt;w:rFonts w:ascii=&quot;Cambria Math&quot; w:fareast=&quot;Times New Roman&quot; w:h-ansi=&quot;Cambria Math&quot;/&gt;&lt;wx:font wx:val=&quot;Cambria Math&quot;/&gt;&lt;w:i/&gt;&lt;w:sz w:val=&quot;24&quot;/&gt;&lt;w:sz-cs w:val=&quot;24&quot;/&gt;&lt;w:lang w:val=&quot;PT-BR&quot;/&gt;&lt;/w:rPr&gt;&lt;/m:ctrlPr&gt;&lt;/m:dPr&gt;&lt;m:e&gt;&lt;m:r&gt;&lt;w:rPr&gt;&lt;w:rFonts w:ascii=&quot;Cambria Math&quot; w:fareast=&quot;Times New Roman&quot; w:h-ansi=&quot;Cambria Math&quot;/&gt;&lt;wx:font wx:val=&quot;Cambria Math&quot;/&gt;&lt;w:i/&gt;&lt;w:sz w:val=&quot;24&quot;/&gt;&lt;w:sz-cs w:val=&quot;24&quot;/&gt;&lt;w:lang w:val=&quot;PT-BR&quot;/&gt;&lt;/w:rPr&gt;&lt;m:t&gt;1-Î±&lt;/m:t&gt;&lt;/m:r&gt;&lt;/m:e&gt;&lt;/m:d&gt;&lt;m:r&gt;&lt;w:rPr&gt;&lt;w:rFonts w:ascii=&quot;Cambria Math&quot; w:fareast=&quot;Times New Roman&quot; w:h-ansi=&quot;Cambria Math&quot;/&gt;&lt;wx:font wx:val=&quot;Cambria Math&quot;/&gt;&lt;w:i/&gt;&lt;w:sz w:val=&quot;24&quot;/&gt;&lt;w:sz-cs w:val=&quot;24&quot;/&gt;&lt;w:lang w:val=&quot;PT-BR&quot;/&gt;&lt;/w:rPr&gt;&lt;m:t&gt;[&lt;/m:t&gt;&lt;/m:r&gt;&lt;m:d&gt;&lt;m:dPr&gt;&lt;m:ctrlPr&gt;&lt;w:rPr&gt;&lt;w:rFonts w:ascii=&quot;Cambria Math&quot; w:h-ansi=&quot;Cambria Math&quot;/&gt;&lt;wx:font wx:val=&quot;Cambria Math&quot;/&gt;&lt;w:i/&gt;&lt;w:sz w:val=&quot;24&quot;/&gt;&lt;w:sz-cs w:val=&quot;24&quot;/&gt;&lt;w:lang w:val=&quot;PT-BR&quot;/&gt;&lt;/w:rPr&gt;&lt;/m:ctrlPr&gt;&lt;/m:dPr&gt;&lt;m:e&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T&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sup&gt;&lt;/m:sSup&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NT&lt;/m:t&gt;&lt;/m:r&gt;&lt;/m:e&gt;&lt;m:sup&gt;&lt;m:r&gt;&lt;w:rPr&gt;&lt;w:rFonts w:ascii=&quot;Cambria Math&quot; w:fareast=&quot;Times New Roman&quot; w:h-ansi=&quot;Cambria Math&quot;/&gt;&lt;wx:font wx:val=&quot;Cambria Math&quot;/&gt;&lt;w:i/&gt;&lt;w:sz w:val=&quot;24&quot;/&gt;&lt;w:sz-cs w:val=&quot;24&quot;/&gt;&lt;w:lang w:val=&quot;PT-BR&quot;/&gt;&lt;/w:rPr&gt;&lt;m:t&gt;*&lt;/m:t&gt;&lt;/m:r&gt;&lt;/m:sup&gt;&lt;/m:sSup&gt;&lt;/m:sup&gt;&lt;/m:sSup&gt;&lt;m:ctrlPr&gt;&lt;w:rPr&gt;&lt;w:rFonts w:ascii=&quot;Cambria Math&quot; w:fareast=&quot;Times New Roman&quot; w:h-ansi=&quot;Cambria Math&quot;/&gt;&lt;wx:font wx:val=&quot;Cambria Math&quot;/&gt;&lt;w:i/&gt;&lt;w:sz w:val=&quot;24&quot;/&gt;&lt;w:sz-cs w:val=&quot;24&quot;/&gt;&lt;w:lang w:val=&quot;PT-BR&quot;/&gt;&lt;/w:rPr&gt;&lt;/m:ctrlPr&gt;&lt;/m:e&gt;&lt;/m:d&gt;&lt;m:r&gt;&lt;w:rPr&gt;&lt;w:rFonts w:ascii=&quot;Cambria Math&quot; w:fareast=&quot;Times New Roman&quot; w:h-ansi=&quot;Cambria Math&quot;/&gt;&lt;wx:font wx:val=&quot;Cambria Math&quot;/&gt;&lt;w:i/&gt;&lt;w:sz w:val=&quot;24&quot;/&gt;&lt;w:sz-cs w:val=&quot;24&quot;/&gt;&lt;w:lang w:val=&quot;PT-BR&quot;/&gt;&lt;/w:rPr&gt;&lt;m:t&gt;-&lt;/m:t&gt;&lt;/m:r&gt;&lt;m:d&gt;&lt;m:dPr&gt;&lt;m:ctrlPr&gt;&lt;w:rPr&gt;&lt;w:rFonts w:ascii=&quot;Cambria Math&quot; w:fareast=&quot;Times New Roman&quot; w:h-ansi=&quot;Cambria Math&quot;/&gt;&lt;wx:font wx:val=&quot;Cambria Math&quot;/&gt;&lt;w:i/&gt;&lt;w:sz w:val=&quot;24&quot;/&gt;&lt;w:sz-cs w:val=&quot;24&quot;/&gt;&lt;w:lang w:val=&quot;PT-BR&quot;/&gt;&lt;/w:rPr&gt;&lt;/m:ctrlPr&gt;&lt;/m:dPr&gt;&lt;m:e&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r&gt;&lt;w:rPr&gt;&lt;w:rFonts w:ascii=&quot;Cambria Math&quot; w:fareast=&quot;Times New Roman&quot; w:h-ansi=&quot;Cambria Math&quot;/&gt;&lt;wx:font wx:val=&quot;Cambria Math&quot;/&gt;&lt;w:i/&gt;&lt;w:sz w:val=&quot;24&quot;/&gt;&lt;w:sz-cs w:val=&quot;24&quot;/&gt;&lt;w:lang w:val=&quot;PT-BR&quot;/&gt;&lt;/w:rPr&gt;&lt;m:t&gt;T&lt;/m:t&gt;&lt;/m:r&gt;&lt;/m:sup&gt;&lt;/m:sSup&gt;&lt;m:r&gt;&lt;w:rPr&gt;&lt;w:rFonts w:ascii=&quot;Cambria Math&quot; w:fareast=&quot;Times New Roman&quot; w:h-ansi=&quot;Cambria Math&quot;/&gt;&lt;wx:font wx:val=&quot;Cambria Math&quot;/&gt;&lt;w:i/&gt;&lt;w:sz w:val=&quot;24&quot;/&gt;&lt;w:sz-cs w:val=&quot;24&quot;/&gt;&lt;w:lang w:val=&quot;PT-BR&quot;/&gt;&lt;/w:rPr&gt;&lt;m:t&gt;-&lt;/m:t&gt;&lt;/m:r&gt;&lt;m:sSup&gt;&lt;m:sSupPr&gt;&lt;m:ctrlPr&gt;&lt;w:rPr&gt;&lt;w:rFonts w:ascii=&quot;Cambria Math&quot; w:fareast=&quot;Times New Roman&quot; w:h-ansi=&quot;Cambria Math&quot;/&gt;&lt;wx:font wx:val=&quot;Cambria Math&quot;/&gt;&lt;w:i/&gt;&lt;w:sz w:val=&quot;24&quot;/&gt;&lt;w:sz-cs w:val=&quot;24&quot;/&gt;&lt;w:lang w:val=&quot;PT-BR&quot;/&gt;&lt;/w:rPr&gt;&lt;/m:ctrlPr&gt;&lt;/m:sSupPr&gt;&lt;m:e&gt;&lt;m:r&gt;&lt;w:rPr&gt;&lt;w:rFonts w:ascii=&quot;Cambria Math&quot; w:fareast=&quot;Times New Roman&quot; w:h-ansi=&quot;Cambria Math&quot;/&gt;&lt;wx:font wx:val=&quot;Cambria Math&quot;/&gt;&lt;w:i/&gt;&lt;w:sz w:val=&quot;24&quot;/&gt;&lt;w:sz-cs w:val=&quot;24&quot;/&gt;&lt;w:lang w:val=&quot;PT-BR&quot;/&gt;&lt;/w:rPr&gt;&lt;m:t&gt;y&lt;/m:t&gt;&lt;/m:r&gt;&lt;/m:e&gt;&lt;m:sup&gt;&lt;m:r&gt;&lt;w:rPr&gt;&lt;w:rFonts w:ascii=&quot;Cambria Math&quot; w:fareast=&quot;Times New Roman&quot; w:h-ansi=&quot;Cambria Math&quot;/&gt;&lt;wx:font wx:val=&quot;Cambria Math&quot;/&gt;&lt;w:i/&gt;&lt;w:sz w:val=&quot;24&quot;/&gt;&lt;w:sz-cs w:val=&quot;24&quot;/&gt;&lt;w:lang w:val=&quot;PT-BR&quot;/&gt;&lt;/w:rPr&gt;&lt;m:t&gt;NT&lt;/m:t&gt;&lt;/m:r&gt;&lt;/m:sup&gt;&lt;/m:sSup&gt;&lt;/m:e&gt;&lt;/m:d&gt;&lt;m:r&gt;&lt;w:rPr&gt;&lt;w:rFonts w:ascii=&quot;Cambria Math&quot; w:fareast=&quot;Times New Roman&quot; w:h-ansi=&quot;Cambria Math&quot;/&gt;&lt;wx:font wx:val=&quot;Cambria Math&quot;/&gt;&lt;w:i/&gt;&lt;w:sz w:val=&quot;24&quot;/&gt;&lt;w:sz-cs w:val=&quot;24&quot;/&gt;&lt;w:lang w:val=&quot;PT-BR&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Pr="00B16390">
              <w:rPr>
                <w:sz w:val="24"/>
                <w:szCs w:val="24"/>
                <w:lang w:val="pt-BR"/>
              </w:rPr>
              <w:fldChar w:fldCharType="end"/>
            </w:r>
          </w:p>
          <w:p w:rsidR="00553639" w:rsidRPr="00B16390" w:rsidRDefault="00553639" w:rsidP="00B16390">
            <w:pPr>
              <w:tabs>
                <w:tab w:val="left" w:pos="720"/>
              </w:tabs>
              <w:spacing w:after="0" w:line="240" w:lineRule="auto"/>
              <w:jc w:val="both"/>
              <w:rPr>
                <w:sz w:val="24"/>
                <w:szCs w:val="24"/>
                <w:lang w:val="pt-BR"/>
              </w:rPr>
            </w:pPr>
          </w:p>
        </w:tc>
        <w:tc>
          <w:tcPr>
            <w:tcW w:w="671" w:type="dxa"/>
          </w:tcPr>
          <w:p w:rsidR="00553639" w:rsidRPr="00B16390" w:rsidRDefault="00553639" w:rsidP="00B16390">
            <w:pPr>
              <w:tabs>
                <w:tab w:val="left" w:pos="720"/>
              </w:tabs>
              <w:spacing w:after="0" w:line="240" w:lineRule="auto"/>
              <w:jc w:val="both"/>
              <w:rPr>
                <w:sz w:val="24"/>
                <w:szCs w:val="24"/>
                <w:lang w:val="pt-BR"/>
              </w:rPr>
            </w:pPr>
            <w:r w:rsidRPr="00B16390">
              <w:rPr>
                <w:sz w:val="24"/>
                <w:szCs w:val="24"/>
                <w:lang w:val="pt-BR"/>
              </w:rPr>
              <w:t>(A6)</w:t>
            </w:r>
          </w:p>
        </w:tc>
      </w:tr>
    </w:tbl>
    <w:p w:rsidR="00553639" w:rsidRDefault="00553639" w:rsidP="00CB528E">
      <w:pPr>
        <w:tabs>
          <w:tab w:val="left" w:pos="720"/>
        </w:tabs>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A taxa de câmbio real  </w:t>
      </w:r>
      <w:r w:rsidRPr="00B16390">
        <w:rPr>
          <w:rFonts w:ascii="Times New Roman" w:hAnsi="Times New Roman"/>
          <w:sz w:val="24"/>
          <w:szCs w:val="24"/>
          <w:lang w:val="pt-BR"/>
        </w:rPr>
        <w:fldChar w:fldCharType="begin"/>
      </w:r>
      <w:r w:rsidRPr="00B16390">
        <w:rPr>
          <w:rFonts w:ascii="Times New Roman" w:hAnsi="Times New Roman"/>
          <w:sz w:val="24"/>
          <w:szCs w:val="24"/>
          <w:lang w:val="pt-BR"/>
        </w:rPr>
        <w:instrText xml:space="preserve"> QUOTE </w:instrText>
      </w:r>
      <w:r w:rsidRPr="00B16390">
        <w:pict>
          <v:shape id="_x0000_i1087"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03DDC&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203DDC&quot;&gt;&lt;m:oMathPara&gt;&lt;m:oMath&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3" o:title="" chromakey="white"/>
          </v:shape>
        </w:pict>
      </w:r>
      <w:r w:rsidRPr="00B16390">
        <w:rPr>
          <w:rFonts w:ascii="Times New Roman" w:hAnsi="Times New Roman"/>
          <w:sz w:val="24"/>
          <w:szCs w:val="24"/>
          <w:lang w:val="pt-BR"/>
        </w:rPr>
        <w:instrText xml:space="preserve"> </w:instrText>
      </w:r>
      <w:r w:rsidRPr="00B16390">
        <w:rPr>
          <w:rFonts w:ascii="Times New Roman" w:hAnsi="Times New Roman"/>
          <w:sz w:val="24"/>
          <w:szCs w:val="24"/>
          <w:lang w:val="pt-BR"/>
        </w:rPr>
        <w:fldChar w:fldCharType="separate"/>
      </w:r>
      <w:r w:rsidRPr="00B16390">
        <w:pict>
          <v:shape id="_x0000_i1088"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020&quot;/&gt;&lt;wsp:rsid wsp:val=&quot;00003923&quot;/&gt;&lt;wsp:rsid wsp:val=&quot;00011323&quot;/&gt;&lt;wsp:rsid wsp:val=&quot;000114B5&quot;/&gt;&lt;wsp:rsid wsp:val=&quot;000176CD&quot;/&gt;&lt;wsp:rsid wsp:val=&quot;00041D94&quot;/&gt;&lt;wsp:rsid wsp:val=&quot;000442C4&quot;/&gt;&lt;wsp:rsid wsp:val=&quot;0005138D&quot;/&gt;&lt;wsp:rsid wsp:val=&quot;00052811&quot;/&gt;&lt;wsp:rsid wsp:val=&quot;00054230&quot;/&gt;&lt;wsp:rsid wsp:val=&quot;000721AC&quot;/&gt;&lt;wsp:rsid wsp:val=&quot;000B18DD&quot;/&gt;&lt;wsp:rsid wsp:val=&quot;000C714D&quot;/&gt;&lt;wsp:rsid wsp:val=&quot;000C7D2F&quot;/&gt;&lt;wsp:rsid wsp:val=&quot;000D495B&quot;/&gt;&lt;wsp:rsid wsp:val=&quot;000D4E47&quot;/&gt;&lt;wsp:rsid wsp:val=&quot;000E06F3&quot;/&gt;&lt;wsp:rsid wsp:val=&quot;00106775&quot;/&gt;&lt;wsp:rsid wsp:val=&quot;00106865&quot;/&gt;&lt;wsp:rsid wsp:val=&quot;0011241E&quot;/&gt;&lt;wsp:rsid wsp:val=&quot;0013561E&quot;/&gt;&lt;wsp:rsid wsp:val=&quot;00176DBB&quot;/&gt;&lt;wsp:rsid wsp:val=&quot;0018342A&quot;/&gt;&lt;wsp:rsid wsp:val=&quot;00197413&quot;/&gt;&lt;wsp:rsid wsp:val=&quot;001A6A54&quot;/&gt;&lt;wsp:rsid wsp:val=&quot;001C76B3&quot;/&gt;&lt;wsp:rsid wsp:val=&quot;001D687E&quot;/&gt;&lt;wsp:rsid wsp:val=&quot;001F3EB6&quot;/&gt;&lt;wsp:rsid wsp:val=&quot;00203DDC&quot;/&gt;&lt;wsp:rsid wsp:val=&quot;002276C1&quot;/&gt;&lt;wsp:rsid wsp:val=&quot;002416B0&quot;/&gt;&lt;wsp:rsid wsp:val=&quot;00250F29&quot;/&gt;&lt;wsp:rsid wsp:val=&quot;002723C6&quot;/&gt;&lt;wsp:rsid wsp:val=&quot;00296D5D&quot;/&gt;&lt;wsp:rsid wsp:val=&quot;002977E9&quot;/&gt;&lt;wsp:rsid wsp:val=&quot;002A374D&quot;/&gt;&lt;wsp:rsid wsp:val=&quot;002C5693&quot;/&gt;&lt;wsp:rsid wsp:val=&quot;002D4BEC&quot;/&gt;&lt;wsp:rsid wsp:val=&quot;00306CAA&quot;/&gt;&lt;wsp:rsid wsp:val=&quot;00310996&quot;/&gt;&lt;wsp:rsid wsp:val=&quot;003126A8&quot;/&gt;&lt;wsp:rsid wsp:val=&quot;003844ED&quot;/&gt;&lt;wsp:rsid wsp:val=&quot;003B6D84&quot;/&gt;&lt;wsp:rsid wsp:val=&quot;003E31F1&quot;/&gt;&lt;wsp:rsid wsp:val=&quot;003E5F82&quot;/&gt;&lt;wsp:rsid wsp:val=&quot;003F376E&quot;/&gt;&lt;wsp:rsid wsp:val=&quot;003F3EEE&quot;/&gt;&lt;wsp:rsid wsp:val=&quot;003F679F&quot;/&gt;&lt;wsp:rsid wsp:val=&quot;003F7F1C&quot;/&gt;&lt;wsp:rsid wsp:val=&quot;004016CC&quot;/&gt;&lt;wsp:rsid wsp:val=&quot;00453C9F&quot;/&gt;&lt;wsp:rsid wsp:val=&quot;00474E56&quot;/&gt;&lt;wsp:rsid wsp:val=&quot;004B2A84&quot;/&gt;&lt;wsp:rsid wsp:val=&quot;004C01A5&quot;/&gt;&lt;wsp:rsid wsp:val=&quot;004E3FFA&quot;/&gt;&lt;wsp:rsid wsp:val=&quot;00500BA9&quot;/&gt;&lt;wsp:rsid wsp:val=&quot;00504F3A&quot;/&gt;&lt;wsp:rsid wsp:val=&quot;00513436&quot;/&gt;&lt;wsp:rsid wsp:val=&quot;00526E94&quot;/&gt;&lt;wsp:rsid wsp:val=&quot;005419A1&quot;/&gt;&lt;wsp:rsid wsp:val=&quot;005511BE&quot;/&gt;&lt;wsp:rsid wsp:val=&quot;0055194C&quot;/&gt;&lt;wsp:rsid wsp:val=&quot;00551C17&quot;/&gt;&lt;wsp:rsid wsp:val=&quot;005602D4&quot;/&gt;&lt;wsp:rsid wsp:val=&quot;00590A4E&quot;/&gt;&lt;wsp:rsid wsp:val=&quot;005A32E6&quot;/&gt;&lt;wsp:rsid wsp:val=&quot;005E3977&quot;/&gt;&lt;wsp:rsid wsp:val=&quot;005E44AD&quot;/&gt;&lt;wsp:rsid wsp:val=&quot;005F36AF&quot;/&gt;&lt;wsp:rsid wsp:val=&quot;006038A3&quot;/&gt;&lt;wsp:rsid wsp:val=&quot;00630B64&quot;/&gt;&lt;wsp:rsid wsp:val=&quot;00635650&quot;/&gt;&lt;wsp:rsid wsp:val=&quot;00635FFF&quot;/&gt;&lt;wsp:rsid wsp:val=&quot;00684D25&quot;/&gt;&lt;wsp:rsid wsp:val=&quot;006945A3&quot;/&gt;&lt;wsp:rsid wsp:val=&quot;0069645F&quot;/&gt;&lt;wsp:rsid wsp:val=&quot;00697982&quot;/&gt;&lt;wsp:rsid wsp:val=&quot;006A7A4B&quot;/&gt;&lt;wsp:rsid wsp:val=&quot;006D13D8&quot;/&gt;&lt;wsp:rsid wsp:val=&quot;006D32B0&quot;/&gt;&lt;wsp:rsid wsp:val=&quot;006D36FC&quot;/&gt;&lt;wsp:rsid wsp:val=&quot;006E22CE&quot;/&gt;&lt;wsp:rsid wsp:val=&quot;0071106B&quot;/&gt;&lt;wsp:rsid wsp:val=&quot;0071640C&quot;/&gt;&lt;wsp:rsid wsp:val=&quot;00732020&quot;/&gt;&lt;wsp:rsid wsp:val=&quot;00755816&quot;/&gt;&lt;wsp:rsid wsp:val=&quot;007670DB&quot;/&gt;&lt;wsp:rsid wsp:val=&quot;00780BD6&quot;/&gt;&lt;wsp:rsid wsp:val=&quot;00795A81&quot;/&gt;&lt;wsp:rsid wsp:val=&quot;007C249A&quot;/&gt;&lt;wsp:rsid wsp:val=&quot;007E0A3A&quot;/&gt;&lt;wsp:rsid wsp:val=&quot;007E58C5&quot;/&gt;&lt;wsp:rsid wsp:val=&quot;008100D5&quot;/&gt;&lt;wsp:rsid wsp:val=&quot;00822B89&quot;/&gt;&lt;wsp:rsid wsp:val=&quot;00827B8F&quot;/&gt;&lt;wsp:rsid wsp:val=&quot;008632C4&quot;/&gt;&lt;wsp:rsid wsp:val=&quot;00884171&quot;/&gt;&lt;wsp:rsid wsp:val=&quot;00887A73&quot;/&gt;&lt;wsp:rsid wsp:val=&quot;00897A4F&quot;/&gt;&lt;wsp:rsid wsp:val=&quot;008C0517&quot;/&gt;&lt;wsp:rsid wsp:val=&quot;008C2C64&quot;/&gt;&lt;wsp:rsid wsp:val=&quot;008C41CD&quot;/&gt;&lt;wsp:rsid wsp:val=&quot;009343AB&quot;/&gt;&lt;wsp:rsid wsp:val=&quot;009477F7&quot;/&gt;&lt;wsp:rsid wsp:val=&quot;00950A51&quot;/&gt;&lt;wsp:rsid wsp:val=&quot;009617E9&quot;/&gt;&lt;wsp:rsid wsp:val=&quot;0096638C&quot;/&gt;&lt;wsp:rsid wsp:val=&quot;00973DB8&quot;/&gt;&lt;wsp:rsid wsp:val=&quot;00983DD0&quot;/&gt;&lt;wsp:rsid wsp:val=&quot;009B27E0&quot;/&gt;&lt;wsp:rsid wsp:val=&quot;009B2F44&quot;/&gt;&lt;wsp:rsid wsp:val=&quot;009C2E71&quot;/&gt;&lt;wsp:rsid wsp:val=&quot;009C3FF6&quot;/&gt;&lt;wsp:rsid wsp:val=&quot;009E0EF5&quot;/&gt;&lt;wsp:rsid wsp:val=&quot;009F599C&quot;/&gt;&lt;wsp:rsid wsp:val=&quot;00A018A3&quot;/&gt;&lt;wsp:rsid wsp:val=&quot;00A0590F&quot;/&gt;&lt;wsp:rsid wsp:val=&quot;00A14041&quot;/&gt;&lt;wsp:rsid wsp:val=&quot;00A44782&quot;/&gt;&lt;wsp:rsid wsp:val=&quot;00A6374D&quot;/&gt;&lt;wsp:rsid wsp:val=&quot;00A63B07&quot;/&gt;&lt;wsp:rsid wsp:val=&quot;00A678FF&quot;/&gt;&lt;wsp:rsid wsp:val=&quot;00AC368C&quot;/&gt;&lt;wsp:rsid wsp:val=&quot;00AE5792&quot;/&gt;&lt;wsp:rsid wsp:val=&quot;00B03D6E&quot;/&gt;&lt;wsp:rsid wsp:val=&quot;00B04147&quot;/&gt;&lt;wsp:rsid wsp:val=&quot;00B16390&quot;/&gt;&lt;wsp:rsid wsp:val=&quot;00B227F6&quot;/&gt;&lt;wsp:rsid wsp:val=&quot;00B270AA&quot;/&gt;&lt;wsp:rsid wsp:val=&quot;00B40866&quot;/&gt;&lt;wsp:rsid wsp:val=&quot;00B54AA9&quot;/&gt;&lt;wsp:rsid wsp:val=&quot;00B779A5&quot;/&gt;&lt;wsp:rsid wsp:val=&quot;00BB5E38&quot;/&gt;&lt;wsp:rsid wsp:val=&quot;00BC380E&quot;/&gt;&lt;wsp:rsid wsp:val=&quot;00BC7A44&quot;/&gt;&lt;wsp:rsid wsp:val=&quot;00BF2290&quot;/&gt;&lt;wsp:rsid wsp:val=&quot;00C16B4B&quot;/&gt;&lt;wsp:rsid wsp:val=&quot;00C51F00&quot;/&gt;&lt;wsp:rsid wsp:val=&quot;00CA2CDC&quot;/&gt;&lt;wsp:rsid wsp:val=&quot;00CB528E&quot;/&gt;&lt;wsp:rsid wsp:val=&quot;00CD0724&quot;/&gt;&lt;wsp:rsid wsp:val=&quot;00CD4FDF&quot;/&gt;&lt;wsp:rsid wsp:val=&quot;00CD6284&quot;/&gt;&lt;wsp:rsid wsp:val=&quot;00CF0921&quot;/&gt;&lt;wsp:rsid wsp:val=&quot;00CF2267&quot;/&gt;&lt;wsp:rsid wsp:val=&quot;00D21292&quot;/&gt;&lt;wsp:rsid wsp:val=&quot;00D26C25&quot;/&gt;&lt;wsp:rsid wsp:val=&quot;00D553BE&quot;/&gt;&lt;wsp:rsid wsp:val=&quot;00D77100&quot;/&gt;&lt;wsp:rsid wsp:val=&quot;00D82734&quot;/&gt;&lt;wsp:rsid wsp:val=&quot;00D86AC8&quot;/&gt;&lt;wsp:rsid wsp:val=&quot;00DA77FD&quot;/&gt;&lt;wsp:rsid wsp:val=&quot;00DB5B12&quot;/&gt;&lt;wsp:rsid wsp:val=&quot;00DF3BDE&quot;/&gt;&lt;wsp:rsid wsp:val=&quot;00E4617B&quot;/&gt;&lt;wsp:rsid wsp:val=&quot;00E47375&quot;/&gt;&lt;wsp:rsid wsp:val=&quot;00E53F77&quot;/&gt;&lt;wsp:rsid wsp:val=&quot;00E67C1C&quot;/&gt;&lt;wsp:rsid wsp:val=&quot;00E74C43&quot;/&gt;&lt;wsp:rsid wsp:val=&quot;00E760D8&quot;/&gt;&lt;wsp:rsid wsp:val=&quot;00E85B50&quot;/&gt;&lt;wsp:rsid wsp:val=&quot;00EA55E5&quot;/&gt;&lt;wsp:rsid wsp:val=&quot;00EF74F1&quot;/&gt;&lt;wsp:rsid wsp:val=&quot;00F1064F&quot;/&gt;&lt;wsp:rsid wsp:val=&quot;00F10D6B&quot;/&gt;&lt;wsp:rsid wsp:val=&quot;00F1469C&quot;/&gt;&lt;wsp:rsid wsp:val=&quot;00F72A06&quot;/&gt;&lt;wsp:rsid wsp:val=&quot;00F8597D&quot;/&gt;&lt;wsp:rsid wsp:val=&quot;00F90573&quot;/&gt;&lt;wsp:rsid wsp:val=&quot;00FD59DC&quot;/&gt;&lt;/wsp:rsids&gt;&lt;/w:docPr&gt;&lt;w:body&gt;&lt;w:p wsp:rsidR=&quot;00000000&quot; wsp:rsidRDefault=&quot;00203DDC&quot;&gt;&lt;m:oMathPara&gt;&lt;m:oMath&gt;&lt;m:acc&gt;&lt;m:accPr&gt;&lt;m:chr m:val=&quot;Ì…&quot;/&gt;&lt;m:ctrlPr&gt;&lt;w:rPr&gt;&lt;w:rFonts w:ascii=&quot;Cambria Math&quot; w:fareast=&quot;Times New Roman&quot; w:h-ansi=&quot;Cambria Math&quot;/&gt;&lt;wx:font wx:val=&quot;Cambria Math&quot;/&gt;&lt;w:i/&gt;&lt;w:sz w:val=&quot;24&quot;/&gt;&lt;w:sz-cs w:val=&quot;24&quot;/&gt;&lt;w:lang w:val=&quot;PT-BR&quot;/&gt;&lt;/w:rPr&gt;&lt;/m:ctrlPr&gt;&lt;/m:accPr&gt;&lt;m:e&gt;&lt;m:r&gt;&lt;w:rPr&gt;&lt;w:rFonts w:ascii=&quot;Cambria Math&quot; w:fareast=&quot;Times New Roman&quot; w:h-ansi=&quot;Cambria Math&quot;/&gt;&lt;wx:font wx:val=&quot;Cambria Math&quot;/&gt;&lt;w:i/&gt;&lt;w:sz w:val=&quot;24&quot;/&gt;&lt;w:sz-cs w:val=&quot;24&quot;/&gt;&lt;w:lang w:val=&quot;PT-BR&quot;/&gt;&lt;/w:rPr&gt;&lt;m:t&gt;q&lt;/m:t&gt;&lt;/m:r&gt;&lt;/m:e&gt;&lt;/m:acc&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3" o:title="" chromakey="white"/>
          </v:shape>
        </w:pict>
      </w:r>
      <w:r w:rsidRPr="00B16390">
        <w:rPr>
          <w:rFonts w:ascii="Times New Roman" w:hAnsi="Times New Roman"/>
          <w:sz w:val="24"/>
          <w:szCs w:val="24"/>
          <w:lang w:val="pt-BR"/>
        </w:rPr>
        <w:fldChar w:fldCharType="end"/>
      </w:r>
      <w:r>
        <w:rPr>
          <w:rFonts w:ascii="Times New Roman" w:hAnsi="Times New Roman"/>
          <w:sz w:val="24"/>
          <w:szCs w:val="24"/>
          <w:lang w:val="pt-BR"/>
        </w:rPr>
        <w:t xml:space="preserve"> é esperada ser uma função negativa das posições de ativos estrangeiros líquidos (ou, como definida </w:t>
      </w:r>
      <w:r>
        <w:rPr>
          <w:rFonts w:ascii="Times New Roman" w:hAnsi="Times New Roman"/>
          <w:i/>
          <w:sz w:val="24"/>
          <w:szCs w:val="24"/>
          <w:lang w:val="pt-BR"/>
        </w:rPr>
        <w:t>q</w:t>
      </w:r>
      <w:r>
        <w:rPr>
          <w:rFonts w:ascii="Times New Roman" w:hAnsi="Times New Roman"/>
          <w:sz w:val="24"/>
          <w:szCs w:val="24"/>
          <w:lang w:val="pt-BR"/>
        </w:rPr>
        <w:t xml:space="preserve"> nos exercícios empíricos deste trabalho, uma função positiva) e uma função negativa da produtividade relativa. A equação (A6) pode ser estimada econometricamente.</w:t>
      </w:r>
    </w:p>
    <w:p w:rsidR="00553639" w:rsidRDefault="00553639" w:rsidP="00590A4E">
      <w:pPr>
        <w:tabs>
          <w:tab w:val="left" w:pos="720"/>
        </w:tabs>
        <w:spacing w:after="0" w:line="240" w:lineRule="auto"/>
        <w:ind w:firstLine="720"/>
        <w:jc w:val="center"/>
        <w:rPr>
          <w:rFonts w:ascii="Times New Roman" w:hAnsi="Times New Roman"/>
          <w:b/>
          <w:sz w:val="24"/>
          <w:szCs w:val="24"/>
          <w:lang w:val="pt-BR"/>
        </w:rPr>
      </w:pPr>
    </w:p>
    <w:p w:rsidR="00553639" w:rsidRDefault="00553639" w:rsidP="00590A4E">
      <w:pPr>
        <w:tabs>
          <w:tab w:val="left" w:pos="720"/>
        </w:tabs>
        <w:spacing w:after="0" w:line="240" w:lineRule="auto"/>
        <w:ind w:firstLine="720"/>
        <w:jc w:val="center"/>
        <w:rPr>
          <w:rFonts w:ascii="Times New Roman" w:hAnsi="Times New Roman"/>
          <w:b/>
          <w:sz w:val="24"/>
          <w:szCs w:val="24"/>
          <w:lang w:val="pt-BR"/>
        </w:rPr>
      </w:pPr>
      <w:r>
        <w:rPr>
          <w:rFonts w:ascii="Times New Roman" w:hAnsi="Times New Roman"/>
          <w:b/>
          <w:sz w:val="24"/>
          <w:szCs w:val="24"/>
          <w:lang w:val="pt-BR"/>
        </w:rPr>
        <w:t>Apêndice II – Descrição das Variáveis Utilizadas nas Estimações e dos Países que compõem a Amostra</w:t>
      </w:r>
    </w:p>
    <w:p w:rsidR="00553639" w:rsidRDefault="00553639" w:rsidP="00590A4E">
      <w:pPr>
        <w:tabs>
          <w:tab w:val="left" w:pos="720"/>
        </w:tabs>
        <w:spacing w:after="0" w:line="240" w:lineRule="auto"/>
        <w:ind w:firstLine="720"/>
        <w:jc w:val="both"/>
        <w:rPr>
          <w:rFonts w:ascii="Times New Roman" w:hAnsi="Times New Roman"/>
          <w:b/>
          <w:sz w:val="24"/>
          <w:szCs w:val="24"/>
          <w:lang w:val="pt-BR"/>
        </w:rPr>
      </w:pPr>
    </w:p>
    <w:p w:rsidR="00553639" w:rsidRDefault="00553639" w:rsidP="00590A4E">
      <w:pPr>
        <w:tabs>
          <w:tab w:val="left" w:pos="720"/>
        </w:tabs>
        <w:spacing w:after="0" w:line="240" w:lineRule="auto"/>
        <w:ind w:firstLine="720"/>
        <w:jc w:val="both"/>
        <w:rPr>
          <w:rFonts w:ascii="Times New Roman" w:hAnsi="Times New Roman"/>
          <w:b/>
          <w:sz w:val="24"/>
          <w:szCs w:val="24"/>
          <w:lang w:val="pt-BR"/>
        </w:rPr>
      </w:pPr>
    </w:p>
    <w:p w:rsidR="00553639" w:rsidRDefault="00553639" w:rsidP="00590A4E">
      <w:pPr>
        <w:tabs>
          <w:tab w:val="left" w:pos="720"/>
        </w:tabs>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Países que compõe a equação de determinação do câmbio de longo prazo: </w:t>
      </w:r>
    </w:p>
    <w:p w:rsidR="00553639" w:rsidRDefault="00553639" w:rsidP="00590A4E">
      <w:pPr>
        <w:tabs>
          <w:tab w:val="left" w:pos="720"/>
        </w:tabs>
        <w:spacing w:after="0" w:line="240" w:lineRule="auto"/>
        <w:jc w:val="both"/>
        <w:rPr>
          <w:rFonts w:ascii="Times New Roman" w:hAnsi="Times New Roman"/>
          <w:b/>
          <w:sz w:val="24"/>
          <w:szCs w:val="24"/>
          <w:lang w:val="pt-BR"/>
        </w:rPr>
      </w:pPr>
    </w:p>
    <w:p w:rsidR="00553639" w:rsidRDefault="00553639" w:rsidP="00590A4E">
      <w:pPr>
        <w:tabs>
          <w:tab w:val="left" w:pos="720"/>
        </w:tabs>
        <w:spacing w:after="0" w:line="240" w:lineRule="auto"/>
        <w:jc w:val="both"/>
        <w:rPr>
          <w:rFonts w:ascii="Times New Roman" w:hAnsi="Times New Roman"/>
          <w:sz w:val="24"/>
          <w:szCs w:val="24"/>
          <w:lang w:val="pt-BR"/>
        </w:rPr>
      </w:pPr>
      <w:r w:rsidRPr="007C249A">
        <w:rPr>
          <w:rFonts w:ascii="Times New Roman" w:hAnsi="Times New Roman"/>
          <w:sz w:val="24"/>
          <w:szCs w:val="24"/>
          <w:lang w:val="pt-BR"/>
        </w:rPr>
        <w:t>África do Sul, Alemanha, Angola, Arábia Saudita, Argentina, Argélia, Armênia, Austrália, Áustria, Bangladesh, Belarus, Bélgica, Benim, Bolívia, Brasil, Bulgária, Camarões, Canadá, Chile, China, Ciprus, Colômbia, Costa do Mármore, Costa Rica, Dinamarca, Egito, Emirados Árabes Unidos, Equador, Espanha, Estados Unidos, Estônia, Etiópia, Fiji, Filipinas, Finlândia, França, Gana, Geórgia, Grã-Bretanha, Grécia, Guatemala, Guinea, Guinea Equatorial, Haiti, Holanda, Honduras, Honk Kong, Hungria, Índia, Indonésia, Irã, Irlanda, Islândia, Israel, Itália, Jamaica, Japão, Kazaquistão, Kirguistão, Kuwait, Líbano, Líbia, Madagascar, Malásia, Malawi, Mali, Malta, Marrocos, México, Moldova, Namíbia, Nigéria, Noruega, Nova Zelândia, Papua Nova Guinéia, Paraguai, Peru, Polônia, Portugal,</w:t>
      </w:r>
      <w:r>
        <w:rPr>
          <w:rFonts w:ascii="Times New Roman" w:hAnsi="Times New Roman"/>
          <w:sz w:val="24"/>
          <w:szCs w:val="24"/>
          <w:lang w:val="pt-BR"/>
        </w:rPr>
        <w:t xml:space="preserve"> </w:t>
      </w:r>
      <w:r w:rsidRPr="007C249A">
        <w:rPr>
          <w:rFonts w:ascii="Times New Roman" w:hAnsi="Times New Roman"/>
          <w:sz w:val="24"/>
          <w:szCs w:val="24"/>
          <w:lang w:val="pt-BR"/>
        </w:rPr>
        <w:t>República da Coréia, República do Congo, República Dominicana, República Eslováquia, Rússia, Senegal, Singapura, Síria, Sri Lanka, Sudão, Suécia, Suíça,Tailândia, Taiwan, Tunísia, Turcomenistão, Turquia, Ucrânia, Uganda, Uruguay, Usbequiztão, Venezuela, Vietnam.</w:t>
      </w:r>
    </w:p>
    <w:p w:rsidR="00553639" w:rsidRDefault="00553639" w:rsidP="00590A4E">
      <w:pPr>
        <w:tabs>
          <w:tab w:val="left" w:pos="720"/>
        </w:tabs>
        <w:spacing w:after="0" w:line="240" w:lineRule="auto"/>
        <w:jc w:val="both"/>
        <w:rPr>
          <w:rFonts w:ascii="Times New Roman" w:hAnsi="Times New Roman"/>
          <w:sz w:val="24"/>
          <w:szCs w:val="24"/>
          <w:lang w:val="pt-BR"/>
        </w:rPr>
      </w:pPr>
    </w:p>
    <w:p w:rsidR="00553639" w:rsidRDefault="00553639" w:rsidP="00E47375">
      <w:pPr>
        <w:tabs>
          <w:tab w:val="left" w:pos="720"/>
        </w:tabs>
        <w:spacing w:after="0" w:line="240" w:lineRule="auto"/>
        <w:jc w:val="both"/>
        <w:rPr>
          <w:rFonts w:ascii="Times New Roman" w:hAnsi="Times New Roman"/>
          <w:b/>
          <w:sz w:val="24"/>
          <w:szCs w:val="24"/>
          <w:lang w:val="pt-BR"/>
        </w:rPr>
      </w:pPr>
      <w:r>
        <w:rPr>
          <w:rFonts w:ascii="Times New Roman" w:hAnsi="Times New Roman"/>
          <w:b/>
          <w:sz w:val="24"/>
          <w:szCs w:val="24"/>
          <w:lang w:val="pt-BR"/>
        </w:rPr>
        <w:t>Países que compõe a equação de determinação da sobrevalorização cambial:</w:t>
      </w:r>
    </w:p>
    <w:p w:rsidR="00553639" w:rsidRDefault="00553639" w:rsidP="00E47375">
      <w:pPr>
        <w:tabs>
          <w:tab w:val="left" w:pos="720"/>
        </w:tabs>
        <w:spacing w:after="0" w:line="240" w:lineRule="auto"/>
        <w:jc w:val="both"/>
        <w:rPr>
          <w:rFonts w:ascii="Times New Roman" w:hAnsi="Times New Roman"/>
          <w:b/>
          <w:sz w:val="24"/>
          <w:szCs w:val="24"/>
          <w:lang w:val="pt-BR"/>
        </w:rPr>
      </w:pPr>
    </w:p>
    <w:p w:rsidR="00553639" w:rsidRPr="00E47375" w:rsidRDefault="00553639" w:rsidP="00E47375">
      <w:pPr>
        <w:tabs>
          <w:tab w:val="left" w:pos="720"/>
        </w:tabs>
        <w:spacing w:after="0" w:line="240" w:lineRule="auto"/>
        <w:jc w:val="both"/>
        <w:rPr>
          <w:rFonts w:ascii="Times New Roman" w:hAnsi="Times New Roman"/>
          <w:sz w:val="24"/>
          <w:szCs w:val="24"/>
          <w:lang w:val="pt-BR"/>
        </w:rPr>
      </w:pPr>
      <w:r w:rsidRPr="00E47375">
        <w:rPr>
          <w:rFonts w:ascii="Times New Roman" w:hAnsi="Times New Roman"/>
          <w:sz w:val="24"/>
          <w:szCs w:val="24"/>
          <w:lang w:val="pt-BR"/>
        </w:rPr>
        <w:t>Argentina, Austrália, Áustria, Bangladesh, Belarus, Bolívia, Brasil, Suíça, Chile, China, Congo, Colômbia, Costa Rica, Cyprus, Espanha, Etiópia, Finlândia, Fiji, França, Reino Unido, Ghana, Alemanha, Guatemala, Honk Kong, Honduras, Haiti, Hungria, Irlanda, Israel, Kazaquistão, Kuwait, Sri Lanka, Moldova, México, Mali, Malaui, Malásia, Namíbia</w:t>
      </w:r>
      <w:r>
        <w:rPr>
          <w:rFonts w:ascii="Times New Roman" w:hAnsi="Times New Roman"/>
          <w:sz w:val="24"/>
          <w:szCs w:val="24"/>
          <w:lang w:val="pt-BR"/>
        </w:rPr>
        <w:t xml:space="preserve">, </w:t>
      </w:r>
      <w:r w:rsidRPr="00E47375">
        <w:rPr>
          <w:rFonts w:ascii="Times New Roman" w:hAnsi="Times New Roman"/>
          <w:sz w:val="24"/>
          <w:szCs w:val="24"/>
          <w:lang w:val="pt-BR"/>
        </w:rPr>
        <w:t>Emirados Árabes Unidos, Estados Unidos, Noruega, Nova Zelândia, Filipinas, Papua Nova Guinea, Portugal, Rússia, Arábia Saudita, Senegal, Síria, Sudão, Tailândia, Turcomenistão, Turquia, Ucrânia, Uganda, Uruguai, Venezuela.</w:t>
      </w:r>
    </w:p>
    <w:p w:rsidR="00553639" w:rsidRPr="00E47375" w:rsidRDefault="00553639" w:rsidP="00590A4E">
      <w:pPr>
        <w:tabs>
          <w:tab w:val="left" w:pos="720"/>
        </w:tabs>
        <w:spacing w:after="0" w:line="240" w:lineRule="auto"/>
        <w:jc w:val="both"/>
        <w:rPr>
          <w:rFonts w:ascii="Times New Roman" w:hAnsi="Times New Roman"/>
          <w:sz w:val="24"/>
          <w:szCs w:val="24"/>
          <w:lang w:val="pt-BR"/>
        </w:rPr>
      </w:pPr>
    </w:p>
    <w:p w:rsidR="00553639" w:rsidRPr="00E47375" w:rsidRDefault="00553639" w:rsidP="00590A4E">
      <w:pPr>
        <w:tabs>
          <w:tab w:val="left" w:pos="720"/>
        </w:tabs>
        <w:spacing w:after="0" w:line="240" w:lineRule="auto"/>
        <w:ind w:firstLine="720"/>
        <w:jc w:val="both"/>
        <w:rPr>
          <w:rFonts w:ascii="Times New Roman" w:hAnsi="Times New Roman"/>
          <w:sz w:val="24"/>
          <w:szCs w:val="24"/>
          <w:lang w:val="pt-BR"/>
        </w:rPr>
      </w:pPr>
    </w:p>
    <w:p w:rsidR="00553639" w:rsidRDefault="00553639" w:rsidP="00590A4E">
      <w:pPr>
        <w:tabs>
          <w:tab w:val="left" w:pos="720"/>
        </w:tabs>
        <w:spacing w:after="0" w:line="240" w:lineRule="auto"/>
        <w:ind w:firstLine="720"/>
        <w:jc w:val="both"/>
        <w:rPr>
          <w:rFonts w:ascii="Times New Roman" w:hAnsi="Times New Roman"/>
          <w:b/>
          <w:sz w:val="24"/>
          <w:szCs w:val="24"/>
          <w:lang w:val="pt-BR"/>
        </w:rPr>
      </w:pPr>
    </w:p>
    <w:p w:rsidR="00553639" w:rsidRPr="00A0590F" w:rsidRDefault="00553639" w:rsidP="00822B89">
      <w:pPr>
        <w:spacing w:after="0" w:line="240" w:lineRule="auto"/>
        <w:ind w:firstLine="630"/>
        <w:jc w:val="both"/>
        <w:rPr>
          <w:rFonts w:ascii="Times New Roman" w:hAnsi="Times New Roman"/>
          <w:b/>
          <w:sz w:val="24"/>
          <w:szCs w:val="24"/>
          <w:lang w:val="pt-BR"/>
        </w:rPr>
      </w:pPr>
    </w:p>
    <w:p w:rsidR="00553639" w:rsidRPr="00A0590F" w:rsidRDefault="00553639" w:rsidP="00822B89">
      <w:pPr>
        <w:spacing w:after="0" w:line="240" w:lineRule="auto"/>
        <w:jc w:val="both"/>
        <w:rPr>
          <w:rFonts w:ascii="Times New Roman" w:hAnsi="Times New Roman"/>
          <w:b/>
          <w:sz w:val="24"/>
          <w:szCs w:val="24"/>
          <w:lang w:val="pt-BR"/>
        </w:rPr>
      </w:pPr>
    </w:p>
    <w:p w:rsidR="00553639" w:rsidRPr="00A0590F" w:rsidRDefault="00553639" w:rsidP="00822B89">
      <w:pPr>
        <w:spacing w:after="0" w:line="240" w:lineRule="auto"/>
        <w:jc w:val="center"/>
        <w:rPr>
          <w:rFonts w:ascii="Times New Roman" w:hAnsi="Times New Roman"/>
          <w:b/>
          <w:sz w:val="24"/>
          <w:szCs w:val="24"/>
          <w:lang w:val="pt-BR"/>
        </w:rPr>
      </w:pPr>
    </w:p>
    <w:p w:rsidR="00553639" w:rsidRPr="00A0590F" w:rsidRDefault="00553639" w:rsidP="00822B89">
      <w:pPr>
        <w:spacing w:after="0" w:line="240" w:lineRule="auto"/>
        <w:jc w:val="center"/>
        <w:rPr>
          <w:rFonts w:ascii="Times New Roman" w:hAnsi="Times New Roman"/>
          <w:b/>
          <w:sz w:val="24"/>
          <w:szCs w:val="24"/>
          <w:lang w:val="pt-BR"/>
        </w:rPr>
      </w:pPr>
    </w:p>
    <w:p w:rsidR="00553639" w:rsidRPr="00A0590F" w:rsidRDefault="00553639" w:rsidP="00822B89">
      <w:pPr>
        <w:spacing w:after="0" w:line="240" w:lineRule="auto"/>
        <w:jc w:val="center"/>
        <w:rPr>
          <w:rFonts w:ascii="Times New Roman" w:hAnsi="Times New Roman"/>
          <w:b/>
          <w:sz w:val="24"/>
          <w:szCs w:val="24"/>
          <w:lang w:val="pt-BR"/>
        </w:rPr>
      </w:pPr>
    </w:p>
    <w:sectPr w:rsidR="00553639" w:rsidRPr="00A0590F" w:rsidSect="008C05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639" w:rsidRDefault="00553639" w:rsidP="00732020">
      <w:pPr>
        <w:spacing w:after="0" w:line="240" w:lineRule="auto"/>
      </w:pPr>
      <w:r>
        <w:separator/>
      </w:r>
    </w:p>
  </w:endnote>
  <w:endnote w:type="continuationSeparator" w:id="0">
    <w:p w:rsidR="00553639" w:rsidRDefault="00553639" w:rsidP="00732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TTdcr10">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639" w:rsidRDefault="00553639" w:rsidP="00732020">
      <w:pPr>
        <w:spacing w:after="0" w:line="240" w:lineRule="auto"/>
      </w:pPr>
      <w:r>
        <w:separator/>
      </w:r>
    </w:p>
  </w:footnote>
  <w:footnote w:type="continuationSeparator" w:id="0">
    <w:p w:rsidR="00553639" w:rsidRDefault="00553639" w:rsidP="00732020">
      <w:pPr>
        <w:spacing w:after="0" w:line="240" w:lineRule="auto"/>
      </w:pPr>
      <w:r>
        <w:continuationSeparator/>
      </w:r>
    </w:p>
  </w:footnote>
  <w:footnote w:id="1">
    <w:p w:rsidR="00553639" w:rsidRDefault="00553639" w:rsidP="008C41CD">
      <w:pPr>
        <w:pStyle w:val="FootnoteText"/>
      </w:pPr>
      <w:r>
        <w:rPr>
          <w:rStyle w:val="FootnoteReference"/>
        </w:rPr>
        <w:footnoteRef/>
      </w:r>
      <w:r>
        <w:t xml:space="preserve"> O modelo dos “gansos voadores” é muito bem discutido em Amsden (1989).</w:t>
      </w:r>
    </w:p>
  </w:footnote>
  <w:footnote w:id="2">
    <w:p w:rsidR="00553639" w:rsidRDefault="00553639" w:rsidP="008C41CD">
      <w:pPr>
        <w:pStyle w:val="FootnoteText"/>
        <w:jc w:val="both"/>
      </w:pPr>
      <w:r>
        <w:rPr>
          <w:rStyle w:val="FootnoteReference"/>
        </w:rPr>
        <w:footnoteRef/>
      </w:r>
      <w:r>
        <w:t xml:space="preserve"> Sobre essa discussão, ver, por exemplo, Fishlow (2004), Bresser-Pereira e Nakano (2003) e Bresser-Pereira (2007).</w:t>
      </w:r>
    </w:p>
  </w:footnote>
  <w:footnote w:id="3">
    <w:p w:rsidR="00553639" w:rsidRDefault="00553639" w:rsidP="000C7D2F">
      <w:pPr>
        <w:tabs>
          <w:tab w:val="left" w:pos="9270"/>
        </w:tabs>
        <w:spacing w:after="0" w:line="240" w:lineRule="auto"/>
        <w:jc w:val="both"/>
        <w:rPr>
          <w:sz w:val="20"/>
          <w:szCs w:val="20"/>
          <w:lang w:val="pt-BR"/>
        </w:rPr>
      </w:pPr>
      <w:r w:rsidRPr="00150C30">
        <w:rPr>
          <w:rStyle w:val="FootnoteReference"/>
          <w:rFonts w:ascii="Times New Roman" w:hAnsi="Times New Roman"/>
          <w:sz w:val="20"/>
          <w:szCs w:val="20"/>
        </w:rPr>
        <w:footnoteRef/>
      </w:r>
      <w:r w:rsidRPr="00150C30">
        <w:rPr>
          <w:rFonts w:ascii="Times New Roman" w:hAnsi="Times New Roman"/>
          <w:sz w:val="20"/>
          <w:szCs w:val="20"/>
          <w:lang w:val="pt-BR"/>
        </w:rPr>
        <w:t xml:space="preserve"> Na maioria dos casos, as políticas monetárias expansivas não só geram pressões nos preços dos não comercializáveis, mas também se traduz em perdas de reservas internacionais, aumento os empréstimos estrangeiros líquidos acima do seu nível de longo prazo sustentável, aumentando o </w:t>
      </w:r>
      <w:r w:rsidRPr="00150C30">
        <w:rPr>
          <w:rFonts w:ascii="Times New Roman" w:hAnsi="Times New Roman"/>
          <w:i/>
          <w:sz w:val="20"/>
          <w:szCs w:val="20"/>
          <w:lang w:val="pt-BR"/>
        </w:rPr>
        <w:t xml:space="preserve">gap </w:t>
      </w:r>
      <w:r w:rsidRPr="00150C30">
        <w:rPr>
          <w:rFonts w:ascii="Times New Roman" w:hAnsi="Times New Roman"/>
          <w:sz w:val="20"/>
          <w:szCs w:val="20"/>
          <w:lang w:val="pt-BR"/>
        </w:rPr>
        <w:t>do desalinhamento.</w:t>
      </w:r>
      <w:r w:rsidRPr="00DB7227">
        <w:rPr>
          <w:rStyle w:val="FootnoteReference"/>
          <w:sz w:val="20"/>
          <w:szCs w:val="20"/>
          <w:lang w:val="pt-BR"/>
        </w:rPr>
        <w:t xml:space="preserve"> </w:t>
      </w:r>
    </w:p>
    <w:p w:rsidR="00553639" w:rsidRDefault="00553639" w:rsidP="000C7D2F">
      <w:pPr>
        <w:tabs>
          <w:tab w:val="left" w:pos="9270"/>
        </w:tabs>
        <w:spacing w:after="0" w:line="240" w:lineRule="auto"/>
        <w:jc w:val="both"/>
      </w:pPr>
      <w:r w:rsidRPr="00F177DD">
        <w:rPr>
          <w:rStyle w:val="FootnoteReference"/>
          <w:sz w:val="20"/>
          <w:szCs w:val="20"/>
          <w:lang w:val="pt-BR"/>
        </w:rPr>
        <w:t>4</w:t>
      </w:r>
      <w:r w:rsidRPr="00BC412E">
        <w:rPr>
          <w:sz w:val="20"/>
          <w:szCs w:val="20"/>
          <w:lang w:val="pt-BR"/>
        </w:rPr>
        <w:t xml:space="preserve"> </w:t>
      </w:r>
      <w:r w:rsidRPr="00BC412E">
        <w:rPr>
          <w:rFonts w:ascii="Times New Roman" w:hAnsi="Times New Roman"/>
          <w:sz w:val="20"/>
          <w:szCs w:val="20"/>
          <w:lang w:val="pt-BR"/>
        </w:rPr>
        <w:t>Uma questão importante que surge é se as mudanças nos determinantes reais da RER são percebidas como temporários ou permanentes. Mudanças temporárias nestas variáveis podem às vezes resultar em divergências significantes entra a taxa de cambio corrente real e a de equilíbrio. Naturalmente, o principal problema com esta situação está em se reconhecer a natureza temporária dos choques quando se trata de políticas macroeconômicas de correção.</w:t>
      </w:r>
      <w:r>
        <w:rPr>
          <w:rFonts w:ascii="Times New Roman" w:hAnsi="Times New Roman"/>
          <w:sz w:val="20"/>
          <w:szCs w:val="20"/>
          <w:lang w:val="pt-BR"/>
        </w:rPr>
        <w:t xml:space="preserve"> </w:t>
      </w:r>
    </w:p>
  </w:footnote>
  <w:footnote w:id="4">
    <w:p w:rsidR="00553639" w:rsidRDefault="00553639" w:rsidP="000C7D2F">
      <w:pPr>
        <w:pStyle w:val="FootnoteText"/>
      </w:pPr>
    </w:p>
  </w:footnote>
  <w:footnote w:id="5">
    <w:p w:rsidR="00553639" w:rsidRDefault="00553639" w:rsidP="000C7D2F">
      <w:pPr>
        <w:spacing w:after="0" w:line="240" w:lineRule="auto"/>
        <w:jc w:val="both"/>
      </w:pPr>
      <w:r w:rsidRPr="00A46E70">
        <w:rPr>
          <w:rStyle w:val="FootnoteReference"/>
          <w:sz w:val="20"/>
          <w:szCs w:val="20"/>
        </w:rPr>
        <w:footnoteRef/>
      </w:r>
      <w:r w:rsidRPr="00A46E70">
        <w:rPr>
          <w:sz w:val="20"/>
          <w:szCs w:val="20"/>
          <w:lang w:val="pt-BR"/>
        </w:rPr>
        <w:t xml:space="preserve"> </w:t>
      </w:r>
      <w:r w:rsidRPr="00A46E70">
        <w:rPr>
          <w:rFonts w:ascii="Times New Roman" w:hAnsi="Times New Roman"/>
          <w:sz w:val="20"/>
          <w:szCs w:val="20"/>
          <w:lang w:val="pt-BR"/>
        </w:rPr>
        <w:t xml:space="preserve">O Fundo, reconhecendo as limitações de sua classificação inicial, revisou e renovou a classificação oficial a partir de 1997, embora não tenha re-avaliado sua classificação histórica depois disso. Um problema com a classificação pré-1997 que têm recebido substancial atenção na literatura recente é a freqüência de episódios onde o regime é classificado como flutuante (gerenciado ou não) quando, de fato, o país tinha um regime de câmbio de </w:t>
      </w:r>
      <w:r w:rsidRPr="00E04230">
        <w:rPr>
          <w:rFonts w:ascii="Times New Roman" w:hAnsi="Times New Roman"/>
          <w:i/>
          <w:sz w:val="20"/>
          <w:szCs w:val="20"/>
          <w:lang w:val="pt-BR"/>
        </w:rPr>
        <w:t>facto</w:t>
      </w:r>
      <w:r w:rsidRPr="00A46E70">
        <w:rPr>
          <w:rFonts w:ascii="Times New Roman" w:hAnsi="Times New Roman"/>
          <w:sz w:val="20"/>
          <w:szCs w:val="20"/>
          <w:lang w:val="pt-BR"/>
        </w:rPr>
        <w:t xml:space="preserve"> fixo ou </w:t>
      </w:r>
      <w:r w:rsidRPr="00E04230">
        <w:rPr>
          <w:rFonts w:ascii="Times New Roman" w:hAnsi="Times New Roman"/>
          <w:i/>
          <w:sz w:val="20"/>
          <w:szCs w:val="20"/>
          <w:lang w:val="pt-BR"/>
        </w:rPr>
        <w:t>crawling peg</w:t>
      </w:r>
      <w:r w:rsidRPr="00A46E70">
        <w:rPr>
          <w:rFonts w:ascii="Times New Roman" w:hAnsi="Times New Roman"/>
          <w:sz w:val="20"/>
          <w:szCs w:val="20"/>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39" w:rsidRDefault="00553639">
    <w:pPr>
      <w:pStyle w:val="Header"/>
      <w:jc w:val="right"/>
    </w:pPr>
    <w:fldSimple w:instr=" PAGE   \* MERGEFORMAT ">
      <w:r>
        <w:rPr>
          <w:noProof/>
        </w:rPr>
        <w:t>1</w:t>
      </w:r>
    </w:fldSimple>
  </w:p>
  <w:p w:rsidR="00553639" w:rsidRDefault="00553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C083E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464D3E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5E402C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4B2BA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5D01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6864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24E7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6A850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781D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E815B0"/>
    <w:lvl w:ilvl="0">
      <w:start w:val="1"/>
      <w:numFmt w:val="bullet"/>
      <w:lvlText w:val=""/>
      <w:lvlJc w:val="left"/>
      <w:pPr>
        <w:tabs>
          <w:tab w:val="num" w:pos="360"/>
        </w:tabs>
        <w:ind w:left="360" w:hanging="360"/>
      </w:pPr>
      <w:rPr>
        <w:rFonts w:ascii="Symbol" w:hAnsi="Symbol" w:hint="default"/>
      </w:rPr>
    </w:lvl>
  </w:abstractNum>
  <w:abstractNum w:abstractNumId="10">
    <w:nsid w:val="000E3540"/>
    <w:multiLevelType w:val="hybridMultilevel"/>
    <w:tmpl w:val="365012C0"/>
    <w:lvl w:ilvl="0" w:tplc="2962FCB4">
      <w:start w:val="3"/>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3C725A9"/>
    <w:multiLevelType w:val="hybridMultilevel"/>
    <w:tmpl w:val="E2A8C8A4"/>
    <w:lvl w:ilvl="0" w:tplc="769E0B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0C32F07"/>
    <w:multiLevelType w:val="hybridMultilevel"/>
    <w:tmpl w:val="850A49AC"/>
    <w:lvl w:ilvl="0" w:tplc="C3426892">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AF05BCE"/>
    <w:multiLevelType w:val="hybridMultilevel"/>
    <w:tmpl w:val="850A49AC"/>
    <w:lvl w:ilvl="0" w:tplc="C3426892">
      <w:start w:val="1"/>
      <w:numFmt w:val="lowerLetter"/>
      <w:lvlText w:val="%1)"/>
      <w:lvlJc w:val="left"/>
      <w:pPr>
        <w:ind w:left="252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4B503D6"/>
    <w:multiLevelType w:val="hybridMultilevel"/>
    <w:tmpl w:val="C562DDD0"/>
    <w:lvl w:ilvl="0" w:tplc="FA5C3BA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1806430"/>
    <w:multiLevelType w:val="hybridMultilevel"/>
    <w:tmpl w:val="E342E14C"/>
    <w:lvl w:ilvl="0" w:tplc="C080A1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6537755"/>
    <w:multiLevelType w:val="hybridMultilevel"/>
    <w:tmpl w:val="8D4E93EE"/>
    <w:lvl w:ilvl="0" w:tplc="58008422">
      <w:start w:val="1"/>
      <w:numFmt w:val="lowerLetter"/>
      <w:lvlText w:val="%1)"/>
      <w:lvlJc w:val="left"/>
      <w:pPr>
        <w:tabs>
          <w:tab w:val="num" w:pos="-180"/>
        </w:tabs>
        <w:ind w:left="-180" w:hanging="360"/>
      </w:pPr>
      <w:rPr>
        <w:rFonts w:cs="Times New Roman" w:hint="default"/>
      </w:rPr>
    </w:lvl>
    <w:lvl w:ilvl="1" w:tplc="04160019" w:tentative="1">
      <w:start w:val="1"/>
      <w:numFmt w:val="lowerLetter"/>
      <w:lvlText w:val="%2."/>
      <w:lvlJc w:val="left"/>
      <w:pPr>
        <w:tabs>
          <w:tab w:val="num" w:pos="540"/>
        </w:tabs>
        <w:ind w:left="540" w:hanging="360"/>
      </w:pPr>
      <w:rPr>
        <w:rFonts w:cs="Times New Roman"/>
      </w:rPr>
    </w:lvl>
    <w:lvl w:ilvl="2" w:tplc="0416001B" w:tentative="1">
      <w:start w:val="1"/>
      <w:numFmt w:val="lowerRoman"/>
      <w:lvlText w:val="%3."/>
      <w:lvlJc w:val="right"/>
      <w:pPr>
        <w:tabs>
          <w:tab w:val="num" w:pos="1260"/>
        </w:tabs>
        <w:ind w:left="1260" w:hanging="180"/>
      </w:pPr>
      <w:rPr>
        <w:rFonts w:cs="Times New Roman"/>
      </w:rPr>
    </w:lvl>
    <w:lvl w:ilvl="3" w:tplc="0416000F" w:tentative="1">
      <w:start w:val="1"/>
      <w:numFmt w:val="decimal"/>
      <w:lvlText w:val="%4."/>
      <w:lvlJc w:val="left"/>
      <w:pPr>
        <w:tabs>
          <w:tab w:val="num" w:pos="1980"/>
        </w:tabs>
        <w:ind w:left="1980" w:hanging="360"/>
      </w:pPr>
      <w:rPr>
        <w:rFonts w:cs="Times New Roman"/>
      </w:rPr>
    </w:lvl>
    <w:lvl w:ilvl="4" w:tplc="04160019" w:tentative="1">
      <w:start w:val="1"/>
      <w:numFmt w:val="lowerLetter"/>
      <w:lvlText w:val="%5."/>
      <w:lvlJc w:val="left"/>
      <w:pPr>
        <w:tabs>
          <w:tab w:val="num" w:pos="2700"/>
        </w:tabs>
        <w:ind w:left="2700" w:hanging="360"/>
      </w:pPr>
      <w:rPr>
        <w:rFonts w:cs="Times New Roman"/>
      </w:rPr>
    </w:lvl>
    <w:lvl w:ilvl="5" w:tplc="0416001B" w:tentative="1">
      <w:start w:val="1"/>
      <w:numFmt w:val="lowerRoman"/>
      <w:lvlText w:val="%6."/>
      <w:lvlJc w:val="right"/>
      <w:pPr>
        <w:tabs>
          <w:tab w:val="num" w:pos="3420"/>
        </w:tabs>
        <w:ind w:left="3420" w:hanging="180"/>
      </w:pPr>
      <w:rPr>
        <w:rFonts w:cs="Times New Roman"/>
      </w:rPr>
    </w:lvl>
    <w:lvl w:ilvl="6" w:tplc="0416000F" w:tentative="1">
      <w:start w:val="1"/>
      <w:numFmt w:val="decimal"/>
      <w:lvlText w:val="%7."/>
      <w:lvlJc w:val="left"/>
      <w:pPr>
        <w:tabs>
          <w:tab w:val="num" w:pos="4140"/>
        </w:tabs>
        <w:ind w:left="4140" w:hanging="360"/>
      </w:pPr>
      <w:rPr>
        <w:rFonts w:cs="Times New Roman"/>
      </w:rPr>
    </w:lvl>
    <w:lvl w:ilvl="7" w:tplc="04160019" w:tentative="1">
      <w:start w:val="1"/>
      <w:numFmt w:val="lowerLetter"/>
      <w:lvlText w:val="%8."/>
      <w:lvlJc w:val="left"/>
      <w:pPr>
        <w:tabs>
          <w:tab w:val="num" w:pos="4860"/>
        </w:tabs>
        <w:ind w:left="4860" w:hanging="360"/>
      </w:pPr>
      <w:rPr>
        <w:rFonts w:cs="Times New Roman"/>
      </w:rPr>
    </w:lvl>
    <w:lvl w:ilvl="8" w:tplc="0416001B" w:tentative="1">
      <w:start w:val="1"/>
      <w:numFmt w:val="lowerRoman"/>
      <w:lvlText w:val="%9."/>
      <w:lvlJc w:val="right"/>
      <w:pPr>
        <w:tabs>
          <w:tab w:val="num" w:pos="5580"/>
        </w:tabs>
        <w:ind w:left="5580" w:hanging="180"/>
      </w:pPr>
      <w:rPr>
        <w:rFonts w:cs="Times New Roman"/>
      </w:rPr>
    </w:lvl>
  </w:abstractNum>
  <w:abstractNum w:abstractNumId="17">
    <w:nsid w:val="6AE51CF2"/>
    <w:multiLevelType w:val="hybridMultilevel"/>
    <w:tmpl w:val="1C368728"/>
    <w:lvl w:ilvl="0" w:tplc="A9D86D88">
      <w:start w:val="1"/>
      <w:numFmt w:val="low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5520D05"/>
    <w:multiLevelType w:val="hybridMultilevel"/>
    <w:tmpl w:val="075C99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10"/>
  </w:num>
  <w:num w:numId="4">
    <w:abstractNumId w:val="17"/>
  </w:num>
  <w:num w:numId="5">
    <w:abstractNumId w:val="15"/>
  </w:num>
  <w:num w:numId="6">
    <w:abstractNumId w:val="18"/>
  </w:num>
  <w:num w:numId="7">
    <w:abstractNumId w:val="16"/>
  </w:num>
  <w:num w:numId="8">
    <w:abstractNumId w:val="12"/>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020"/>
    <w:rsid w:val="00003923"/>
    <w:rsid w:val="00011323"/>
    <w:rsid w:val="000114B5"/>
    <w:rsid w:val="000176CD"/>
    <w:rsid w:val="00041D94"/>
    <w:rsid w:val="000442C4"/>
    <w:rsid w:val="0005138D"/>
    <w:rsid w:val="00052811"/>
    <w:rsid w:val="00054230"/>
    <w:rsid w:val="000721AC"/>
    <w:rsid w:val="000B18DD"/>
    <w:rsid w:val="000C714D"/>
    <w:rsid w:val="000C7D2F"/>
    <w:rsid w:val="000D495B"/>
    <w:rsid w:val="000D4E47"/>
    <w:rsid w:val="000E06F3"/>
    <w:rsid w:val="00106775"/>
    <w:rsid w:val="00106865"/>
    <w:rsid w:val="0011241E"/>
    <w:rsid w:val="0013561E"/>
    <w:rsid w:val="00146C03"/>
    <w:rsid w:val="00150C30"/>
    <w:rsid w:val="00176DBB"/>
    <w:rsid w:val="0018342A"/>
    <w:rsid w:val="00197413"/>
    <w:rsid w:val="001A6A54"/>
    <w:rsid w:val="001C76B3"/>
    <w:rsid w:val="001D687E"/>
    <w:rsid w:val="001F3EB6"/>
    <w:rsid w:val="002231A9"/>
    <w:rsid w:val="002276C1"/>
    <w:rsid w:val="002416B0"/>
    <w:rsid w:val="00250F29"/>
    <w:rsid w:val="002723C6"/>
    <w:rsid w:val="00296D5D"/>
    <w:rsid w:val="002977E9"/>
    <w:rsid w:val="002A374D"/>
    <w:rsid w:val="002C5693"/>
    <w:rsid w:val="002D4BEC"/>
    <w:rsid w:val="00306CAA"/>
    <w:rsid w:val="00310996"/>
    <w:rsid w:val="00310BAF"/>
    <w:rsid w:val="003126A8"/>
    <w:rsid w:val="00335E3A"/>
    <w:rsid w:val="003844ED"/>
    <w:rsid w:val="003B6D84"/>
    <w:rsid w:val="003E31F1"/>
    <w:rsid w:val="003E5F82"/>
    <w:rsid w:val="003F376E"/>
    <w:rsid w:val="003F3EEE"/>
    <w:rsid w:val="003F679F"/>
    <w:rsid w:val="003F7F1C"/>
    <w:rsid w:val="004016CC"/>
    <w:rsid w:val="004101DB"/>
    <w:rsid w:val="00421117"/>
    <w:rsid w:val="00453C9F"/>
    <w:rsid w:val="00472344"/>
    <w:rsid w:val="00474E56"/>
    <w:rsid w:val="004B2A84"/>
    <w:rsid w:val="004B4DF0"/>
    <w:rsid w:val="004C01A5"/>
    <w:rsid w:val="004E3FFA"/>
    <w:rsid w:val="00500BA9"/>
    <w:rsid w:val="005035FA"/>
    <w:rsid w:val="00504F3A"/>
    <w:rsid w:val="00513436"/>
    <w:rsid w:val="00526E94"/>
    <w:rsid w:val="005419A1"/>
    <w:rsid w:val="005511BE"/>
    <w:rsid w:val="0055194C"/>
    <w:rsid w:val="00551C17"/>
    <w:rsid w:val="00553639"/>
    <w:rsid w:val="005602D4"/>
    <w:rsid w:val="00590A4E"/>
    <w:rsid w:val="005A32E6"/>
    <w:rsid w:val="005E3977"/>
    <w:rsid w:val="005E44AD"/>
    <w:rsid w:val="005F36AF"/>
    <w:rsid w:val="006038A3"/>
    <w:rsid w:val="006120DF"/>
    <w:rsid w:val="00630B64"/>
    <w:rsid w:val="00635650"/>
    <w:rsid w:val="00635FFF"/>
    <w:rsid w:val="00682082"/>
    <w:rsid w:val="00684D25"/>
    <w:rsid w:val="006945A3"/>
    <w:rsid w:val="0069645F"/>
    <w:rsid w:val="00697982"/>
    <w:rsid w:val="006A7A4B"/>
    <w:rsid w:val="006D13D8"/>
    <w:rsid w:val="006D32B0"/>
    <w:rsid w:val="006D36FC"/>
    <w:rsid w:val="006E22CE"/>
    <w:rsid w:val="0071106B"/>
    <w:rsid w:val="0071640C"/>
    <w:rsid w:val="00725394"/>
    <w:rsid w:val="00732020"/>
    <w:rsid w:val="00753273"/>
    <w:rsid w:val="00755816"/>
    <w:rsid w:val="007670DB"/>
    <w:rsid w:val="00780BD6"/>
    <w:rsid w:val="00795A81"/>
    <w:rsid w:val="007C249A"/>
    <w:rsid w:val="007E0A3A"/>
    <w:rsid w:val="007E58C5"/>
    <w:rsid w:val="008100D5"/>
    <w:rsid w:val="00822B89"/>
    <w:rsid w:val="00827B8F"/>
    <w:rsid w:val="00847FA4"/>
    <w:rsid w:val="008632C4"/>
    <w:rsid w:val="00865EC3"/>
    <w:rsid w:val="00877717"/>
    <w:rsid w:val="00884171"/>
    <w:rsid w:val="00887A73"/>
    <w:rsid w:val="00897A4F"/>
    <w:rsid w:val="008C0517"/>
    <w:rsid w:val="008C2C64"/>
    <w:rsid w:val="008C41CD"/>
    <w:rsid w:val="008F2076"/>
    <w:rsid w:val="009279D4"/>
    <w:rsid w:val="009343AB"/>
    <w:rsid w:val="009477F7"/>
    <w:rsid w:val="00950A51"/>
    <w:rsid w:val="009617E9"/>
    <w:rsid w:val="0096638C"/>
    <w:rsid w:val="00973DB8"/>
    <w:rsid w:val="00983DD0"/>
    <w:rsid w:val="0099159B"/>
    <w:rsid w:val="009B27E0"/>
    <w:rsid w:val="009B2F44"/>
    <w:rsid w:val="009C2E71"/>
    <w:rsid w:val="009C3FF6"/>
    <w:rsid w:val="009E0EF5"/>
    <w:rsid w:val="009F599C"/>
    <w:rsid w:val="00A018A3"/>
    <w:rsid w:val="00A0590F"/>
    <w:rsid w:val="00A14041"/>
    <w:rsid w:val="00A26BCF"/>
    <w:rsid w:val="00A44782"/>
    <w:rsid w:val="00A46E70"/>
    <w:rsid w:val="00A6374D"/>
    <w:rsid w:val="00A63B07"/>
    <w:rsid w:val="00A678FF"/>
    <w:rsid w:val="00AB0277"/>
    <w:rsid w:val="00AC0466"/>
    <w:rsid w:val="00AC368C"/>
    <w:rsid w:val="00AE5792"/>
    <w:rsid w:val="00B03D6E"/>
    <w:rsid w:val="00B04147"/>
    <w:rsid w:val="00B16390"/>
    <w:rsid w:val="00B22224"/>
    <w:rsid w:val="00B227F6"/>
    <w:rsid w:val="00B270AA"/>
    <w:rsid w:val="00B40866"/>
    <w:rsid w:val="00B5130D"/>
    <w:rsid w:val="00B54AA9"/>
    <w:rsid w:val="00B779A5"/>
    <w:rsid w:val="00BB5E38"/>
    <w:rsid w:val="00BC380E"/>
    <w:rsid w:val="00BC412E"/>
    <w:rsid w:val="00BC7A44"/>
    <w:rsid w:val="00BD3C3B"/>
    <w:rsid w:val="00BF2290"/>
    <w:rsid w:val="00C16B4B"/>
    <w:rsid w:val="00C422BB"/>
    <w:rsid w:val="00C51F00"/>
    <w:rsid w:val="00CA2CDC"/>
    <w:rsid w:val="00CB528E"/>
    <w:rsid w:val="00CD0724"/>
    <w:rsid w:val="00CD4FDF"/>
    <w:rsid w:val="00CD6284"/>
    <w:rsid w:val="00CF0921"/>
    <w:rsid w:val="00CF2103"/>
    <w:rsid w:val="00CF2267"/>
    <w:rsid w:val="00D21292"/>
    <w:rsid w:val="00D26C25"/>
    <w:rsid w:val="00D553BE"/>
    <w:rsid w:val="00D77100"/>
    <w:rsid w:val="00D82734"/>
    <w:rsid w:val="00D86AC8"/>
    <w:rsid w:val="00DA10E3"/>
    <w:rsid w:val="00DA77FD"/>
    <w:rsid w:val="00DB5B12"/>
    <w:rsid w:val="00DB7227"/>
    <w:rsid w:val="00DF3BDE"/>
    <w:rsid w:val="00E04230"/>
    <w:rsid w:val="00E4617B"/>
    <w:rsid w:val="00E47375"/>
    <w:rsid w:val="00E53F77"/>
    <w:rsid w:val="00E67C1C"/>
    <w:rsid w:val="00E74C43"/>
    <w:rsid w:val="00E760D8"/>
    <w:rsid w:val="00E85B50"/>
    <w:rsid w:val="00EA55E5"/>
    <w:rsid w:val="00EB08E4"/>
    <w:rsid w:val="00EF74F1"/>
    <w:rsid w:val="00F1064F"/>
    <w:rsid w:val="00F10D6B"/>
    <w:rsid w:val="00F1469C"/>
    <w:rsid w:val="00F177DD"/>
    <w:rsid w:val="00F72A06"/>
    <w:rsid w:val="00F75691"/>
    <w:rsid w:val="00F8597D"/>
    <w:rsid w:val="00F90573"/>
    <w:rsid w:val="00FD59D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2A"/>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3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E"/>
    <w:rPr>
      <w:rFonts w:ascii="Tahoma" w:hAnsi="Tahoma" w:cs="Tahoma"/>
      <w:sz w:val="16"/>
      <w:szCs w:val="16"/>
    </w:rPr>
  </w:style>
  <w:style w:type="paragraph" w:styleId="Header">
    <w:name w:val="header"/>
    <w:basedOn w:val="Normal"/>
    <w:link w:val="HeaderChar"/>
    <w:uiPriority w:val="99"/>
    <w:rsid w:val="0073202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32020"/>
    <w:rPr>
      <w:rFonts w:cs="Times New Roman"/>
    </w:rPr>
  </w:style>
  <w:style w:type="paragraph" w:styleId="Footer">
    <w:name w:val="footer"/>
    <w:basedOn w:val="Normal"/>
    <w:link w:val="FooterChar"/>
    <w:uiPriority w:val="99"/>
    <w:semiHidden/>
    <w:rsid w:val="007320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32020"/>
    <w:rPr>
      <w:rFonts w:cs="Times New Roman"/>
    </w:rPr>
  </w:style>
  <w:style w:type="paragraph" w:styleId="FootnoteText">
    <w:name w:val="footnote text"/>
    <w:basedOn w:val="Normal"/>
    <w:link w:val="FootnoteTextChar"/>
    <w:uiPriority w:val="99"/>
    <w:semiHidden/>
    <w:rsid w:val="00B54AA9"/>
    <w:pPr>
      <w:spacing w:after="0" w:line="240" w:lineRule="auto"/>
    </w:pPr>
    <w:rPr>
      <w:rFonts w:ascii="Times New Roman" w:eastAsia="Times New Roman" w:hAnsi="Times New Roman"/>
      <w:sz w:val="20"/>
      <w:szCs w:val="20"/>
      <w:lang w:val="pt-BR" w:eastAsia="pt-BR"/>
    </w:rPr>
  </w:style>
  <w:style w:type="character" w:customStyle="1" w:styleId="FootnoteTextChar">
    <w:name w:val="Footnote Text Char"/>
    <w:basedOn w:val="DefaultParagraphFont"/>
    <w:link w:val="FootnoteText"/>
    <w:uiPriority w:val="99"/>
    <w:semiHidden/>
    <w:locked/>
    <w:rsid w:val="00B54AA9"/>
    <w:rPr>
      <w:rFonts w:ascii="Times New Roman" w:hAnsi="Times New Roman" w:cs="Times New Roman"/>
      <w:sz w:val="20"/>
      <w:szCs w:val="20"/>
      <w:lang w:val="pt-BR" w:eastAsia="pt-BR"/>
    </w:rPr>
  </w:style>
  <w:style w:type="character" w:styleId="FootnoteReference">
    <w:name w:val="footnote reference"/>
    <w:basedOn w:val="DefaultParagraphFont"/>
    <w:uiPriority w:val="99"/>
    <w:semiHidden/>
    <w:rsid w:val="00B54AA9"/>
    <w:rPr>
      <w:rFonts w:cs="Times New Roman"/>
      <w:vertAlign w:val="superscript"/>
    </w:rPr>
  </w:style>
  <w:style w:type="paragraph" w:styleId="ListParagraph">
    <w:name w:val="List Paragraph"/>
    <w:basedOn w:val="Normal"/>
    <w:uiPriority w:val="99"/>
    <w:qFormat/>
    <w:rsid w:val="00BB5E38"/>
    <w:pPr>
      <w:ind w:left="720"/>
      <w:contextualSpacing/>
    </w:pPr>
  </w:style>
  <w:style w:type="paragraph" w:styleId="BodyText">
    <w:name w:val="Body Text"/>
    <w:aliases w:val="Char1 Char Char Char,Char1 Char Char"/>
    <w:basedOn w:val="Normal"/>
    <w:link w:val="BodyTextChar"/>
    <w:uiPriority w:val="99"/>
    <w:rsid w:val="00A6374D"/>
    <w:pPr>
      <w:spacing w:after="240" w:line="360" w:lineRule="auto"/>
      <w:ind w:firstLine="720"/>
    </w:pPr>
    <w:rPr>
      <w:rFonts w:ascii="Times New Roman" w:eastAsia="SimSun" w:hAnsi="Times New Roman"/>
      <w:sz w:val="24"/>
      <w:szCs w:val="20"/>
      <w:lang w:val="pt-BR" w:eastAsia="zh-CN"/>
    </w:rPr>
  </w:style>
  <w:style w:type="character" w:customStyle="1" w:styleId="BodyTextChar">
    <w:name w:val="Body Text Char"/>
    <w:aliases w:val="Char1 Char Char Char Char,Char1 Char Char Char1"/>
    <w:basedOn w:val="DefaultParagraphFont"/>
    <w:link w:val="BodyText"/>
    <w:uiPriority w:val="99"/>
    <w:locked/>
    <w:rsid w:val="00A6374D"/>
    <w:rPr>
      <w:rFonts w:ascii="Times New Roman" w:eastAsia="SimSun" w:hAnsi="Times New Roman" w:cs="Times New Roman"/>
      <w:sz w:val="20"/>
      <w:szCs w:val="20"/>
      <w:lang w:val="pt-BR" w:eastAsia="zh-CN"/>
    </w:rPr>
  </w:style>
  <w:style w:type="table" w:styleId="TableGrid">
    <w:name w:val="Table Grid"/>
    <w:basedOn w:val="TableNormal"/>
    <w:uiPriority w:val="99"/>
    <w:rsid w:val="000E06F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D26C25"/>
    <w:rPr>
      <w:rFonts w:cs="Times New Roman"/>
      <w:sz w:val="16"/>
      <w:szCs w:val="16"/>
    </w:rPr>
  </w:style>
  <w:style w:type="paragraph" w:styleId="CommentText">
    <w:name w:val="annotation text"/>
    <w:basedOn w:val="Normal"/>
    <w:link w:val="CommentTextChar"/>
    <w:uiPriority w:val="99"/>
    <w:semiHidden/>
    <w:rsid w:val="00D26C2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D26C25"/>
    <w:rPr>
      <w:b/>
      <w:bCs/>
    </w:rPr>
  </w:style>
  <w:style w:type="character" w:customStyle="1" w:styleId="CommentSubjectChar">
    <w:name w:val="Comment Subject Char"/>
    <w:basedOn w:val="CommentTextChar"/>
    <w:link w:val="CommentSubject"/>
    <w:uiPriority w:val="99"/>
    <w:semiHidden/>
    <w:locked/>
    <w:rPr>
      <w:b/>
      <w:bCs/>
    </w:rPr>
  </w:style>
  <w:style w:type="paragraph" w:styleId="Title">
    <w:name w:val="Title"/>
    <w:basedOn w:val="Normal"/>
    <w:link w:val="TitleChar"/>
    <w:uiPriority w:val="99"/>
    <w:qFormat/>
    <w:locked/>
    <w:rsid w:val="00453C9F"/>
    <w:pPr>
      <w:spacing w:after="0" w:line="240" w:lineRule="auto"/>
      <w:jc w:val="center"/>
    </w:pPr>
    <w:rPr>
      <w:rFonts w:ascii="Times New Roman" w:eastAsia="Times New Roman" w:hAnsi="Times New Roman"/>
      <w:b/>
      <w:bCs/>
      <w:sz w:val="28"/>
      <w:szCs w:val="24"/>
      <w:lang w:val="pt-BR" w:eastAsia="pt-BR"/>
    </w:rPr>
  </w:style>
  <w:style w:type="character" w:customStyle="1" w:styleId="TitleChar">
    <w:name w:val="Title Char"/>
    <w:basedOn w:val="DefaultParagraphFont"/>
    <w:link w:val="Title"/>
    <w:uiPriority w:val="99"/>
    <w:locked/>
    <w:rsid w:val="00453C9F"/>
    <w:rPr>
      <w:rFonts w:ascii="Times New Roman" w:hAnsi="Times New Roman" w:cs="Times New Roman"/>
      <w:b/>
      <w:bCs/>
      <w:sz w:val="24"/>
      <w:szCs w:val="24"/>
    </w:rPr>
  </w:style>
  <w:style w:type="character" w:styleId="Hyperlink">
    <w:name w:val="Hyperlink"/>
    <w:basedOn w:val="DefaultParagraphFont"/>
    <w:uiPriority w:val="99"/>
    <w:rsid w:val="00453C9F"/>
    <w:rPr>
      <w:rFonts w:cs="Times New Roman"/>
      <w:color w:val="003366"/>
      <w:u w:val="none"/>
      <w:effect w:val="none"/>
    </w:rPr>
  </w:style>
  <w:style w:type="character" w:styleId="Strong">
    <w:name w:val="Strong"/>
    <w:basedOn w:val="DefaultParagraphFont"/>
    <w:uiPriority w:val="99"/>
    <w:qFormat/>
    <w:locked/>
    <w:rsid w:val="00453C9F"/>
    <w:rPr>
      <w:rFonts w:cs="Times New Roman"/>
      <w:b/>
      <w:bCs/>
    </w:rPr>
  </w:style>
</w:styles>
</file>

<file path=word/webSettings.xml><?xml version="1.0" encoding="utf-8"?>
<w:webSettings xmlns:r="http://schemas.openxmlformats.org/officeDocument/2006/relationships" xmlns:w="http://schemas.openxmlformats.org/wordprocessingml/2006/main">
  <w:divs>
    <w:div w:id="1035933511">
      <w:marLeft w:val="0"/>
      <w:marRight w:val="0"/>
      <w:marTop w:val="0"/>
      <w:marBottom w:val="0"/>
      <w:divBdr>
        <w:top w:val="none" w:sz="0" w:space="0" w:color="auto"/>
        <w:left w:val="none" w:sz="0" w:space="0" w:color="auto"/>
        <w:bottom w:val="none" w:sz="0" w:space="0" w:color="auto"/>
        <w:right w:val="none" w:sz="0" w:space="0" w:color="auto"/>
      </w:divBdr>
    </w:div>
    <w:div w:id="1035933512">
      <w:marLeft w:val="0"/>
      <w:marRight w:val="0"/>
      <w:marTop w:val="0"/>
      <w:marBottom w:val="0"/>
      <w:divBdr>
        <w:top w:val="none" w:sz="0" w:space="0" w:color="auto"/>
        <w:left w:val="none" w:sz="0" w:space="0" w:color="auto"/>
        <w:bottom w:val="none" w:sz="0" w:space="0" w:color="auto"/>
        <w:right w:val="none" w:sz="0" w:space="0" w:color="auto"/>
      </w:divBdr>
    </w:div>
    <w:div w:id="1035933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JavaScript:WinOpen(209249);" TargetMode="External"/><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19</Pages>
  <Words>8895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Têndencia à Apreciação da Taxa de Câmbio e Dutch Disease: Uma primeira aproximação</dc:title>
  <dc:subject/>
  <dc:creator>Marcos Rocha</dc:creator>
  <cp:keywords/>
  <dc:description/>
  <cp:lastModifiedBy>nelson.marconi</cp:lastModifiedBy>
  <cp:revision>4</cp:revision>
  <cp:lastPrinted>2010-05-30T21:41:00Z</cp:lastPrinted>
  <dcterms:created xsi:type="dcterms:W3CDTF">2010-07-20T23:04:00Z</dcterms:created>
  <dcterms:modified xsi:type="dcterms:W3CDTF">2010-07-20T23:45:00Z</dcterms:modified>
</cp:coreProperties>
</file>