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F9" w:rsidRDefault="00692DF9" w:rsidP="00B70EAC">
      <w:pPr>
        <w:jc w:val="center"/>
        <w:outlineLvl w:val="0"/>
        <w:rPr>
          <w:b/>
        </w:rPr>
      </w:pPr>
      <w:r>
        <w:rPr>
          <w:b/>
        </w:rPr>
        <w:t>PADRÕES SETORIAIS DE APRENDIZAGEM DA INDÚSTRIA BRASILEIRA</w:t>
      </w:r>
      <w:r w:rsidR="00B70EAC">
        <w:rPr>
          <w:b/>
        </w:rPr>
        <w:t>: UMA ANÁLISE EXPLORATÓRIA</w:t>
      </w:r>
    </w:p>
    <w:p w:rsidR="00B3200A" w:rsidRDefault="00B3200A" w:rsidP="00B70EAC">
      <w:pPr>
        <w:jc w:val="center"/>
        <w:outlineLvl w:val="0"/>
        <w:rPr>
          <w:b/>
        </w:rPr>
      </w:pPr>
    </w:p>
    <w:p w:rsidR="00B3200A" w:rsidRDefault="00B3200A" w:rsidP="00B3200A">
      <w:pPr>
        <w:jc w:val="right"/>
        <w:outlineLvl w:val="0"/>
        <w:rPr>
          <w:b/>
        </w:rPr>
      </w:pPr>
      <w:r>
        <w:rPr>
          <w:b/>
        </w:rPr>
        <w:t>Pablo Felipe Bittencourt</w:t>
      </w:r>
      <w:r>
        <w:rPr>
          <w:rStyle w:val="Refdenotaderodap"/>
          <w:b/>
        </w:rPr>
        <w:footnoteReference w:id="1"/>
      </w:r>
    </w:p>
    <w:p w:rsidR="00692DF9" w:rsidRDefault="00692DF9" w:rsidP="00692DF9">
      <w:pPr>
        <w:jc w:val="both"/>
        <w:outlineLvl w:val="0"/>
        <w:rPr>
          <w:b/>
        </w:rPr>
      </w:pPr>
    </w:p>
    <w:p w:rsidR="00692DF9" w:rsidRDefault="00692DF9" w:rsidP="00692DF9">
      <w:pPr>
        <w:jc w:val="both"/>
        <w:outlineLvl w:val="0"/>
        <w:rPr>
          <w:b/>
        </w:rPr>
      </w:pPr>
      <w:r>
        <w:rPr>
          <w:b/>
        </w:rPr>
        <w:t>Resumo:</w:t>
      </w:r>
      <w:r w:rsidRPr="00992A87">
        <w:t xml:space="preserve"> </w:t>
      </w:r>
      <w:r>
        <w:t>O objetivo do artigo é identifica padrões setoriais de aprendizagem na indústria brasileira. A literatura evolucionária/neoschumpeteriana é utilizada como referencial para teórico, ao passo que a metodologia contempla o uso de técnicas da análise multivariada, aplicadas a indicadores de aprendizagem construídos para 93 setores da atividade industrial brasileira a partir de dados da Pesquisa Brasileira de Inovação (PINTEC). Os resultados revelaram quatro padrões setoriais de aprendizagem que guardaram correspondência a classificação de padrões de mudança tecnológica da taxonomia Pavitt (1984), contudo algumas especificidades puderam ser identificadas.</w:t>
      </w:r>
    </w:p>
    <w:p w:rsidR="00692DF9" w:rsidRDefault="00692DF9" w:rsidP="00692DF9">
      <w:pPr>
        <w:autoSpaceDE w:val="0"/>
        <w:autoSpaceDN w:val="0"/>
        <w:adjustRightInd w:val="0"/>
        <w:rPr>
          <w:rFonts w:eastAsia="Calibri"/>
          <w:color w:val="FF0000"/>
          <w:lang w:eastAsia="en-US"/>
        </w:rPr>
      </w:pPr>
    </w:p>
    <w:p w:rsidR="00692DF9" w:rsidRPr="00692DF9" w:rsidRDefault="00692DF9" w:rsidP="00692DF9">
      <w:pPr>
        <w:autoSpaceDE w:val="0"/>
        <w:autoSpaceDN w:val="0"/>
        <w:adjustRightInd w:val="0"/>
        <w:jc w:val="both"/>
        <w:rPr>
          <w:rFonts w:eastAsia="Calibri"/>
          <w:lang w:eastAsia="en-US"/>
        </w:rPr>
      </w:pPr>
      <w:r w:rsidRPr="007C0F85">
        <w:rPr>
          <w:rStyle w:val="apple-style-span"/>
          <w:b/>
          <w:color w:val="000000"/>
          <w:shd w:val="clear" w:color="auto" w:fill="FFFFFF"/>
          <w:lang w:val="en-US"/>
        </w:rPr>
        <w:t>Abstract</w:t>
      </w:r>
      <w:r w:rsidRPr="007C0F85">
        <w:rPr>
          <w:rStyle w:val="apple-style-span"/>
          <w:color w:val="000000"/>
          <w:shd w:val="clear" w:color="auto" w:fill="FFFFFF"/>
          <w:lang w:val="en-US"/>
        </w:rPr>
        <w:t>: The article aims to identify Sectoral Patterns of Learning in Brazilian Industry.</w:t>
      </w:r>
      <w:r w:rsidRPr="007C0F85">
        <w:rPr>
          <w:rStyle w:val="apple-converted-space"/>
          <w:color w:val="000000"/>
          <w:shd w:val="clear" w:color="auto" w:fill="FFFFFF"/>
          <w:lang w:val="en-US"/>
        </w:rPr>
        <w:t> </w:t>
      </w:r>
      <w:r w:rsidRPr="007C0F85">
        <w:rPr>
          <w:rStyle w:val="apple-style-span"/>
          <w:color w:val="000000"/>
          <w:shd w:val="clear" w:color="auto" w:fill="FFFFFF"/>
          <w:lang w:val="en-US"/>
        </w:rPr>
        <w:t>The evolutionary/neoschumpeterian approach is used as a benchmark for theoretical, while the methodology involved the use of multivariate analysis techniques, applied to learning indicators constructed for 93 sectors of the Brazilian industrial activity. The Brazilian Innovation Survey (PINTEC</w:t>
      </w:r>
      <w:r w:rsidRPr="007C0F85">
        <w:rPr>
          <w:rStyle w:val="apple-style-span"/>
          <w:color w:val="000000"/>
          <w:lang w:val="en-US"/>
        </w:rPr>
        <w:t>) is the major data base used.</w:t>
      </w:r>
      <w:r w:rsidRPr="007C0F85">
        <w:rPr>
          <w:rStyle w:val="apple-converted-space"/>
          <w:color w:val="000000"/>
          <w:lang w:val="en-US"/>
        </w:rPr>
        <w:t> </w:t>
      </w:r>
      <w:r w:rsidRPr="007C0F85">
        <w:rPr>
          <w:rStyle w:val="apple-style-span"/>
          <w:color w:val="000000"/>
          <w:shd w:val="clear" w:color="auto" w:fill="FFFFFF"/>
          <w:lang w:val="en-US"/>
        </w:rPr>
        <w:t xml:space="preserve">The results revealed four sectoral patterns of learning that kept matching the classification of patterns of technological change of the Pavitt taxonomy (1984). </w:t>
      </w:r>
      <w:r w:rsidRPr="007C0F85">
        <w:rPr>
          <w:rFonts w:eastAsiaTheme="minorHAnsi"/>
          <w:lang w:eastAsia="en-US"/>
        </w:rPr>
        <w:t>Although some specificities</w:t>
      </w:r>
      <w:r w:rsidRPr="00692DF9">
        <w:rPr>
          <w:rStyle w:val="apple-style-span"/>
          <w:color w:val="000000"/>
          <w:shd w:val="clear" w:color="auto" w:fill="FFFFFF"/>
        </w:rPr>
        <w:t>, was identified</w:t>
      </w:r>
      <w:r w:rsidRPr="00692DF9">
        <w:rPr>
          <w:rStyle w:val="apple-style-span"/>
          <w:rFonts w:ascii="Arial" w:hAnsi="Arial" w:cs="Arial"/>
          <w:color w:val="000000"/>
          <w:sz w:val="20"/>
          <w:szCs w:val="20"/>
          <w:shd w:val="clear" w:color="auto" w:fill="FFFFFF"/>
        </w:rPr>
        <w:t>.</w:t>
      </w:r>
    </w:p>
    <w:p w:rsidR="00692DF9" w:rsidRPr="00692DF9" w:rsidRDefault="00692DF9" w:rsidP="00692DF9">
      <w:pPr>
        <w:autoSpaceDE w:val="0"/>
        <w:autoSpaceDN w:val="0"/>
        <w:adjustRightInd w:val="0"/>
        <w:rPr>
          <w:rFonts w:eastAsia="Calibri"/>
          <w:lang w:eastAsia="en-US"/>
        </w:rPr>
      </w:pPr>
    </w:p>
    <w:p w:rsidR="00692DF9" w:rsidRDefault="00692DF9" w:rsidP="00692DF9">
      <w:pPr>
        <w:autoSpaceDE w:val="0"/>
        <w:autoSpaceDN w:val="0"/>
        <w:adjustRightInd w:val="0"/>
        <w:rPr>
          <w:rFonts w:eastAsia="Calibri"/>
          <w:color w:val="FF0000"/>
          <w:lang w:eastAsia="en-US"/>
        </w:rPr>
      </w:pPr>
    </w:p>
    <w:p w:rsidR="00692DF9" w:rsidRDefault="00692DF9" w:rsidP="00692DF9">
      <w:pPr>
        <w:autoSpaceDE w:val="0"/>
        <w:autoSpaceDN w:val="0"/>
        <w:adjustRightInd w:val="0"/>
        <w:rPr>
          <w:b/>
        </w:rPr>
      </w:pPr>
      <w:r w:rsidRPr="0042439A">
        <w:rPr>
          <w:b/>
        </w:rPr>
        <w:t>INTRODUÇÃO</w:t>
      </w:r>
    </w:p>
    <w:p w:rsidR="00692DF9" w:rsidRDefault="00692DF9" w:rsidP="00692DF9">
      <w:pPr>
        <w:jc w:val="both"/>
        <w:outlineLvl w:val="0"/>
        <w:rPr>
          <w:b/>
        </w:rPr>
      </w:pPr>
    </w:p>
    <w:p w:rsidR="00692DF9" w:rsidRPr="0069544D" w:rsidRDefault="00692DF9" w:rsidP="00DD1D4C">
      <w:pPr>
        <w:ind w:firstLine="709"/>
        <w:jc w:val="both"/>
        <w:outlineLvl w:val="0"/>
      </w:pPr>
      <w:r>
        <w:t>A literatura recente destaca a inovação como um fenômeno explicado por fatores não lineares, muito além do exclusivo esforço interno do P&amp;D, por exemplo. A geração de inovações exige</w:t>
      </w:r>
      <w:r w:rsidRPr="0069544D">
        <w:t xml:space="preserve"> capacidade de reconhec</w:t>
      </w:r>
      <w:r>
        <w:t>imento</w:t>
      </w:r>
      <w:r w:rsidRPr="0069544D">
        <w:t xml:space="preserve"> </w:t>
      </w:r>
      <w:r>
        <w:t>d</w:t>
      </w:r>
      <w:r w:rsidRPr="0069544D">
        <w:t>o valor das inform</w:t>
      </w:r>
      <w:r>
        <w:t>ações externas, de assimilá-las</w:t>
      </w:r>
      <w:r w:rsidRPr="0069544D">
        <w:t xml:space="preserve"> e traduz</w:t>
      </w:r>
      <w:r>
        <w:t>i-</w:t>
      </w:r>
      <w:r w:rsidRPr="0069544D">
        <w:t>las par</w:t>
      </w:r>
      <w:r>
        <w:t>a</w:t>
      </w:r>
      <w:r w:rsidRPr="0069544D">
        <w:t xml:space="preserve"> máquinas, equipamentos, materiais, componentes</w:t>
      </w:r>
      <w:r>
        <w:t xml:space="preserve"> e produtos, de maneira que a combinação de conhecimentos novos com aqueles enraizados na firma amplie seu estoque de conhecimentos relevantes e suas possibilidades de acessar novos conhecimentos</w:t>
      </w:r>
      <w:r w:rsidRPr="0069544D">
        <w:t xml:space="preserve">. </w:t>
      </w:r>
      <w:r>
        <w:t>Em outras palavras, a</w:t>
      </w:r>
      <w:r w:rsidRPr="0069544D">
        <w:t xml:space="preserve"> interação</w:t>
      </w:r>
      <w:r>
        <w:t xml:space="preserve"> da empresa</w:t>
      </w:r>
      <w:r w:rsidRPr="0069544D">
        <w:t xml:space="preserve"> com o ambiente determina seu acesso a uma diversidade</w:t>
      </w:r>
      <w:r>
        <w:t xml:space="preserve"> particular </w:t>
      </w:r>
      <w:r w:rsidRPr="0069544D">
        <w:t>de recursos</w:t>
      </w:r>
      <w:r>
        <w:t xml:space="preserve"> e a</w:t>
      </w:r>
      <w:r w:rsidRPr="0069544D">
        <w:t xml:space="preserve"> aprendizagem </w:t>
      </w:r>
      <w:r>
        <w:t xml:space="preserve">resultante </w:t>
      </w:r>
      <w:r w:rsidRPr="0069544D">
        <w:t xml:space="preserve">permite </w:t>
      </w:r>
      <w:r>
        <w:t>à</w:t>
      </w:r>
      <w:r w:rsidRPr="0069544D">
        <w:t>s empresas tran</w:t>
      </w:r>
      <w:r>
        <w:t>s</w:t>
      </w:r>
      <w:r w:rsidRPr="0069544D">
        <w:t>formarem seus recursos em inovação.</w:t>
      </w:r>
      <w:r>
        <w:t xml:space="preserve"> </w:t>
      </w:r>
    </w:p>
    <w:p w:rsidR="00692DF9" w:rsidRDefault="00692DF9" w:rsidP="00DD1D4C">
      <w:pPr>
        <w:pStyle w:val="Corpodetexto"/>
        <w:spacing w:line="240" w:lineRule="auto"/>
        <w:ind w:firstLine="709"/>
        <w:rPr>
          <w:bCs w:val="0"/>
        </w:rPr>
      </w:pPr>
      <w:r w:rsidRPr="0063795D">
        <w:rPr>
          <w:bCs w:val="0"/>
        </w:rPr>
        <w:t xml:space="preserve">Ainda que esse processo aconteça de maneira muito </w:t>
      </w:r>
      <w:r>
        <w:rPr>
          <w:bCs w:val="0"/>
        </w:rPr>
        <w:t>particular</w:t>
      </w:r>
      <w:r w:rsidRPr="0063795D">
        <w:rPr>
          <w:bCs w:val="0"/>
        </w:rPr>
        <w:t xml:space="preserve"> em cada firma, neste trabalho, parte-se da hipótese teórica de que regularidades podem ser abstraídas do comportamento das firmas com respeito a determinad</w:t>
      </w:r>
      <w:r>
        <w:rPr>
          <w:bCs w:val="0"/>
        </w:rPr>
        <w:t>o</w:t>
      </w:r>
      <w:r w:rsidRPr="0063795D">
        <w:rPr>
          <w:bCs w:val="0"/>
        </w:rPr>
        <w:t xml:space="preserve">s </w:t>
      </w:r>
      <w:r w:rsidRPr="00175EF7">
        <w:rPr>
          <w:bCs w:val="0"/>
        </w:rPr>
        <w:t>fatores capazes de influenciar seu comportamento. O setor da atividade industrial em que a firma opera é um desses fatores. Sendo a variedade na base de conhecimentos (Malerba e Orsenigo, 1997) um exemplo de elemento que atua de diferente maneira sobre os setores e que implica em multiplicidade nas formas de organização das atividades de aprendizagem. Avançando nessa linha de pesquisa, o objetivo do trabalho é identificar e analisar padrões de aprendizagem das empresas brasileiras</w:t>
      </w:r>
      <w:r>
        <w:rPr>
          <w:bCs w:val="0"/>
        </w:rPr>
        <w:t xml:space="preserve">, utilizando os setores da atividade industrial das firmas como parâmetro das “regularidades”. A hipótese subjacente é a de que os grupos formados guardem características intra-padrão que possam ser analisadas segundo elementos teóricos já definidos pela literatura especializada. Para isso, a técnica de </w:t>
      </w:r>
      <w:r w:rsidRPr="00964A32">
        <w:rPr>
          <w:bCs w:val="0"/>
          <w:i/>
        </w:rPr>
        <w:t>clustering</w:t>
      </w:r>
      <w:r>
        <w:rPr>
          <w:rStyle w:val="Refdenotaderodap"/>
          <w:bCs w:val="0"/>
          <w:i/>
        </w:rPr>
        <w:footnoteReference w:id="2"/>
      </w:r>
      <w:r>
        <w:rPr>
          <w:bCs w:val="0"/>
        </w:rPr>
        <w:t xml:space="preserve"> da análise estatística multivariada foi aplicada à indicadores de aprendizagem (</w:t>
      </w:r>
      <w:r w:rsidRPr="0063795D">
        <w:rPr>
          <w:bCs w:val="0"/>
          <w:i/>
        </w:rPr>
        <w:t>learning</w:t>
      </w:r>
      <w:r>
        <w:rPr>
          <w:bCs w:val="0"/>
        </w:rPr>
        <w:t xml:space="preserve">) construídos a partir das informações das Pesquisas de Inovação Tecnológica do IBGE, PINTEC’s I, II e III referentes aos anos de 1997-2000, 2001-2003 e 2003 -2005 respectivamente.  </w:t>
      </w:r>
    </w:p>
    <w:p w:rsidR="00692DF9" w:rsidRPr="00C56D17" w:rsidRDefault="00692DF9" w:rsidP="00DD1D4C">
      <w:pPr>
        <w:pStyle w:val="Corpodetexto"/>
        <w:spacing w:line="240" w:lineRule="auto"/>
        <w:ind w:firstLine="709"/>
        <w:rPr>
          <w:bCs w:val="0"/>
        </w:rPr>
      </w:pPr>
      <w:r w:rsidRPr="0064249D">
        <w:rPr>
          <w:bCs w:val="0"/>
        </w:rPr>
        <w:lastRenderedPageBreak/>
        <w:t xml:space="preserve">O artigo está organizado em </w:t>
      </w:r>
      <w:r>
        <w:rPr>
          <w:bCs w:val="0"/>
        </w:rPr>
        <w:t>quatro</w:t>
      </w:r>
      <w:r w:rsidRPr="0064249D">
        <w:rPr>
          <w:bCs w:val="0"/>
        </w:rPr>
        <w:t xml:space="preserve"> seções</w:t>
      </w:r>
      <w:r>
        <w:rPr>
          <w:bCs w:val="0"/>
        </w:rPr>
        <w:t>, além dest</w:t>
      </w:r>
      <w:r w:rsidRPr="0064249D">
        <w:rPr>
          <w:bCs w:val="0"/>
        </w:rPr>
        <w:t>a introdução. Na seção seguinte</w:t>
      </w:r>
      <w:r>
        <w:rPr>
          <w:bCs w:val="0"/>
        </w:rPr>
        <w:t>,</w:t>
      </w:r>
      <w:r w:rsidRPr="0064249D">
        <w:rPr>
          <w:bCs w:val="0"/>
        </w:rPr>
        <w:t xml:space="preserve"> </w:t>
      </w:r>
      <w:r>
        <w:rPr>
          <w:bCs w:val="0"/>
        </w:rPr>
        <w:t xml:space="preserve">discutimos a fundamentação teórica e analítica evolucionária/neoschumpeteriana. Na segunda, </w:t>
      </w:r>
      <w:r w:rsidRPr="0064249D">
        <w:rPr>
          <w:bCs w:val="0"/>
        </w:rPr>
        <w:t>apresentam</w:t>
      </w:r>
      <w:r>
        <w:rPr>
          <w:bCs w:val="0"/>
        </w:rPr>
        <w:t>os</w:t>
      </w:r>
      <w:r w:rsidRPr="0064249D">
        <w:rPr>
          <w:bCs w:val="0"/>
        </w:rPr>
        <w:t xml:space="preserve"> </w:t>
      </w:r>
      <w:r>
        <w:rPr>
          <w:bCs w:val="0"/>
        </w:rPr>
        <w:t>os p</w:t>
      </w:r>
      <w:r w:rsidRPr="0064249D">
        <w:rPr>
          <w:bCs w:val="0"/>
        </w:rPr>
        <w:t>rocedimentos metodológicos</w:t>
      </w:r>
      <w:r>
        <w:rPr>
          <w:bCs w:val="0"/>
        </w:rPr>
        <w:t xml:space="preserve"> utilizados.</w:t>
      </w:r>
      <w:r w:rsidRPr="0064249D">
        <w:rPr>
          <w:bCs w:val="0"/>
        </w:rPr>
        <w:t xml:space="preserve"> </w:t>
      </w:r>
      <w:r>
        <w:rPr>
          <w:bCs w:val="0"/>
        </w:rPr>
        <w:t>Na terceira seção,</w:t>
      </w:r>
      <w:r w:rsidRPr="0064249D">
        <w:rPr>
          <w:bCs w:val="0"/>
        </w:rPr>
        <w:t xml:space="preserve"> </w:t>
      </w:r>
      <w:r>
        <w:rPr>
          <w:bCs w:val="0"/>
        </w:rPr>
        <w:t xml:space="preserve">apresentamos e analisamos os padrões resultantes da aplicação da técnica de </w:t>
      </w:r>
      <w:r w:rsidRPr="00982F2B">
        <w:rPr>
          <w:bCs w:val="0"/>
          <w:i/>
        </w:rPr>
        <w:t>cluster</w:t>
      </w:r>
      <w:r w:rsidRPr="0064249D">
        <w:rPr>
          <w:bCs w:val="0"/>
        </w:rPr>
        <w:t xml:space="preserve">. </w:t>
      </w:r>
      <w:r>
        <w:rPr>
          <w:bCs w:val="0"/>
        </w:rPr>
        <w:t>E, a última seção é conclusiva.</w:t>
      </w:r>
    </w:p>
    <w:p w:rsidR="00692DF9" w:rsidRDefault="00692DF9" w:rsidP="00DD1D4C">
      <w:pPr>
        <w:ind w:left="709"/>
        <w:jc w:val="both"/>
        <w:outlineLvl w:val="0"/>
        <w:rPr>
          <w:b/>
        </w:rPr>
      </w:pPr>
    </w:p>
    <w:p w:rsidR="00692DF9" w:rsidRDefault="00692DF9" w:rsidP="00DD1D4C">
      <w:pPr>
        <w:numPr>
          <w:ilvl w:val="0"/>
          <w:numId w:val="1"/>
        </w:numPr>
        <w:jc w:val="both"/>
        <w:outlineLvl w:val="0"/>
        <w:rPr>
          <w:b/>
        </w:rPr>
      </w:pPr>
      <w:r>
        <w:rPr>
          <w:b/>
        </w:rPr>
        <w:t>REFERENCIAL TEÓRICO E ANALÍTICO</w:t>
      </w:r>
    </w:p>
    <w:p w:rsidR="00692DF9" w:rsidRDefault="00692DF9" w:rsidP="00DD1D4C">
      <w:pPr>
        <w:ind w:left="1069"/>
        <w:jc w:val="both"/>
        <w:outlineLvl w:val="0"/>
        <w:rPr>
          <w:b/>
        </w:rPr>
      </w:pPr>
    </w:p>
    <w:p w:rsidR="00692DF9" w:rsidRDefault="00692DF9" w:rsidP="00DD1D4C">
      <w:pPr>
        <w:pStyle w:val="Corpodetexto"/>
        <w:spacing w:line="240" w:lineRule="auto"/>
        <w:ind w:firstLine="709"/>
        <w:rPr>
          <w:b/>
          <w:bCs w:val="0"/>
        </w:rPr>
      </w:pPr>
    </w:p>
    <w:p w:rsidR="00692DF9" w:rsidRPr="006472D3" w:rsidRDefault="00692DF9" w:rsidP="00DD1D4C">
      <w:pPr>
        <w:pStyle w:val="Corpodetexto"/>
        <w:spacing w:line="240" w:lineRule="auto"/>
        <w:ind w:firstLine="709"/>
      </w:pPr>
      <w:r w:rsidRPr="006472D3">
        <w:t>A principal noção pela qual evolui esse artigo define o aprendizado como um processo custoso para as firmas, derivado de fontes de conhecimento internas e externas, o qual resulta na ampliação do estoque de conhecimentos que se acumula na firma (Malerba, 1992). É uma</w:t>
      </w:r>
      <w:r>
        <w:t xml:space="preserve"> </w:t>
      </w:r>
      <w:r w:rsidRPr="006472D3">
        <w:t>noção</w:t>
      </w:r>
      <w:r>
        <w:t xml:space="preserve"> significativamente</w:t>
      </w:r>
      <w:r w:rsidRPr="006472D3">
        <w:t xml:space="preserve"> diferente da de Arrow (1962) para quem o aprendizado é um fenômeno cuja fonte de conhecimento é basicamente a experiência no âmbito da produção (</w:t>
      </w:r>
      <w:r w:rsidRPr="006472D3">
        <w:rPr>
          <w:i/>
        </w:rPr>
        <w:t>learning by doing</w:t>
      </w:r>
      <w:r w:rsidRPr="006472D3">
        <w:t xml:space="preserve">) e que não incorre em custos extras além daqueles típicos da atividade produtiva. </w:t>
      </w:r>
    </w:p>
    <w:p w:rsidR="00692DF9" w:rsidRPr="004B128F" w:rsidRDefault="00692DF9" w:rsidP="00DD1D4C">
      <w:pPr>
        <w:pStyle w:val="Corpodetexto"/>
        <w:spacing w:line="240" w:lineRule="auto"/>
        <w:ind w:firstLine="709"/>
      </w:pPr>
      <w:r>
        <w:t>Sob a noção evolucionária da dinâmica de produção da firma, o</w:t>
      </w:r>
      <w:r w:rsidRPr="006472D3">
        <w:t xml:space="preserve">s custos </w:t>
      </w:r>
      <w:r>
        <w:t>da aprendizagem</w:t>
      </w:r>
      <w:r w:rsidRPr="006472D3">
        <w:t xml:space="preserve"> estão associados a </w:t>
      </w:r>
      <w:r>
        <w:t>processos</w:t>
      </w:r>
      <w:r w:rsidRPr="006472D3">
        <w:t xml:space="preserve"> de busca</w:t>
      </w:r>
      <w:r w:rsidRPr="006472D3">
        <w:rPr>
          <w:rStyle w:val="Refdenotaderodap"/>
        </w:rPr>
        <w:footnoteReference w:id="3"/>
      </w:r>
      <w:r w:rsidRPr="006472D3">
        <w:t xml:space="preserve"> capazes de diferenciar a firma de seus concorrentes. Nesse </w:t>
      </w:r>
      <w:r>
        <w:t>contexto</w:t>
      </w:r>
      <w:r w:rsidRPr="006472D3">
        <w:t>, a firma individual é encarada como um repositório de conhecimentos produtivo e tecnológico constantemente em busca de soluções mais vantajosas dentre diversas oportunidades possíveis. Sendo o processo decisório influenciado pelas formas de organização e processamento interno de suas atividades, ou melhor, por suas rotinas (Nelson e Winter, 1982). Partes das rotinas das firmas são desenv</w:t>
      </w:r>
      <w:r w:rsidRPr="004B128F">
        <w:t xml:space="preserve">olvidas em um processo de interação com o ambiente concorrencial através da introdução de inovações, da interação com clientes, da busca de novos nichos, entre outras. </w:t>
      </w:r>
      <w:r>
        <w:t>O</w:t>
      </w:r>
      <w:r w:rsidRPr="004B128F">
        <w:t xml:space="preserve"> processo resulta na transformação </w:t>
      </w:r>
      <w:r>
        <w:t>constante</w:t>
      </w:r>
      <w:r w:rsidRPr="004B128F">
        <w:t xml:space="preserve"> do ambiente devido à influência dos próprios agentes.</w:t>
      </w:r>
    </w:p>
    <w:p w:rsidR="00692DF9" w:rsidRPr="004B128F" w:rsidRDefault="00692DF9" w:rsidP="00DD1D4C">
      <w:pPr>
        <w:pStyle w:val="Recuodecorpodetexto"/>
        <w:spacing w:after="0"/>
        <w:ind w:left="0" w:firstLine="709"/>
        <w:jc w:val="both"/>
      </w:pPr>
      <w:r w:rsidRPr="004B128F">
        <w:t>A tomada de decisões se processa, portanto, em um ambiente competitivo mutante que influencia a configuração de diversidades comportamentais da</w:t>
      </w:r>
      <w:r>
        <w:t xml:space="preserve">s firmas (TEECE e PISANO, 1994), </w:t>
      </w:r>
      <w:r w:rsidRPr="006472D3">
        <w:t>gerando um ambiente marcado por assimetrias tecnológicas capazes de explicar diferentes capacidades tecnológicas entre empresas de um mesmo setor. Isso significa que, embora haja regularidades, existem componentes estocásticos, não teorizáveis (Silverberg, et a</w:t>
      </w:r>
      <w:r w:rsidRPr="004B128F">
        <w:t>l</w:t>
      </w:r>
      <w:r>
        <w:t>.</w:t>
      </w:r>
      <w:r w:rsidRPr="004B128F">
        <w:t>, 1988).</w:t>
      </w:r>
    </w:p>
    <w:p w:rsidR="00692DF9" w:rsidRPr="006472D3" w:rsidRDefault="00692DF9" w:rsidP="00DD1D4C">
      <w:pPr>
        <w:pStyle w:val="Corpodetexto"/>
        <w:spacing w:line="240" w:lineRule="auto"/>
        <w:ind w:firstLine="709"/>
      </w:pPr>
      <w:r w:rsidRPr="004B128F">
        <w:rPr>
          <w:bCs w:val="0"/>
        </w:rPr>
        <w:t xml:space="preserve">Uma das tentativas mais conhecidas de teorizar sobre regularidades setoriais, particularmente sobre a mudança tecnológica, é a taxonomia de Pavitt (1984). Nela o autor diferencia setores dominados por fornecedores, baseados em ciência e intensivos em produção, subdividindo este último em fornecedores especializados e intensivos </w:t>
      </w:r>
      <w:smartTag w:uri="urn:schemas-microsoft-com:office:smarttags" w:element="PersonName">
        <w:smartTagPr>
          <w:attr w:name="ProductID" w:val="em escala. A"/>
        </w:smartTagPr>
        <w:r w:rsidRPr="004B128F">
          <w:rPr>
            <w:bCs w:val="0"/>
          </w:rPr>
          <w:t>em escala. A</w:t>
        </w:r>
      </w:smartTag>
      <w:r w:rsidRPr="004B128F">
        <w:rPr>
          <w:bCs w:val="0"/>
        </w:rPr>
        <w:t xml:space="preserve"> taxonomia foi construída segundo as fontes, o impacto e a natureza das inovações setoriais. Para isso, utilizou como variáveis</w:t>
      </w:r>
      <w:r>
        <w:rPr>
          <w:bCs w:val="0"/>
        </w:rPr>
        <w:t>,</w:t>
      </w:r>
      <w:r w:rsidRPr="004B128F">
        <w:rPr>
          <w:bCs w:val="0"/>
        </w:rPr>
        <w:t xml:space="preserve"> </w:t>
      </w:r>
      <w:r w:rsidRPr="004B128F">
        <w:t>as fontes de conhecimento, o tamanho das firmas inovadoras, as características do processo produtivo e os setores que produzem e são usuários da inovação. No texto, seminal para qualquer estudo sobre características setoriais da inovação, destaque é dado ao caráter cumulativo do conhecimento aplicado às inovações</w:t>
      </w:r>
      <w:r>
        <w:t xml:space="preserve">, sendo que </w:t>
      </w:r>
      <w:r w:rsidRPr="004B128F">
        <w:t>a maior parte do conhecimento aplicado não tem objetivos genéricos, nem é facilmente transmitida ou reproduzível, mas sim adequada para aplicações específicas e apropriada por firmas específicas.</w:t>
      </w:r>
      <w:r w:rsidRPr="006472D3">
        <w:t xml:space="preserve"> </w:t>
      </w:r>
    </w:p>
    <w:p w:rsidR="00692DF9" w:rsidRPr="006472D3" w:rsidRDefault="00692DF9" w:rsidP="00DD1D4C">
      <w:pPr>
        <w:autoSpaceDE w:val="0"/>
        <w:autoSpaceDN w:val="0"/>
        <w:adjustRightInd w:val="0"/>
        <w:ind w:firstLine="709"/>
        <w:jc w:val="both"/>
        <w:rPr>
          <w:rFonts w:eastAsia="Calibri"/>
        </w:rPr>
      </w:pPr>
      <w:r w:rsidRPr="006472D3">
        <w:rPr>
          <w:rFonts w:eastAsia="Calibri"/>
        </w:rPr>
        <w:t xml:space="preserve">Posteriormente, o autor faz uma revisão dessa taxonomia, na qual inclui a categoria dos setores “intensivos em informação” e exclui os “dominados por fornecedores”. A inclusão da primeira se deve ao potencial inovador das oportunidades tecnológicas criadas pelas tecnologias computacionais, enquanto que a exclusão dos dominados por fornecedores se deve ao papel ativo dessas firmas na interação com fornecedores, tornando-os passíveis de reordenação em setores intensivos em escala ou intensivos </w:t>
      </w:r>
      <w:smartTag w:uri="urn:schemas-microsoft-com:office:smarttags" w:element="PersonName">
        <w:smartTagPr>
          <w:attr w:name="ProductID" w:val="em informação Pavitt"/>
        </w:smartTagPr>
        <w:r w:rsidRPr="006472D3">
          <w:rPr>
            <w:rFonts w:eastAsia="Calibri"/>
          </w:rPr>
          <w:t>em informação Pavitt</w:t>
        </w:r>
      </w:smartTag>
      <w:r w:rsidRPr="006472D3">
        <w:rPr>
          <w:rFonts w:eastAsia="Calibri"/>
        </w:rPr>
        <w:t xml:space="preserve"> </w:t>
      </w:r>
      <w:r w:rsidRPr="006472D3">
        <w:rPr>
          <w:rFonts w:eastAsia="Calibri"/>
          <w:i/>
          <w:iCs/>
        </w:rPr>
        <w:t xml:space="preserve">et al. </w:t>
      </w:r>
      <w:r w:rsidRPr="006472D3">
        <w:rPr>
          <w:rFonts w:eastAsia="Calibri"/>
        </w:rPr>
        <w:t>(1989).</w:t>
      </w:r>
    </w:p>
    <w:p w:rsidR="00692DF9" w:rsidRPr="004B128F" w:rsidRDefault="00692DF9" w:rsidP="00DD1D4C">
      <w:pPr>
        <w:pStyle w:val="Corpodetexto"/>
        <w:spacing w:line="240" w:lineRule="auto"/>
        <w:ind w:firstLine="709"/>
        <w:rPr>
          <w:rFonts w:eastAsia="SimSun"/>
          <w:highlight w:val="yellow"/>
          <w:lang w:eastAsia="zh-CN"/>
        </w:rPr>
      </w:pPr>
      <w:r>
        <w:t xml:space="preserve">Em qualquer esforço de caracterização dos </w:t>
      </w:r>
      <w:r w:rsidRPr="004B128F">
        <w:t>processos de inovação</w:t>
      </w:r>
      <w:r>
        <w:t xml:space="preserve"> a exploração de variáveis de aprendizagem</w:t>
      </w:r>
      <w:r w:rsidRPr="004B128F">
        <w:t xml:space="preserve"> é</w:t>
      </w:r>
      <w:r>
        <w:t xml:space="preserve"> regra, uma vez que, e</w:t>
      </w:r>
      <w:r w:rsidRPr="004B128F">
        <w:t>m seus processos de inovação as firmas combinam</w:t>
      </w:r>
      <w:r w:rsidRPr="004B128F">
        <w:rPr>
          <w:rStyle w:val="Refdenotaderodap"/>
        </w:rPr>
        <w:footnoteReference w:id="4"/>
      </w:r>
      <w:r w:rsidRPr="004B128F">
        <w:t xml:space="preserve"> diferentes formas de aprendizado, as quais obedecem a diferentes rotinas e características do ambiente em que estão inseridas. Ou seja, os processos de aprendizagem derivam dos processos de busca das firmas por inovações, mas também de suas atividades rotineiras de produção</w:t>
      </w:r>
      <w:r>
        <w:t>,</w:t>
      </w:r>
      <w:r w:rsidRPr="004B128F">
        <w:t xml:space="preserve"> com aprendizado associado </w:t>
      </w:r>
      <w:r>
        <w:t>a</w:t>
      </w:r>
      <w:r w:rsidRPr="004B128F">
        <w:t xml:space="preserve"> </w:t>
      </w:r>
      <w:r w:rsidRPr="004B128F">
        <w:rPr>
          <w:i/>
        </w:rPr>
        <w:t xml:space="preserve">learning by doing, by using </w:t>
      </w:r>
      <w:r w:rsidRPr="004B128F">
        <w:t xml:space="preserve">e </w:t>
      </w:r>
      <w:r w:rsidRPr="004B128F">
        <w:rPr>
          <w:i/>
        </w:rPr>
        <w:t>by learn</w:t>
      </w:r>
      <w:r>
        <w:rPr>
          <w:i/>
        </w:rPr>
        <w:t xml:space="preserve">, </w:t>
      </w:r>
      <w:r w:rsidRPr="006472D3">
        <w:t>por exemplo</w:t>
      </w:r>
      <w:r>
        <w:rPr>
          <w:i/>
        </w:rPr>
        <w:t>.</w:t>
      </w:r>
    </w:p>
    <w:p w:rsidR="00692DF9" w:rsidRPr="004B128F" w:rsidRDefault="00692DF9" w:rsidP="00DD1D4C">
      <w:pPr>
        <w:pStyle w:val="Corpodetexto"/>
        <w:spacing w:line="240" w:lineRule="auto"/>
        <w:ind w:firstLine="709"/>
        <w:rPr>
          <w:color w:val="FF0000"/>
        </w:rPr>
      </w:pPr>
      <w:r w:rsidRPr="004B128F">
        <w:rPr>
          <w:color w:val="000000"/>
        </w:rPr>
        <w:t>A forma com que a empresa interage com o ambiente é</w:t>
      </w:r>
      <w:r>
        <w:rPr>
          <w:color w:val="000000"/>
        </w:rPr>
        <w:t>, portanto,</w:t>
      </w:r>
      <w:r w:rsidRPr="004B128F">
        <w:rPr>
          <w:color w:val="000000"/>
        </w:rPr>
        <w:t xml:space="preserve"> determinante para a construção</w:t>
      </w:r>
      <w:r>
        <w:rPr>
          <w:color w:val="000000"/>
        </w:rPr>
        <w:t xml:space="preserve"> do seu conjunto particular de conhecimentos</w:t>
      </w:r>
      <w:r w:rsidRPr="004B128F">
        <w:rPr>
          <w:color w:val="000000"/>
        </w:rPr>
        <w:t>. Tal construção explica</w:t>
      </w:r>
      <w:r w:rsidRPr="004B128F">
        <w:t>, ao mesmo tempo, sua diferenciação no “mercado” e a presença de componente tácito, de difícil transmissão dos conhec</w:t>
      </w:r>
      <w:r>
        <w:t>imentos nela enraizados, o qual</w:t>
      </w:r>
      <w:r w:rsidRPr="004B128F">
        <w:t xml:space="preserve"> determina a capacidade de cada empresa de absorver e explorar (aprender) conhecimentos externos (Lundvall et al</w:t>
      </w:r>
      <w:r>
        <w:t>.,</w:t>
      </w:r>
      <w:r w:rsidRPr="004B128F">
        <w:t xml:space="preserve"> 2001 e Cohen e Levinthal 19</w:t>
      </w:r>
      <w:r>
        <w:t>89</w:t>
      </w:r>
      <w:r w:rsidRPr="004B128F">
        <w:t xml:space="preserve">).   </w:t>
      </w:r>
    </w:p>
    <w:p w:rsidR="00692DF9" w:rsidRPr="007A431F" w:rsidRDefault="00692DF9" w:rsidP="00DD1D4C">
      <w:pPr>
        <w:ind w:firstLine="709"/>
        <w:jc w:val="both"/>
        <w:rPr>
          <w:rStyle w:val="apple-style-span"/>
          <w:rFonts w:ascii="Arial" w:hAnsi="Arial" w:cs="Arial"/>
          <w:color w:val="C00000"/>
          <w:sz w:val="20"/>
          <w:szCs w:val="20"/>
          <w:shd w:val="clear" w:color="auto" w:fill="FFFFFF"/>
        </w:rPr>
      </w:pPr>
      <w:r w:rsidRPr="004B128F">
        <w:t xml:space="preserve">A parcela tácita (não codificada do conhecimento) se refere aos elementos como </w:t>
      </w:r>
      <w:r w:rsidRPr="004B128F">
        <w:rPr>
          <w:i/>
        </w:rPr>
        <w:t>insigths</w:t>
      </w:r>
      <w:r w:rsidRPr="004B128F">
        <w:t xml:space="preserve"> que ocorrem aos </w:t>
      </w:r>
      <w:r w:rsidRPr="00863114">
        <w:t xml:space="preserve">indivíduos e que mesmo pelos detentores do conhecimento não podem ser definidos plenamente. Mas podem, contudo, ser compartilhados com colegas com experiências comuns. </w:t>
      </w:r>
      <w:r w:rsidRPr="00863114">
        <w:rPr>
          <w:rStyle w:val="apple-style-span"/>
          <w:shd w:val="clear" w:color="auto" w:fill="FFFFFF"/>
        </w:rPr>
        <w:t>Tal transferência encontra grandes restrições em relações típicas daquelas realizadas através de contratos de mercado, por exemplo</w:t>
      </w:r>
      <w:r w:rsidRPr="00863114">
        <w:rPr>
          <w:rStyle w:val="Refdenotaderodap"/>
          <w:shd w:val="clear" w:color="auto" w:fill="FFFFFF"/>
        </w:rPr>
        <w:footnoteReference w:id="5"/>
      </w:r>
      <w:r w:rsidRPr="00863114">
        <w:rPr>
          <w:rStyle w:val="apple-style-span"/>
          <w:shd w:val="clear" w:color="auto" w:fill="FFFFFF"/>
        </w:rPr>
        <w:t>.</w:t>
      </w:r>
      <w:r w:rsidRPr="007A431F">
        <w:rPr>
          <w:rStyle w:val="apple-converted-space"/>
          <w:color w:val="C00000"/>
          <w:shd w:val="clear" w:color="auto" w:fill="FFFFFF"/>
        </w:rPr>
        <w:t> </w:t>
      </w:r>
      <w:r w:rsidRPr="007A431F">
        <w:rPr>
          <w:rStyle w:val="apple-style-span"/>
          <w:rFonts w:ascii="Arial" w:hAnsi="Arial" w:cs="Arial"/>
          <w:color w:val="C00000"/>
          <w:sz w:val="20"/>
          <w:szCs w:val="20"/>
          <w:shd w:val="clear" w:color="auto" w:fill="FFFFFF"/>
        </w:rPr>
        <w:t xml:space="preserve"> </w:t>
      </w:r>
    </w:p>
    <w:p w:rsidR="00692DF9" w:rsidRDefault="00692DF9" w:rsidP="00DD1D4C">
      <w:pPr>
        <w:ind w:firstLine="709"/>
        <w:jc w:val="both"/>
      </w:pPr>
      <w:r w:rsidRPr="00863114">
        <w:t>Por outro lado, a absorção de insumos científicos, por serem públicos e amplamente codificados, depende apenas da capacidade dos interessados de interpretá-los. É natural</w:t>
      </w:r>
      <w:r w:rsidRPr="004B128F">
        <w:t xml:space="preserve"> pensar, nesse sentido, que algumas atividades setoriais utilizem de maneira mais intensiva (mas não exclusivamente) um conjunto informações científicas em seus processos de inovação</w:t>
      </w:r>
      <w:r w:rsidRPr="004B128F">
        <w:rPr>
          <w:rStyle w:val="Refdenotaderodap"/>
        </w:rPr>
        <w:footnoteReference w:id="6"/>
      </w:r>
      <w:r w:rsidRPr="004B128F">
        <w:t>.</w:t>
      </w:r>
      <w:r>
        <w:t xml:space="preserve"> Esses </w:t>
      </w:r>
      <w:r w:rsidRPr="004B128F">
        <w:t xml:space="preserve">conhecimentos codificados não estão restritos aos insumos científicos, mas </w:t>
      </w:r>
      <w:r>
        <w:t>se estendem</w:t>
      </w:r>
      <w:r w:rsidRPr="004B128F">
        <w:t xml:space="preserve"> </w:t>
      </w:r>
      <w:r>
        <w:t>a todo</w:t>
      </w:r>
      <w:r w:rsidRPr="004B128F">
        <w:t xml:space="preserve"> conhecimento que, de alguma forma pode ser transformado em informação, seja através de registro em manuais ou em normas e procedimentos do cotidiano. </w:t>
      </w:r>
      <w:r>
        <w:t xml:space="preserve">O processo de </w:t>
      </w:r>
      <w:r w:rsidRPr="004B128F">
        <w:t xml:space="preserve">codificação </w:t>
      </w:r>
      <w:r>
        <w:t xml:space="preserve">consiste na </w:t>
      </w:r>
      <w:r w:rsidRPr="004B128F">
        <w:t>redu</w:t>
      </w:r>
      <w:r>
        <w:t>ção</w:t>
      </w:r>
      <w:r w:rsidRPr="004B128F">
        <w:t xml:space="preserve"> e conver</w:t>
      </w:r>
      <w:r>
        <w:t>são</w:t>
      </w:r>
      <w:r w:rsidRPr="004B128F">
        <w:t xml:space="preserve"> a informação </w:t>
      </w:r>
      <w:r>
        <w:t xml:space="preserve">que </w:t>
      </w:r>
      <w:r w:rsidRPr="004B128F">
        <w:t>permit</w:t>
      </w:r>
      <w:r>
        <w:t>e</w:t>
      </w:r>
      <w:r w:rsidRPr="004B128F">
        <w:t xml:space="preserve"> aceleração d</w:t>
      </w:r>
      <w:r>
        <w:t>o</w:t>
      </w:r>
      <w:r w:rsidRPr="004B128F">
        <w:t xml:space="preserve">s processos de transmissão, armazenamento e reprodução </w:t>
      </w:r>
      <w:r>
        <w:t xml:space="preserve">do conhecimento </w:t>
      </w:r>
      <w:r w:rsidRPr="004B128F">
        <w:t>(Foray</w:t>
      </w:r>
      <w:r>
        <w:t xml:space="preserve"> e Cowan</w:t>
      </w:r>
      <w:r w:rsidRPr="004B128F">
        <w:t xml:space="preserve">, 1997). </w:t>
      </w:r>
    </w:p>
    <w:p w:rsidR="00692DF9" w:rsidRPr="004B128F" w:rsidRDefault="00692DF9" w:rsidP="00DD1D4C">
      <w:pPr>
        <w:ind w:firstLine="709"/>
        <w:jc w:val="both"/>
      </w:pPr>
      <w:r>
        <w:t>A literatura</w:t>
      </w:r>
      <w:r w:rsidRPr="004B128F">
        <w:t xml:space="preserve"> apresenta </w:t>
      </w:r>
      <w:r>
        <w:t>quatro</w:t>
      </w:r>
      <w:r w:rsidRPr="004B128F">
        <w:t xml:space="preserve"> tipos de conhecimento que ajudam a compreender as distintas necessidades de conhecimento das firmas para que procedimentos de desenvolvimento de soluções se efetivem</w:t>
      </w:r>
      <w:r>
        <w:t>:</w:t>
      </w:r>
      <w:r w:rsidRPr="004B128F">
        <w:t xml:space="preserve"> </w:t>
      </w:r>
      <w:r>
        <w:t>o</w:t>
      </w:r>
      <w:r w:rsidRPr="004B128F">
        <w:t xml:space="preserve"> “saber o que”, o “saber por que”, o “saber como” e o “saber quem”</w:t>
      </w:r>
      <w:r>
        <w:t>.</w:t>
      </w:r>
      <w:r w:rsidRPr="004B128F">
        <w:t xml:space="preserve"> </w:t>
      </w:r>
      <w:r>
        <w:t>O</w:t>
      </w:r>
      <w:r w:rsidRPr="004B128F">
        <w:t>s dois primeiros surgem da leitura de livros, da participação de conferências, da consulta a ban</w:t>
      </w:r>
      <w:r>
        <w:t>cos de dados, etc</w:t>
      </w:r>
      <w:r w:rsidRPr="004B128F">
        <w:t>.</w:t>
      </w:r>
      <w:r>
        <w:t xml:space="preserve"> Os demais</w:t>
      </w:r>
      <w:r w:rsidRPr="004B128F">
        <w:t xml:space="preserve"> se baseiam</w:t>
      </w:r>
      <w:r>
        <w:t xml:space="preserve"> n</w:t>
      </w:r>
      <w:r w:rsidRPr="004B128F">
        <w:t>as experiências práticas amadurecidas no cotidiano através de processos como “</w:t>
      </w:r>
      <w:r w:rsidRPr="004B128F">
        <w:rPr>
          <w:i/>
        </w:rPr>
        <w:t>learning-by-doing</w:t>
      </w:r>
      <w:r w:rsidRPr="004B128F">
        <w:t>” e “</w:t>
      </w:r>
      <w:r w:rsidRPr="004B128F">
        <w:rPr>
          <w:i/>
        </w:rPr>
        <w:t>learning-by-interacting</w:t>
      </w:r>
      <w:r w:rsidRPr="004B128F">
        <w:t>” (Foray e Lundvall</w:t>
      </w:r>
      <w:r>
        <w:t>,</w:t>
      </w:r>
      <w:r w:rsidRPr="004B128F">
        <w:t xml:space="preserve"> 1999)  </w:t>
      </w:r>
    </w:p>
    <w:p w:rsidR="00692DF9" w:rsidRPr="004B128F" w:rsidRDefault="00692DF9" w:rsidP="00DD1D4C">
      <w:pPr>
        <w:ind w:firstLine="709"/>
        <w:jc w:val="both"/>
      </w:pPr>
      <w:r w:rsidRPr="002A3996">
        <w:t>Jensen et al.</w:t>
      </w:r>
      <w:r>
        <w:t xml:space="preserve"> (2007</w:t>
      </w:r>
      <w:r w:rsidRPr="002A3996">
        <w:t>)</w:t>
      </w:r>
      <w:r w:rsidRPr="004B128F">
        <w:t xml:space="preserve"> destacam </w:t>
      </w:r>
      <w:r>
        <w:t xml:space="preserve">sobre os conhecimentos tácitos </w:t>
      </w:r>
      <w:r w:rsidRPr="004B128F">
        <w:t xml:space="preserve">que o </w:t>
      </w:r>
      <w:r>
        <w:t>“</w:t>
      </w:r>
      <w:r w:rsidRPr="004B128F">
        <w:t>saber como</w:t>
      </w:r>
      <w:r>
        <w:t>”</w:t>
      </w:r>
      <w:r w:rsidRPr="004B128F">
        <w:t xml:space="preserve"> é obtido de práticas de aprendizagem do tipo mestre aprendiz, em que </w:t>
      </w:r>
      <w:r>
        <w:t xml:space="preserve">tanto </w:t>
      </w:r>
      <w:r w:rsidRPr="004B128F">
        <w:t>a linguagem f</w:t>
      </w:r>
      <w:r>
        <w:t>alada como a corporal do mestre</w:t>
      </w:r>
      <w:r w:rsidRPr="004B128F">
        <w:t xml:space="preserve"> auxiliam na compreensão do aprendiz. Práticas de treinamento no interior das firmas, por exemplo, estimulam a difusão desse tipo de conhecimento. </w:t>
      </w:r>
      <w:r>
        <w:t>Dizem ainda sobre o “saber como” que, p</w:t>
      </w:r>
      <w:r w:rsidRPr="004B128F">
        <w:t xml:space="preserve">ossuir </w:t>
      </w:r>
      <w:r>
        <w:rPr>
          <w:i/>
        </w:rPr>
        <w:t>k</w:t>
      </w:r>
      <w:r w:rsidRPr="00DA7087">
        <w:rPr>
          <w:i/>
        </w:rPr>
        <w:t>now-how</w:t>
      </w:r>
      <w:r w:rsidRPr="004B128F">
        <w:t xml:space="preserve"> é o que caracteriza a mão-de-obra especializada e o que diferencia um cientista de alto nível.  </w:t>
      </w:r>
      <w:r>
        <w:t>Já sobre o</w:t>
      </w:r>
      <w:r w:rsidRPr="004B128F">
        <w:t xml:space="preserve"> “saber quem” </w:t>
      </w:r>
      <w:r>
        <w:t xml:space="preserve">destacam que </w:t>
      </w:r>
      <w:r w:rsidRPr="004B128F">
        <w:t>se aprende na prática por meio da participação em comunidades de profissionais especializados em conferências, sociedades profissionais e feiras etc. Esses ambientes dão aos participantes acesso a discussões de experiências e informações de seus colegas (Carter, 1989 apud, Jensen</w:t>
      </w:r>
      <w:r>
        <w:t>.et.al</w:t>
      </w:r>
      <w:r w:rsidRPr="004B128F">
        <w:t>, 200</w:t>
      </w:r>
      <w:r>
        <w:t>7</w:t>
      </w:r>
      <w:r w:rsidRPr="004B128F">
        <w:t>). Tais práticas podem envolver também clientes, contratantes, e institutos independentes.</w:t>
      </w:r>
    </w:p>
    <w:p w:rsidR="00692DF9" w:rsidRPr="004B128F" w:rsidRDefault="00692DF9" w:rsidP="00DD1D4C">
      <w:pPr>
        <w:ind w:firstLine="709"/>
        <w:jc w:val="both"/>
      </w:pPr>
      <w:r w:rsidRPr="004B128F">
        <w:t>Nesse sentido</w:t>
      </w:r>
      <w:r>
        <w:t>,</w:t>
      </w:r>
      <w:r w:rsidRPr="004B128F">
        <w:t xml:space="preserve"> o aprendizado é visto como um processo capaz de construir novas competências e vantagens competitivas, em que, a repetição, a experimentação e a busca de novas fontes de informação são mecanismos que capacitam tecnologicamente as firmas e estimulam a produção e a mudança técnica Lundvall (1992).</w:t>
      </w:r>
    </w:p>
    <w:p w:rsidR="00692DF9" w:rsidRPr="004B128F" w:rsidRDefault="00692DF9" w:rsidP="00DD1D4C">
      <w:pPr>
        <w:pStyle w:val="Corpodetexto"/>
        <w:spacing w:line="240" w:lineRule="auto"/>
        <w:ind w:firstLine="709"/>
        <w:rPr>
          <w:rFonts w:eastAsia="Calibri"/>
          <w:color w:val="0070C0"/>
          <w:lang w:eastAsia="en-US"/>
        </w:rPr>
      </w:pPr>
      <w:r w:rsidRPr="004B128F">
        <w:t xml:space="preserve">  </w:t>
      </w:r>
      <w:r w:rsidRPr="00F97345">
        <w:t>De acordo com Lundvall et al. (2001) a transmissão destes conhecimentos é resultado da interação entre agentes envolvidos em um contexto sócio-cultural e institucional específico. Assim, uma vez que a habilidade em aprender é decisiva para o sucesso econômico das empresas, é também para os indivíduos regiões e economias nacionais. O aprender</w:t>
      </w:r>
      <w:r w:rsidRPr="004B128F">
        <w:t xml:space="preserve">, nesse sentido, significa construir competências e habilidades novas, e não somente ter o acesso à informação.  </w:t>
      </w:r>
    </w:p>
    <w:p w:rsidR="00692DF9" w:rsidRPr="004B128F" w:rsidRDefault="00692DF9" w:rsidP="00DD1D4C">
      <w:pPr>
        <w:autoSpaceDE w:val="0"/>
        <w:autoSpaceDN w:val="0"/>
        <w:adjustRightInd w:val="0"/>
        <w:ind w:firstLine="709"/>
        <w:jc w:val="both"/>
        <w:rPr>
          <w:rFonts w:eastAsia="Calibri"/>
          <w:lang w:eastAsia="en-US"/>
        </w:rPr>
      </w:pPr>
      <w:r w:rsidRPr="004B128F">
        <w:rPr>
          <w:rFonts w:eastAsia="Calibri"/>
          <w:lang w:eastAsia="en-US"/>
        </w:rPr>
        <w:t xml:space="preserve">Malerba (1992) </w:t>
      </w:r>
      <w:r>
        <w:rPr>
          <w:rFonts w:eastAsia="Calibri"/>
          <w:lang w:eastAsia="en-US"/>
        </w:rPr>
        <w:t>aponta</w:t>
      </w:r>
      <w:r w:rsidRPr="004B128F">
        <w:rPr>
          <w:rFonts w:eastAsia="Calibri"/>
          <w:lang w:eastAsia="en-US"/>
        </w:rPr>
        <w:t xml:space="preserve"> </w:t>
      </w:r>
      <w:r>
        <w:rPr>
          <w:rFonts w:eastAsia="Calibri"/>
          <w:lang w:eastAsia="en-US"/>
        </w:rPr>
        <w:t>o</w:t>
      </w:r>
      <w:r w:rsidRPr="004B128F">
        <w:rPr>
          <w:rFonts w:eastAsia="Calibri"/>
          <w:lang w:eastAsia="en-US"/>
        </w:rPr>
        <w:t xml:space="preserve"> aprendizado tecnológico</w:t>
      </w:r>
      <w:r>
        <w:rPr>
          <w:rFonts w:eastAsia="Calibri"/>
          <w:lang w:eastAsia="en-US"/>
        </w:rPr>
        <w:t xml:space="preserve"> como </w:t>
      </w:r>
      <w:r w:rsidRPr="004B128F">
        <w:rPr>
          <w:rFonts w:eastAsia="Calibri"/>
          <w:lang w:eastAsia="en-US"/>
        </w:rPr>
        <w:t>a raiz da mudança incremental</w:t>
      </w:r>
      <w:r>
        <w:rPr>
          <w:rFonts w:eastAsia="Calibri"/>
          <w:lang w:eastAsia="en-US"/>
        </w:rPr>
        <w:t xml:space="preserve"> e</w:t>
      </w:r>
      <w:r w:rsidRPr="004B128F">
        <w:rPr>
          <w:rFonts w:eastAsia="Calibri"/>
          <w:lang w:eastAsia="en-US"/>
        </w:rPr>
        <w:t xml:space="preserve"> </w:t>
      </w:r>
      <w:r>
        <w:rPr>
          <w:rFonts w:eastAsia="Calibri"/>
          <w:lang w:eastAsia="en-US"/>
        </w:rPr>
        <w:t>sugere</w:t>
      </w:r>
      <w:r w:rsidRPr="004B128F">
        <w:rPr>
          <w:rFonts w:eastAsia="Calibri"/>
          <w:lang w:eastAsia="en-US"/>
        </w:rPr>
        <w:t xml:space="preserve"> elementos analíticos</w:t>
      </w:r>
      <w:r>
        <w:rPr>
          <w:rFonts w:eastAsia="Calibri"/>
          <w:lang w:eastAsia="en-US"/>
        </w:rPr>
        <w:t xml:space="preserve"> para sua compreensão</w:t>
      </w:r>
      <w:r w:rsidRPr="004B128F">
        <w:rPr>
          <w:rFonts w:eastAsia="Calibri"/>
          <w:lang w:eastAsia="en-US"/>
        </w:rPr>
        <w:t xml:space="preserve"> que se alinham </w:t>
      </w:r>
      <w:r>
        <w:rPr>
          <w:rFonts w:eastAsia="Calibri"/>
          <w:lang w:eastAsia="en-US"/>
        </w:rPr>
        <w:t>à visão de Lundval et.al. (2001)</w:t>
      </w:r>
      <w:r w:rsidRPr="004B128F">
        <w:rPr>
          <w:rFonts w:eastAsia="Calibri"/>
          <w:lang w:eastAsia="en-US"/>
        </w:rPr>
        <w:t>. Para o autor, o fenômeno deve ser analisado considerando-se quatro características básicas: (i) trata-se de um "processo orientado" com custo específico, realizado no interior da firma a partir da motivação de diversas dimensões organizacionais com respeito a uma estratégia específica que explica as principais direções dos esforços de capacitação dos agentes; (ii) associa-se a diferentes fontes de conhecimento, internas e externas à firma. Internamente, relacionam-se a atividades específicas, como produção, P&amp;D e marketing; externamente, envolvem articulações com fornecedores, consumidores e com a infra-estrutura científico-tecnológica; (iii) é cumulativo e amplia o estoque de conhecimentos da firma. Por haver diversas fontes de conhecimento</w:t>
      </w:r>
      <w:r>
        <w:rPr>
          <w:rFonts w:eastAsia="Calibri"/>
          <w:lang w:eastAsia="en-US"/>
        </w:rPr>
        <w:t>,</w:t>
      </w:r>
      <w:r w:rsidRPr="004B128F">
        <w:rPr>
          <w:rFonts w:eastAsia="Calibri"/>
          <w:lang w:eastAsia="en-US"/>
        </w:rPr>
        <w:t xml:space="preserve"> as formas de conhecimento afetam diferentemente o esto</w:t>
      </w:r>
      <w:r>
        <w:rPr>
          <w:rFonts w:eastAsia="Calibri"/>
          <w:lang w:eastAsia="en-US"/>
        </w:rPr>
        <w:t>que de conhecimentos das firmas;</w:t>
      </w:r>
      <w:r w:rsidRPr="004B128F">
        <w:rPr>
          <w:rFonts w:eastAsia="Calibri"/>
          <w:lang w:eastAsia="en-US"/>
        </w:rPr>
        <w:t xml:space="preserve"> e (iv) ao</w:t>
      </w:r>
      <w:r>
        <w:rPr>
          <w:rFonts w:eastAsia="Calibri"/>
          <w:lang w:eastAsia="en-US"/>
        </w:rPr>
        <w:t>s</w:t>
      </w:r>
      <w:r w:rsidRPr="004B128F">
        <w:rPr>
          <w:rFonts w:eastAsia="Calibri"/>
          <w:lang w:eastAsia="en-US"/>
        </w:rPr>
        <w:t xml:space="preserve"> processos de aprendizagem não se relacionam apenas a inovações incrementais nos processos produtivos, </w:t>
      </w:r>
      <w:r>
        <w:rPr>
          <w:rFonts w:eastAsia="Calibri"/>
          <w:lang w:eastAsia="en-US"/>
        </w:rPr>
        <w:t>mas também</w:t>
      </w:r>
      <w:r w:rsidRPr="004B128F">
        <w:rPr>
          <w:rFonts w:eastAsia="Calibri"/>
          <w:lang w:eastAsia="en-US"/>
        </w:rPr>
        <w:t xml:space="preserve"> </w:t>
      </w:r>
      <w:r>
        <w:rPr>
          <w:rFonts w:eastAsia="Calibri"/>
          <w:lang w:eastAsia="en-US"/>
        </w:rPr>
        <w:t>aquelas</w:t>
      </w:r>
      <w:r w:rsidRPr="004B128F">
        <w:rPr>
          <w:rFonts w:eastAsia="Calibri"/>
          <w:lang w:eastAsia="en-US"/>
        </w:rPr>
        <w:t xml:space="preserve"> que possibilitam a expansão para novos mercados</w:t>
      </w:r>
      <w:r>
        <w:rPr>
          <w:rFonts w:eastAsia="Calibri"/>
          <w:lang w:eastAsia="en-US"/>
        </w:rPr>
        <w:t>,</w:t>
      </w:r>
      <w:r w:rsidRPr="004B128F">
        <w:rPr>
          <w:rFonts w:eastAsia="Calibri"/>
          <w:lang w:eastAsia="en-US"/>
        </w:rPr>
        <w:t xml:space="preserve"> a partir da exploração de novas oportunidades tecnológicas dos novos produtos gerados.</w:t>
      </w:r>
    </w:p>
    <w:p w:rsidR="00692DF9" w:rsidRPr="004B128F" w:rsidRDefault="00692DF9" w:rsidP="00DD1D4C">
      <w:pPr>
        <w:pStyle w:val="Recuodecorpodetexto"/>
        <w:spacing w:after="0"/>
        <w:ind w:left="0" w:firstLine="709"/>
        <w:jc w:val="both"/>
      </w:pPr>
      <w:r w:rsidRPr="004B128F">
        <w:t>Malerba (1992) reconhece seis diferentes tipos de aprendizado</w:t>
      </w:r>
      <w:r>
        <w:t>,</w:t>
      </w:r>
      <w:r w:rsidRPr="004B128F">
        <w:t xml:space="preserve"> identificando suas formas peculiares de obtenção de conhecimentos</w:t>
      </w:r>
      <w:r>
        <w:t>, são elas: (i)</w:t>
      </w:r>
      <w:r w:rsidRPr="004B128F">
        <w:t xml:space="preserve"> </w:t>
      </w:r>
      <w:r>
        <w:t>o</w:t>
      </w:r>
      <w:r w:rsidRPr="004B128F">
        <w:t xml:space="preserve"> </w:t>
      </w:r>
      <w:r w:rsidRPr="004B128F">
        <w:rPr>
          <w:i/>
        </w:rPr>
        <w:t>learning by</w:t>
      </w:r>
      <w:r>
        <w:rPr>
          <w:i/>
        </w:rPr>
        <w:t xml:space="preserve"> doing </w:t>
      </w:r>
      <w:r w:rsidRPr="002A3996">
        <w:t>–</w:t>
      </w:r>
      <w:r>
        <w:t xml:space="preserve"> </w:t>
      </w:r>
      <w:r w:rsidRPr="002A3996">
        <w:t>mais próximo a noção de Arrow (1962)</w:t>
      </w:r>
      <w:r>
        <w:t xml:space="preserve"> -</w:t>
      </w:r>
      <w:r w:rsidRPr="002A3996">
        <w:t xml:space="preserve"> </w:t>
      </w:r>
      <w:r>
        <w:t xml:space="preserve">derivado da </w:t>
      </w:r>
      <w:r w:rsidRPr="004B128F">
        <w:t xml:space="preserve">experiência interna acumulada pelos agentes </w:t>
      </w:r>
      <w:r>
        <w:t>via</w:t>
      </w:r>
      <w:r w:rsidRPr="004B128F">
        <w:t xml:space="preserve"> repetição das atividades produtivas</w:t>
      </w:r>
      <w:r>
        <w:t xml:space="preserve"> e, por isso, </w:t>
      </w:r>
      <w:r w:rsidRPr="004B128F">
        <w:t>possibilita uma maior eficiência nos processos de produção, inclusive com a redução de seus custos.</w:t>
      </w:r>
      <w:r>
        <w:t xml:space="preserve"> Demanda conhecimentos internos; (ii) o</w:t>
      </w:r>
      <w:r w:rsidRPr="004B128F">
        <w:t xml:space="preserve"> </w:t>
      </w:r>
      <w:r w:rsidRPr="004B128F">
        <w:rPr>
          <w:i/>
        </w:rPr>
        <w:t>learning by usin</w:t>
      </w:r>
      <w:r>
        <w:rPr>
          <w:i/>
        </w:rPr>
        <w:t>g</w:t>
      </w:r>
      <w:r w:rsidRPr="004B128F">
        <w:t>,</w:t>
      </w:r>
      <w:r>
        <w:t xml:space="preserve"> </w:t>
      </w:r>
      <w:r w:rsidRPr="004B128F">
        <w:t xml:space="preserve">demanda conhecimentos internos da firma e está relacionado ao uso de produtos, insumos, máquinas para o melhoramento de produtos e processo. Através dessa forma de aprendizagem podem ser identificadas características não percebíveis em testes de </w:t>
      </w:r>
      <w:r>
        <w:t>qualidade ou em simulações; (iii) o</w:t>
      </w:r>
      <w:r w:rsidRPr="004B128F">
        <w:t xml:space="preserve"> </w:t>
      </w:r>
      <w:r w:rsidRPr="004B128F">
        <w:rPr>
          <w:i/>
        </w:rPr>
        <w:t>learning from advances</w:t>
      </w:r>
      <w:r w:rsidRPr="004B128F">
        <w:t xml:space="preserve"> em </w:t>
      </w:r>
      <w:r w:rsidRPr="004B128F">
        <w:rPr>
          <w:i/>
        </w:rPr>
        <w:t>S&amp;T</w:t>
      </w:r>
      <w:r w:rsidRPr="004B128F">
        <w:t>, ligado ao avanço dos conhecimentos apl</w:t>
      </w:r>
      <w:r>
        <w:t>icáveis de ciência e tecnologia,</w:t>
      </w:r>
      <w:r w:rsidRPr="004B128F">
        <w:t xml:space="preserve"> </w:t>
      </w:r>
      <w:r>
        <w:t>demanda conhecimentos externos; (iv) o</w:t>
      </w:r>
      <w:r w:rsidRPr="004B128F">
        <w:t xml:space="preserve"> </w:t>
      </w:r>
      <w:r w:rsidRPr="004B128F">
        <w:rPr>
          <w:i/>
        </w:rPr>
        <w:t>learning from inter-industry</w:t>
      </w:r>
      <w:r w:rsidRPr="004B128F">
        <w:t xml:space="preserve"> </w:t>
      </w:r>
      <w:r w:rsidRPr="004B128F">
        <w:rPr>
          <w:i/>
        </w:rPr>
        <w:t>spillovers</w:t>
      </w:r>
      <w:r w:rsidRPr="004B128F">
        <w:t xml:space="preserve"> é externo à firma e se refere ao que as firmas concorrentes e outras firmas da i</w:t>
      </w:r>
      <w:r>
        <w:t>ndústria estão fazendo; (v) o</w:t>
      </w:r>
      <w:r w:rsidRPr="004B128F">
        <w:t xml:space="preserve"> </w:t>
      </w:r>
      <w:r w:rsidRPr="004B128F">
        <w:rPr>
          <w:i/>
        </w:rPr>
        <w:t>learning by interacting</w:t>
      </w:r>
      <w:r w:rsidRPr="004B128F">
        <w:t>, determinado pela interação com fontes de conhecimento, tais como clientes, fornecedores de bens de capital e o restante da indústria, obviamente é extern</w:t>
      </w:r>
      <w:r>
        <w:t xml:space="preserve">o à firma. </w:t>
      </w:r>
      <w:r w:rsidRPr="00130C34">
        <w:t xml:space="preserve">As interações entre fornecedores e usuários </w:t>
      </w:r>
      <w:r>
        <w:t>são destacadas como</w:t>
      </w:r>
      <w:r w:rsidRPr="00130C34">
        <w:t xml:space="preserve"> os relacionamentos mais importantes da esfera industrial para o desenvolvimento de inovações</w:t>
      </w:r>
      <w:r>
        <w:t xml:space="preserve"> por diversos autores</w:t>
      </w:r>
      <w:r w:rsidRPr="00130C34">
        <w:t xml:space="preserve"> </w:t>
      </w:r>
      <w:r>
        <w:t>(</w:t>
      </w:r>
      <w:r w:rsidRPr="00130C34">
        <w:t>Von Hippel, 1986; Lundvall, 1986; Dyer, 1996</w:t>
      </w:r>
      <w:r>
        <w:t>); e</w:t>
      </w:r>
      <w:r w:rsidRPr="004B128F">
        <w:t>, finalmente,</w:t>
      </w:r>
      <w:r>
        <w:t xml:space="preserve"> (iv)</w:t>
      </w:r>
      <w:r w:rsidRPr="004B128F">
        <w:t xml:space="preserve"> o </w:t>
      </w:r>
      <w:r w:rsidRPr="004B128F">
        <w:rPr>
          <w:i/>
        </w:rPr>
        <w:t>learning by searching</w:t>
      </w:r>
      <w:r w:rsidRPr="004B128F">
        <w:t xml:space="preserve">, interno a firma, estaria vinculado às atividades de pesquisa para a busca de novos conhecimentos, os quais se desenvolveriam no decorrer do processo de busca por soluções e oportunidades de problemas identificados. </w:t>
      </w:r>
    </w:p>
    <w:p w:rsidR="00692DF9" w:rsidRPr="004B128F" w:rsidRDefault="00692DF9" w:rsidP="00DD1D4C">
      <w:pPr>
        <w:ind w:firstLine="709"/>
        <w:jc w:val="both"/>
      </w:pPr>
      <w:r w:rsidRPr="004B128F">
        <w:t xml:space="preserve">Outras formas identificadas da literatura especializada são o </w:t>
      </w:r>
      <w:r w:rsidRPr="004B128F">
        <w:rPr>
          <w:i/>
        </w:rPr>
        <w:t>learning by learn</w:t>
      </w:r>
      <w:r w:rsidRPr="004B128F">
        <w:t xml:space="preserve">, </w:t>
      </w:r>
      <w:r>
        <w:t>que se vincula a</w:t>
      </w:r>
      <w:r w:rsidRPr="004B128F">
        <w:t xml:space="preserve"> identificação na estrutura organizacional da empresa de elementos que se colocam como limites ou oportunidades para o aprendizado. Demanda, obviamente, conhecimentos internos. Teoricamente a noção de </w:t>
      </w:r>
      <w:r w:rsidRPr="004B128F">
        <w:rPr>
          <w:i/>
        </w:rPr>
        <w:t>learning by learn</w:t>
      </w:r>
      <w:r w:rsidRPr="004B128F">
        <w:t xml:space="preserve"> é derivada da noção de aprendizagem organizacional, a qual destaca que o conhecimento enraizado nas organizações é maior do que a soma dos conhecimentos dos indivíduos que dela fazem parte. Ocorre que, através do desenvolvimento (intencional ou não) de sistemas cognitivos, as organizações transmitem através do tempo características de seu comportamento, normas e valores, independentemente das entradas e saídas de trabalhadores. </w:t>
      </w:r>
      <w:r w:rsidRPr="004B128F">
        <w:rPr>
          <w:lang w:val="en-US"/>
        </w:rPr>
        <w:t>Conforme Hedberberger (1981, p.6) “</w:t>
      </w:r>
      <w:r w:rsidRPr="004B128F">
        <w:rPr>
          <w:i/>
          <w:lang w:val="en-US"/>
        </w:rPr>
        <w:t>Organizations do not have brains, but they have cognitive systems and memories</w:t>
      </w:r>
      <w:r w:rsidRPr="004B128F">
        <w:rPr>
          <w:lang w:val="en-US"/>
        </w:rPr>
        <w:t xml:space="preserve">”. </w:t>
      </w:r>
      <w:r w:rsidRPr="004B128F">
        <w:t>Nessa direção</w:t>
      </w:r>
      <w:r>
        <w:t>,</w:t>
      </w:r>
      <w:r w:rsidRPr="004B128F">
        <w:t xml:space="preserve"> esforços de treinamento significam tentativas de transmissão de conhecimentos tácitos enraizados em um grupo de indivíduos para outro grupo de indivíduos da firma. Conforme (Brown e Dugui, 1991), o treinamento deve ser compreendido como a transmissão do conhecimento abstrato da cabeça daquele que possui o </w:t>
      </w:r>
      <w:r w:rsidRPr="00436803">
        <w:rPr>
          <w:i/>
        </w:rPr>
        <w:t>know-how</w:t>
      </w:r>
      <w:r w:rsidRPr="004B128F">
        <w:t xml:space="preserve"> para a cabeça daquele que, por não ter desenvolvido a rotina específica, não o possui. Além do treinamento interno</w:t>
      </w:r>
      <w:r>
        <w:t>,</w:t>
      </w:r>
      <w:r w:rsidRPr="004B128F">
        <w:t xml:space="preserve"> a busca de externa de conhecimentos de centros de capacitação como o SENAI, no Brasil, configuram formas de ampliar as competências internas que podem ser caracterizadas como</w:t>
      </w:r>
      <w:r>
        <w:t xml:space="preserve"> aprendizagem via treinamento e</w:t>
      </w:r>
      <w:r w:rsidRPr="004B128F">
        <w:t xml:space="preserve"> associam-se a noção de </w:t>
      </w:r>
      <w:r w:rsidRPr="004B128F">
        <w:rPr>
          <w:i/>
        </w:rPr>
        <w:t>learnig by learn</w:t>
      </w:r>
      <w:r w:rsidRPr="004B128F">
        <w:t>.</w:t>
      </w:r>
    </w:p>
    <w:p w:rsidR="00692DF9" w:rsidRDefault="00692DF9" w:rsidP="00DD1D4C">
      <w:pPr>
        <w:pStyle w:val="Recuodecorpodetexto"/>
        <w:spacing w:after="0"/>
        <w:ind w:left="0" w:firstLine="709"/>
        <w:jc w:val="both"/>
      </w:pPr>
      <w:r w:rsidRPr="004B128F">
        <w:t xml:space="preserve">Outra forma de aprendizagem é o </w:t>
      </w:r>
      <w:r w:rsidRPr="004B128F">
        <w:rPr>
          <w:i/>
        </w:rPr>
        <w:t>learning by imitating</w:t>
      </w:r>
      <w:r>
        <w:rPr>
          <w:rStyle w:val="Refdenotaderodap"/>
          <w:i/>
        </w:rPr>
        <w:footnoteReference w:id="7"/>
      </w:r>
      <w:r w:rsidRPr="004B128F">
        <w:rPr>
          <w:i/>
        </w:rPr>
        <w:t xml:space="preserve"> </w:t>
      </w:r>
      <w:r w:rsidRPr="004B128F">
        <w:t>que</w:t>
      </w:r>
      <w:r w:rsidRPr="004B128F">
        <w:rPr>
          <w:i/>
        </w:rPr>
        <w:t xml:space="preserve"> </w:t>
      </w:r>
      <w:r w:rsidRPr="004B128F">
        <w:t xml:space="preserve">ocorre através de um processo que visa reproduzir inovações desenvolvidas e/ou introduzida por outra empresa, sem que tenha havido qualquer cooperação entre as duas firmas </w:t>
      </w:r>
      <w:r w:rsidRPr="00C441CE">
        <w:t>Kim</w:t>
      </w:r>
      <w:r>
        <w:t xml:space="preserve"> e Nelson, (2005)</w:t>
      </w:r>
      <w:r w:rsidRPr="004B128F">
        <w:t xml:space="preserve">. </w:t>
      </w:r>
      <w:r w:rsidRPr="00F22CC8">
        <w:t>As imitações podem envolver desde a falsificação, até adaptações criativas e saltos tecnológicos</w:t>
      </w:r>
      <w:r>
        <w:rPr>
          <w:rStyle w:val="Refdenotaderodap"/>
        </w:rPr>
        <w:footnoteReference w:id="8"/>
      </w:r>
      <w:r>
        <w:t>.</w:t>
      </w:r>
      <w:r w:rsidRPr="004B128F">
        <w:t xml:space="preserve"> </w:t>
      </w:r>
      <w:r>
        <w:t>U</w:t>
      </w:r>
      <w:r w:rsidRPr="004B128F">
        <w:t>m concorrente pode</w:t>
      </w:r>
      <w:r>
        <w:t>, portanto,</w:t>
      </w:r>
      <w:r w:rsidRPr="004B128F">
        <w:t xml:space="preserve"> servir de inspiração para avanços tecnológicos através d</w:t>
      </w:r>
      <w:r>
        <w:t>o simples contato com o produto</w:t>
      </w:r>
      <w:r w:rsidRPr="004B128F">
        <w:t xml:space="preserve"> via engenharia reversa</w:t>
      </w:r>
      <w:r>
        <w:t>. Contudo</w:t>
      </w:r>
      <w:r w:rsidRPr="004B128F">
        <w:t xml:space="preserve"> a imitação pode necessitar da aquisição da patente para ocorrer. </w:t>
      </w:r>
    </w:p>
    <w:p w:rsidR="00692DF9" w:rsidRPr="004B128F" w:rsidRDefault="00692DF9" w:rsidP="00DD1D4C">
      <w:pPr>
        <w:pStyle w:val="Recuodecorpodetexto"/>
        <w:spacing w:after="0"/>
        <w:ind w:left="0" w:firstLine="709"/>
        <w:jc w:val="both"/>
      </w:pPr>
      <w:r>
        <w:t>A</w:t>
      </w:r>
      <w:r w:rsidRPr="004B128F">
        <w:t xml:space="preserve"> imitação através do contato com a inovação do concorrente está diretamente associada à necessidade de conhecimentos tácitos para</w:t>
      </w:r>
      <w:r>
        <w:t xml:space="preserve"> a compreensão total do produto. Já</w:t>
      </w:r>
      <w:r w:rsidRPr="004B128F">
        <w:t xml:space="preserve"> a imitação via licenç</w:t>
      </w:r>
      <w:r>
        <w:t>as, patentes e know-how envolve</w:t>
      </w:r>
      <w:r w:rsidRPr="004B128F">
        <w:t xml:space="preserve"> aquisição de conhecimento codificado</w:t>
      </w:r>
      <w:r>
        <w:t>s nessas</w:t>
      </w:r>
      <w:r w:rsidRPr="004B128F">
        <w:t xml:space="preserve">, </w:t>
      </w:r>
      <w:r>
        <w:t xml:space="preserve">mas </w:t>
      </w:r>
      <w:r w:rsidRPr="004B128F">
        <w:t xml:space="preserve">também </w:t>
      </w:r>
      <w:r>
        <w:t xml:space="preserve">de </w:t>
      </w:r>
      <w:r w:rsidRPr="004B128F">
        <w:t>um conjunto específico de</w:t>
      </w:r>
      <w:r>
        <w:t xml:space="preserve"> conhecimentos</w:t>
      </w:r>
      <w:r w:rsidRPr="004B128F">
        <w:t xml:space="preserve"> tácitos </w:t>
      </w:r>
      <w:r>
        <w:t>que permitam o imitador</w:t>
      </w:r>
      <w:r w:rsidRPr="004B128F">
        <w:t xml:space="preserve"> </w:t>
      </w:r>
      <w:r>
        <w:t>compreender</w:t>
      </w:r>
      <w:r w:rsidRPr="004B128F">
        <w:t xml:space="preserve"> avanço patenteado e adaptá-lo à firma.  </w:t>
      </w:r>
    </w:p>
    <w:p w:rsidR="00692DF9" w:rsidRPr="004B128F" w:rsidRDefault="00692DF9" w:rsidP="00DD1D4C">
      <w:pPr>
        <w:ind w:firstLine="709"/>
        <w:jc w:val="both"/>
      </w:pPr>
      <w:r w:rsidRPr="004B128F">
        <w:t xml:space="preserve">A literatura ainda destaca o </w:t>
      </w:r>
      <w:r w:rsidRPr="004B128F">
        <w:rPr>
          <w:i/>
        </w:rPr>
        <w:t>learning by hiring</w:t>
      </w:r>
      <w:r w:rsidRPr="004B128F">
        <w:t>, quando</w:t>
      </w:r>
      <w:r>
        <w:t xml:space="preserve"> as firmas</w:t>
      </w:r>
      <w:r w:rsidRPr="004B128F">
        <w:t xml:space="preserve"> contratam trabalhadores (</w:t>
      </w:r>
      <w:r w:rsidRPr="00051930">
        <w:rPr>
          <w:i/>
        </w:rPr>
        <w:t>experts</w:t>
      </w:r>
      <w:r w:rsidRPr="004B128F">
        <w:t xml:space="preserve">) de outras firmas. A relevância dessa forma de aprendizagem fica evidente quando se admite que o conhecimento é algo inerente ao ser humano, está enraizado nele, e que portanto a mobilidade do trabalhador possui um papel significante no processo de aquisição e construção de conhecimentos das firmas, assim como, nas possibilidades de aplicações de conhecimentos acumulados em diferentes contextos. O aprendizado </w:t>
      </w:r>
      <w:r w:rsidRPr="004B128F">
        <w:rPr>
          <w:i/>
        </w:rPr>
        <w:t>by hiring</w:t>
      </w:r>
      <w:r w:rsidRPr="004B128F">
        <w:t xml:space="preserve"> está diretamente associada a relevância do conhecimento tácito nos processos de inovação, uma vez que a contratação de um </w:t>
      </w:r>
      <w:r w:rsidRPr="004B128F">
        <w:rPr>
          <w:i/>
        </w:rPr>
        <w:t>expert</w:t>
      </w:r>
      <w:r w:rsidRPr="004B128F">
        <w:t xml:space="preserve"> é considerada menos custosa a firma do que outra forma de tentar desenvolver ou adquirir o conhecimento demandado</w:t>
      </w:r>
      <w:r w:rsidRPr="004B128F">
        <w:rPr>
          <w:rStyle w:val="Refdenotaderodap"/>
        </w:rPr>
        <w:footnoteReference w:id="9"/>
      </w:r>
      <w:r w:rsidRPr="004B128F">
        <w:t xml:space="preserve">.  </w:t>
      </w:r>
    </w:p>
    <w:p w:rsidR="00692DF9" w:rsidRPr="00C74C38" w:rsidRDefault="00692DF9" w:rsidP="00DD1D4C">
      <w:pPr>
        <w:pStyle w:val="Corpodetexto"/>
        <w:spacing w:line="240" w:lineRule="auto"/>
        <w:ind w:firstLine="709"/>
      </w:pPr>
      <w:r w:rsidRPr="004B128F">
        <w:t>Os elementos que definem os padrões de aprendizagem</w:t>
      </w:r>
      <w:r>
        <w:t>,</w:t>
      </w:r>
      <w:r w:rsidRPr="004B128F">
        <w:t xml:space="preserve"> identificados a seguir são</w:t>
      </w:r>
      <w:r>
        <w:t>,</w:t>
      </w:r>
      <w:r w:rsidRPr="004B128F">
        <w:t xml:space="preserve"> </w:t>
      </w:r>
      <w:r>
        <w:t>a</w:t>
      </w:r>
      <w:r w:rsidRPr="004B128F">
        <w:t xml:space="preserve"> mai</w:t>
      </w:r>
      <w:r>
        <w:t>or</w:t>
      </w:r>
      <w:r w:rsidRPr="004B128F">
        <w:t xml:space="preserve"> (ou meno</w:t>
      </w:r>
      <w:r>
        <w:t>r</w:t>
      </w:r>
      <w:r w:rsidRPr="004B128F">
        <w:t>) intensi</w:t>
      </w:r>
      <w:r>
        <w:t>dade</w:t>
      </w:r>
      <w:r w:rsidRPr="004B128F">
        <w:t xml:space="preserve"> </w:t>
      </w:r>
      <w:r>
        <w:t xml:space="preserve">no uso </w:t>
      </w:r>
      <w:r w:rsidRPr="004B128F">
        <w:t>das diferentes formas de aprendizagem relacionadas acima</w:t>
      </w:r>
      <w:r>
        <w:t xml:space="preserve">. </w:t>
      </w:r>
      <w:r w:rsidRPr="00241431">
        <w:t xml:space="preserve">É uma análise exploratória de dados que procura identificar padrões </w:t>
      </w:r>
      <w:r>
        <w:t>(</w:t>
      </w:r>
      <w:r w:rsidRPr="00241431">
        <w:t>de aprendizagem</w:t>
      </w:r>
      <w:r>
        <w:t>)</w:t>
      </w:r>
      <w:r w:rsidRPr="00241431">
        <w:t xml:space="preserve"> atrav</w:t>
      </w:r>
      <w:r w:rsidRPr="00C74C38">
        <w:t xml:space="preserve">és de indicadores específicos aplicados ao conjunto de empresas inovadoras reunidas em 93 atividades industriais (setores) da economia brasileira.  </w:t>
      </w:r>
    </w:p>
    <w:p w:rsidR="00692DF9" w:rsidRPr="004B128F" w:rsidRDefault="00692DF9" w:rsidP="00DD1D4C">
      <w:pPr>
        <w:autoSpaceDE w:val="0"/>
        <w:autoSpaceDN w:val="0"/>
        <w:adjustRightInd w:val="0"/>
        <w:ind w:firstLine="709"/>
        <w:jc w:val="both"/>
        <w:rPr>
          <w:color w:val="000000"/>
        </w:rPr>
      </w:pPr>
      <w:r w:rsidRPr="00C74C38">
        <w:rPr>
          <w:rFonts w:eastAsia="SimSun"/>
          <w:lang w:eastAsia="zh-CN"/>
        </w:rPr>
        <w:t xml:space="preserve">Algumas evidências da diferenciação setorial da aprendizagem são encontradas em </w:t>
      </w:r>
      <w:r w:rsidRPr="00C74C38">
        <w:t xml:space="preserve">Meeus et al.(1999) ao apontarem as atividades mais complexas como aquelas com maior demanda por interações com a infra-estrutura de C&amp;T. Além de outros elementos como o destaque a intensidade do uso de recursos internos qualificados para a a ampliação do acesso a conhecimentos externos, conformando a hipótese de Cohen e Levinthal (1989). </w:t>
      </w:r>
      <w:r w:rsidRPr="00C74C38">
        <w:rPr>
          <w:color w:val="000000"/>
        </w:rPr>
        <w:t>Tamb</w:t>
      </w:r>
      <w:r>
        <w:rPr>
          <w:color w:val="000000"/>
        </w:rPr>
        <w:t>ém,</w:t>
      </w:r>
      <w:r w:rsidRPr="00317FFB">
        <w:rPr>
          <w:color w:val="000000"/>
        </w:rPr>
        <w:t xml:space="preserve"> Levin (1988), por exemplo,</w:t>
      </w:r>
      <w:r>
        <w:rPr>
          <w:color w:val="000000"/>
        </w:rPr>
        <w:t xml:space="preserve"> diferencia setores ao investigar a hipótese de que haveria um desincentivo a realização de P&amp;D interno (</w:t>
      </w:r>
      <w:r w:rsidRPr="009C174B">
        <w:rPr>
          <w:i/>
          <w:color w:val="000000"/>
        </w:rPr>
        <w:t>learning by search</w:t>
      </w:r>
      <w:r>
        <w:rPr>
          <w:color w:val="000000"/>
        </w:rPr>
        <w:t>) provocado pela possibilidade de parte desse esforço ser apropriado por seus concorrentes através da troca de informações (</w:t>
      </w:r>
      <w:r w:rsidRPr="00214482">
        <w:rPr>
          <w:i/>
          <w:color w:val="000000"/>
        </w:rPr>
        <w:t>learning by</w:t>
      </w:r>
      <w:r>
        <w:rPr>
          <w:color w:val="000000"/>
        </w:rPr>
        <w:t xml:space="preserve"> </w:t>
      </w:r>
      <w:r w:rsidRPr="00214482">
        <w:rPr>
          <w:i/>
          <w:color w:val="000000"/>
        </w:rPr>
        <w:t>spillover</w:t>
      </w:r>
      <w:r>
        <w:rPr>
          <w:color w:val="000000"/>
        </w:rPr>
        <w:t xml:space="preserve">), como parte da estratégia de acelerar o progresso técnico (Spence, 1984 apud Levin (1988). Os resultados confirmam a hipótese para indústrias como as de farmácia e química, mas não para as indústrias voltadas a fabricação computadores, construção de aviões, equipamentos e comunicação e componentes eletrônicos. Sendo que o primeiro caso se justificaria pela descontinuidade dos conhecimentos incorporados as inovações do período, as quais sugeriam que os conhecimentos gerados através de P&amp;D interno e externo possuíam caráter substituto e, por isso, não estimulavam a absorção de conhecimentos by </w:t>
      </w:r>
      <w:r w:rsidRPr="009C174B">
        <w:rPr>
          <w:i/>
          <w:color w:val="000000"/>
        </w:rPr>
        <w:t>spillover</w:t>
      </w:r>
      <w:r>
        <w:rPr>
          <w:color w:val="000000"/>
        </w:rPr>
        <w:t xml:space="preserve">. Enquanto nas segundas indústrias, as inovações do período se caracterizavam pela incorporação de dispositivos eletrônicos já desenvolvidos no passado, de forma que conhecimentos adquiridos através de </w:t>
      </w:r>
      <w:r w:rsidRPr="006E316F">
        <w:rPr>
          <w:i/>
          <w:color w:val="000000"/>
        </w:rPr>
        <w:t>spillover</w:t>
      </w:r>
      <w:r>
        <w:rPr>
          <w:color w:val="000000"/>
        </w:rPr>
        <w:t xml:space="preserve"> estimulavam novos investimentos em P&amp;D (</w:t>
      </w:r>
      <w:r w:rsidRPr="00C006CC">
        <w:rPr>
          <w:i/>
          <w:color w:val="000000"/>
        </w:rPr>
        <w:t>search</w:t>
      </w:r>
      <w:r>
        <w:rPr>
          <w:color w:val="000000"/>
        </w:rPr>
        <w:t xml:space="preserve">) como forma de compreender e avançar sobre os conhecimentos externos absorvidos. </w:t>
      </w:r>
    </w:p>
    <w:p w:rsidR="00692DF9" w:rsidRPr="00157FDE" w:rsidRDefault="00692DF9" w:rsidP="00DD1D4C">
      <w:pPr>
        <w:pStyle w:val="Corpodetexto"/>
        <w:spacing w:line="240" w:lineRule="auto"/>
        <w:ind w:firstLine="709"/>
        <w:rPr>
          <w:color w:val="000000"/>
        </w:rPr>
      </w:pPr>
      <w:r>
        <w:t>Já Murovec</w:t>
      </w:r>
      <w:r w:rsidRPr="00157FDE">
        <w:t xml:space="preserve"> e Prodan (2009) e</w:t>
      </w:r>
      <w:r w:rsidRPr="00157FDE">
        <w:rPr>
          <w:rStyle w:val="apple-style-span"/>
          <w:color w:val="000000"/>
          <w:shd w:val="clear" w:color="auto" w:fill="FFFFFF"/>
        </w:rPr>
        <w:t xml:space="preserve">m estudo sobre as indústrias espanholas e da república Theca apontaram dois grupos de firmas cuja capacidade de absorção se definia pela intensidade da interação. </w:t>
      </w:r>
      <w:r>
        <w:rPr>
          <w:rStyle w:val="apple-style-span"/>
          <w:color w:val="000000"/>
          <w:shd w:val="clear" w:color="auto" w:fill="FFFFFF"/>
        </w:rPr>
        <w:t xml:space="preserve">Especificamente denominou-os de </w:t>
      </w:r>
      <w:r w:rsidRPr="00157FDE">
        <w:rPr>
          <w:rStyle w:val="apple-style-span"/>
          <w:color w:val="000000"/>
          <w:shd w:val="clear" w:color="auto" w:fill="FFFFFF"/>
        </w:rPr>
        <w:t xml:space="preserve">(i) </w:t>
      </w:r>
      <w:r w:rsidRPr="00157FDE">
        <w:rPr>
          <w:rStyle w:val="apple-style-span"/>
          <w:i/>
          <w:color w:val="000000"/>
          <w:shd w:val="clear" w:color="auto" w:fill="FFFFFF"/>
        </w:rPr>
        <w:t>science-push mode</w:t>
      </w:r>
      <w:r w:rsidRPr="00157FDE">
        <w:rPr>
          <w:rStyle w:val="apple-style-span"/>
          <w:color w:val="000000"/>
          <w:shd w:val="clear" w:color="auto" w:fill="FFFFFF"/>
        </w:rPr>
        <w:t xml:space="preserve"> </w:t>
      </w:r>
      <w:r>
        <w:rPr>
          <w:rStyle w:val="apple-style-span"/>
          <w:color w:val="000000"/>
          <w:shd w:val="clear" w:color="auto" w:fill="FFFFFF"/>
        </w:rPr>
        <w:t>aquelas firmas intensivas na absorção de conhecimentos de universidades e</w:t>
      </w:r>
      <w:r w:rsidRPr="00157FDE">
        <w:rPr>
          <w:rStyle w:val="apple-style-span"/>
          <w:color w:val="000000"/>
          <w:shd w:val="clear" w:color="auto" w:fill="FFFFFF"/>
        </w:rPr>
        <w:t xml:space="preserve"> (ii) </w:t>
      </w:r>
      <w:r w:rsidRPr="00157FDE">
        <w:rPr>
          <w:rStyle w:val="apple-style-span"/>
          <w:i/>
          <w:color w:val="000000"/>
          <w:shd w:val="clear" w:color="auto" w:fill="FFFFFF"/>
        </w:rPr>
        <w:t>demand-pull mode</w:t>
      </w:r>
      <w:r>
        <w:rPr>
          <w:rStyle w:val="apple-style-span"/>
          <w:i/>
          <w:color w:val="000000"/>
          <w:shd w:val="clear" w:color="auto" w:fill="FFFFFF"/>
        </w:rPr>
        <w:t xml:space="preserve">, </w:t>
      </w:r>
      <w:r w:rsidRPr="00C74C38">
        <w:rPr>
          <w:rStyle w:val="apple-style-span"/>
          <w:color w:val="000000"/>
          <w:shd w:val="clear" w:color="auto" w:fill="FFFFFF"/>
        </w:rPr>
        <w:t>as firmas intensivas na absorção de conhecimentos de fornecedores, clientes e concorrentes</w:t>
      </w:r>
      <w:r w:rsidRPr="00157FDE">
        <w:rPr>
          <w:rStyle w:val="apple-style-span"/>
          <w:color w:val="000000"/>
          <w:shd w:val="clear" w:color="auto" w:fill="FFFFFF"/>
        </w:rPr>
        <w:t>.</w:t>
      </w:r>
    </w:p>
    <w:p w:rsidR="00692DF9" w:rsidRDefault="00692DF9" w:rsidP="00DD1D4C">
      <w:pPr>
        <w:pStyle w:val="Corpodetexto"/>
        <w:spacing w:line="240" w:lineRule="auto"/>
        <w:ind w:firstLine="709"/>
        <w:rPr>
          <w:color w:val="000000"/>
        </w:rPr>
      </w:pPr>
      <w:r w:rsidRPr="004B128F">
        <w:rPr>
          <w:color w:val="000000"/>
        </w:rPr>
        <w:t>No Brasil uma importante contribuição a compreensão das características dos esforços setoriais de inovação e aprendizagem foi a de Gonçalves e Simões (2005) ao aplicarem técnicas da análise estatística multivariada à variáveis da PINTEC referentes aos esforços de aprendizagem e incorporação tecnológica. Entre outras part</w:t>
      </w:r>
      <w:r>
        <w:rPr>
          <w:color w:val="000000"/>
        </w:rPr>
        <w:t>icularidades nacionais</w:t>
      </w:r>
      <w:r w:rsidRPr="004B128F">
        <w:rPr>
          <w:color w:val="000000"/>
        </w:rPr>
        <w:t xml:space="preserve">, </w:t>
      </w:r>
      <w:r>
        <w:rPr>
          <w:color w:val="000000"/>
        </w:rPr>
        <w:t>destacaram</w:t>
      </w:r>
      <w:r w:rsidRPr="004B128F">
        <w:rPr>
          <w:color w:val="000000"/>
        </w:rPr>
        <w:t xml:space="preserve"> nível de gastos em atividades inovadoras maior em setores objetos de política industrial nas décadas de 1960 e 1970, </w:t>
      </w:r>
      <w:r>
        <w:rPr>
          <w:color w:val="000000"/>
        </w:rPr>
        <w:t>(</w:t>
      </w:r>
      <w:r w:rsidRPr="004B128F">
        <w:rPr>
          <w:color w:val="000000"/>
        </w:rPr>
        <w:t>aeronáutica e siderurgia</w:t>
      </w:r>
      <w:r>
        <w:rPr>
          <w:color w:val="000000"/>
        </w:rPr>
        <w:t>)</w:t>
      </w:r>
      <w:r w:rsidRPr="004B128F">
        <w:rPr>
          <w:color w:val="000000"/>
        </w:rPr>
        <w:t xml:space="preserve">. Além disso, </w:t>
      </w:r>
      <w:r>
        <w:rPr>
          <w:color w:val="000000"/>
        </w:rPr>
        <w:t>afirmaram</w:t>
      </w:r>
      <w:r w:rsidRPr="004B128F">
        <w:rPr>
          <w:color w:val="000000"/>
        </w:rPr>
        <w:t xml:space="preserve"> que setores com maiores oportunidades tecnológicas apresentam esforços reduzidos em P&amp;D, o que revela a característica do sistema nacional de passividade e dependência de canais internacionais de transferência tecnológica. </w:t>
      </w:r>
    </w:p>
    <w:p w:rsidR="00692DF9" w:rsidRPr="00777A4F" w:rsidRDefault="00692DF9" w:rsidP="00DD1D4C">
      <w:pPr>
        <w:autoSpaceDE w:val="0"/>
        <w:autoSpaceDN w:val="0"/>
        <w:adjustRightInd w:val="0"/>
        <w:ind w:firstLine="709"/>
        <w:jc w:val="both"/>
      </w:pPr>
      <w:r w:rsidRPr="00777A4F">
        <w:t>Diferentemente da caracterização dos esforços setoriais de Gonçalves e Simões (2005), nesse trabalho os procedimentos estatísticos para o agrupamento de setores com respeito aos indicadores considerados foram realizados para os três anos. Isso por que os “padrões” são compreendidos como configurações de relações que tendem a se manter com o tempo. Dessa forma, os padrões setoriais foram identificados segundo similaridades comportamentais dos setores nos três períodos pesquisados</w:t>
      </w:r>
      <w:r w:rsidRPr="00777A4F">
        <w:rPr>
          <w:rStyle w:val="Refdenotaderodap"/>
        </w:rPr>
        <w:footnoteReference w:id="10"/>
      </w:r>
      <w:r w:rsidRPr="00777A4F">
        <w:t xml:space="preserve">. </w:t>
      </w:r>
    </w:p>
    <w:p w:rsidR="00692DF9" w:rsidRPr="004B128F" w:rsidRDefault="00692DF9" w:rsidP="00DD1D4C">
      <w:pPr>
        <w:autoSpaceDE w:val="0"/>
        <w:autoSpaceDN w:val="0"/>
        <w:adjustRightInd w:val="0"/>
        <w:ind w:firstLine="709"/>
        <w:jc w:val="both"/>
        <w:rPr>
          <w:color w:val="000000"/>
        </w:rPr>
      </w:pPr>
      <w:r>
        <w:rPr>
          <w:color w:val="000000"/>
        </w:rPr>
        <w:t>A</w:t>
      </w:r>
      <w:r w:rsidRPr="004B128F">
        <w:rPr>
          <w:color w:val="000000"/>
        </w:rPr>
        <w:t>o identificar padrões setoriais de aprendizagem na indústria</w:t>
      </w:r>
      <w:r>
        <w:rPr>
          <w:color w:val="000000"/>
        </w:rPr>
        <w:t xml:space="preserve"> brasileira</w:t>
      </w:r>
      <w:r w:rsidRPr="004B128F">
        <w:rPr>
          <w:color w:val="000000"/>
        </w:rPr>
        <w:t xml:space="preserve">, esse estudo pretende mapear configurações de relações internas e externas (à firma) que traduzem suas atividades tecnológicas. </w:t>
      </w:r>
      <w:r>
        <w:rPr>
          <w:color w:val="000000"/>
        </w:rPr>
        <w:t>Por isso, n</w:t>
      </w:r>
      <w:r w:rsidRPr="004B128F">
        <w:rPr>
          <w:color w:val="000000"/>
        </w:rPr>
        <w:t xml:space="preserve">enhuma agregação </w:t>
      </w:r>
      <w:r w:rsidRPr="00492792">
        <w:rPr>
          <w:i/>
          <w:color w:val="000000"/>
        </w:rPr>
        <w:t>ex-ante</w:t>
      </w:r>
      <w:r w:rsidRPr="004B128F">
        <w:rPr>
          <w:color w:val="000000"/>
        </w:rPr>
        <w:t xml:space="preserve"> a aplicação da técnica estatística fora realizada, por exemplo, através da taxonomia Pavitt (1984) ou do us</w:t>
      </w:r>
      <w:r w:rsidRPr="000C06C2">
        <w:rPr>
          <w:color w:val="000000"/>
        </w:rPr>
        <w:t>o de classificações dos setores quanto as características regime tecnológico (Malerba, 1997)</w:t>
      </w:r>
      <w:r w:rsidRPr="000C06C2">
        <w:rPr>
          <w:rStyle w:val="Refdenotaderodap"/>
          <w:color w:val="000000"/>
        </w:rPr>
        <w:footnoteReference w:id="11"/>
      </w:r>
      <w:r w:rsidRPr="000C06C2">
        <w:rPr>
          <w:color w:val="000000"/>
        </w:rPr>
        <w:t>.</w:t>
      </w:r>
      <w:r w:rsidRPr="004B128F">
        <w:rPr>
          <w:color w:val="000000"/>
        </w:rPr>
        <w:t>A próxima seção detalha os procedimentos m</w:t>
      </w:r>
      <w:r>
        <w:rPr>
          <w:color w:val="000000"/>
        </w:rPr>
        <w:t>etodológicos utilizados</w:t>
      </w:r>
      <w:r w:rsidRPr="004B128F">
        <w:rPr>
          <w:color w:val="000000"/>
        </w:rPr>
        <w:t xml:space="preserve">. </w:t>
      </w:r>
    </w:p>
    <w:p w:rsidR="00692DF9" w:rsidRDefault="00692DF9" w:rsidP="00DD1D4C"/>
    <w:p w:rsidR="00692DF9" w:rsidRDefault="00692DF9" w:rsidP="00DD1D4C">
      <w:pPr>
        <w:pStyle w:val="PargrafodaLista"/>
        <w:numPr>
          <w:ilvl w:val="0"/>
          <w:numId w:val="1"/>
        </w:numPr>
        <w:rPr>
          <w:b/>
        </w:rPr>
      </w:pPr>
      <w:r w:rsidRPr="00433CDB">
        <w:rPr>
          <w:b/>
        </w:rPr>
        <w:t>Metodologia</w:t>
      </w:r>
    </w:p>
    <w:p w:rsidR="00692DF9" w:rsidRDefault="00692DF9" w:rsidP="00DD1D4C">
      <w:pPr>
        <w:pStyle w:val="PargrafodaLista"/>
        <w:ind w:left="1069"/>
        <w:rPr>
          <w:b/>
        </w:rPr>
      </w:pPr>
    </w:p>
    <w:p w:rsidR="00692DF9" w:rsidRPr="004C0F8F" w:rsidRDefault="00692DF9" w:rsidP="00DD1D4C">
      <w:pPr>
        <w:pStyle w:val="PargrafodaLista"/>
        <w:numPr>
          <w:ilvl w:val="1"/>
          <w:numId w:val="1"/>
        </w:numPr>
        <w:rPr>
          <w:b/>
        </w:rPr>
      </w:pPr>
      <w:r w:rsidRPr="004C0F8F">
        <w:rPr>
          <w:b/>
        </w:rPr>
        <w:t>A Construção dos Indicadores</w:t>
      </w:r>
    </w:p>
    <w:p w:rsidR="00692DF9" w:rsidRDefault="00692DF9" w:rsidP="00DD1D4C">
      <w:pPr>
        <w:pStyle w:val="PargrafodaLista"/>
        <w:ind w:left="1069"/>
      </w:pPr>
    </w:p>
    <w:p w:rsidR="00692DF9" w:rsidRPr="004B128F" w:rsidRDefault="00692DF9" w:rsidP="00DD1D4C">
      <w:pPr>
        <w:ind w:firstLine="709"/>
        <w:jc w:val="both"/>
      </w:pPr>
      <w:r w:rsidRPr="004B128F">
        <w:t xml:space="preserve">O primeiro procedimento metodológico necessário à análise foi a construção dos indicadores de aprendizagem. Dois subconjuntos de informações da PINTEC foram utilizados para isso. O primeiro, as “fontes de informação” referem-se </w:t>
      </w:r>
      <w:r>
        <w:t>à</w:t>
      </w:r>
      <w:r w:rsidRPr="004B128F">
        <w:t>s fontes de idéias utilizadas pelas firmas em seus processos de inovação. Diferentes fontes de informação podem servir de inspiração e orientação aos projetos de inovação das firmas. A PINTEC subdivide as fontes internas em dois grupos:</w:t>
      </w:r>
      <w:r>
        <w:t xml:space="preserve"> as fontes internas, ou seja,</w:t>
      </w:r>
      <w:r w:rsidRPr="004B128F">
        <w:t xml:space="preserve"> os ‘departamentos de </w:t>
      </w:r>
      <w:r>
        <w:t>P&amp;D’ e ‘outras fontes internas’.</w:t>
      </w:r>
      <w:r w:rsidRPr="004B128F">
        <w:t xml:space="preserve"> </w:t>
      </w:r>
      <w:r>
        <w:t>E</w:t>
      </w:r>
      <w:r w:rsidRPr="004B128F">
        <w:t>stas últimas incluem tanto atividades de P&amp;D não-rotinizadas, dispersas em departamentos ou setores da atividade produtiva da firma. Já as fontes externas englobam os múltiplos elementos envolvidos em possíveis interações que resultam em aprendizagem e inovação</w:t>
      </w:r>
      <w:r>
        <w:rPr>
          <w:rStyle w:val="Refdenotaderodap"/>
        </w:rPr>
        <w:footnoteReference w:id="12"/>
      </w:r>
      <w:r w:rsidRPr="004B128F">
        <w:t>.</w:t>
      </w:r>
      <w:r>
        <w:t xml:space="preserve">  </w:t>
      </w:r>
    </w:p>
    <w:p w:rsidR="00692DF9" w:rsidRPr="004B128F" w:rsidRDefault="00692DF9" w:rsidP="00DD1D4C">
      <w:pPr>
        <w:ind w:firstLine="709"/>
        <w:jc w:val="both"/>
      </w:pPr>
      <w:r w:rsidRPr="004B128F">
        <w:t xml:space="preserve"> O segundo grupo de variáveis que compõe os indicadores refere-se a “importância” dada pelas empresas aos gastos em sete atividades de inovação para que as idéias efetivamente se realizassem, ou seja, se transformassem </w:t>
      </w:r>
      <w:smartTag w:uri="urn:schemas-microsoft-com:office:smarttags" w:element="PersonName">
        <w:smartTagPr>
          <w:attr w:name="ProductID" w:val="em inovações. A"/>
        </w:smartTagPr>
        <w:r w:rsidRPr="004B128F">
          <w:t>em inovações. A</w:t>
        </w:r>
      </w:smartTag>
      <w:r w:rsidRPr="004B128F">
        <w:t xml:space="preserve"> intensidade dos esforços nesse grupo de atividades aponta estratégias diferenciadas de capacitação e aprendizagem.</w:t>
      </w:r>
    </w:p>
    <w:p w:rsidR="00692DF9" w:rsidRPr="004B128F" w:rsidRDefault="00692DF9" w:rsidP="00DD1D4C">
      <w:pPr>
        <w:ind w:firstLine="709"/>
        <w:jc w:val="both"/>
      </w:pPr>
      <w:r w:rsidRPr="004B128F">
        <w:t xml:space="preserve"> O quadro abaixo apresenta os indicadores de aprendizagem construídos a partir da combinação de variáveis de FONTES para idéias e as prováveis IMPORTÂNCIAS nas formas de de</w:t>
      </w:r>
      <w:r>
        <w:t>s</w:t>
      </w:r>
      <w:r w:rsidRPr="004B128F">
        <w:t>pender gastos associadas às fontes de id</w:t>
      </w:r>
      <w:r>
        <w:t>é</w:t>
      </w:r>
      <w:r w:rsidRPr="004B128F">
        <w:t>ias. A construção das combinações foi realizada observando a provável atividade de inovação associada ao uso de determinada fonte de informação como fonte de idéia para a inovação</w:t>
      </w:r>
      <w:r w:rsidRPr="004B128F">
        <w:rPr>
          <w:rStyle w:val="Refdenotaderodap"/>
        </w:rPr>
        <w:footnoteReference w:id="13"/>
      </w:r>
      <w:r w:rsidRPr="004B128F">
        <w:t xml:space="preserve">. </w:t>
      </w:r>
    </w:p>
    <w:p w:rsidR="00692DF9" w:rsidRDefault="00692DF9" w:rsidP="00DD1D4C">
      <w:pPr>
        <w:ind w:firstLine="709"/>
        <w:jc w:val="both"/>
      </w:pPr>
      <w:r>
        <w:t>A “aprendizagem pelo P&amp;D interno”</w:t>
      </w:r>
      <w:r w:rsidRPr="004B128F">
        <w:t xml:space="preserve"> </w:t>
      </w:r>
      <w:r>
        <w:t xml:space="preserve">corresponde teoricamente ao </w:t>
      </w:r>
      <w:r w:rsidRPr="004B128F">
        <w:rPr>
          <w:i/>
        </w:rPr>
        <w:t>learning by search</w:t>
      </w:r>
      <w:r w:rsidRPr="004B128F">
        <w:t xml:space="preserve">, </w:t>
      </w:r>
      <w:r>
        <w:t xml:space="preserve">é </w:t>
      </w:r>
      <w:r w:rsidRPr="004B128F">
        <w:t xml:space="preserve">relacionado a fontes de idéias retiradas dos departamentos formais de P&amp;D. Considerou-se que o departamento de P&amp;D é também o principal local da realização dos gastos para a realização das idéias. Com isso, selecionou-se a “importância com os gastos com os departamentos de P&amp;D” como a outra variável à compor esse indicador. </w:t>
      </w:r>
    </w:p>
    <w:p w:rsidR="00692DF9" w:rsidRPr="004B128F" w:rsidRDefault="00692DF9" w:rsidP="00DD1D4C">
      <w:pPr>
        <w:ind w:firstLine="709"/>
        <w:jc w:val="both"/>
      </w:pPr>
      <w:r>
        <w:t>O “aprender fazendo” correspondente ao</w:t>
      </w:r>
      <w:r w:rsidRPr="004B128F">
        <w:t xml:space="preserve"> </w:t>
      </w:r>
      <w:r w:rsidRPr="004B128F">
        <w:rPr>
          <w:i/>
        </w:rPr>
        <w:t>learning by doing</w:t>
      </w:r>
      <w:r>
        <w:rPr>
          <w:i/>
        </w:rPr>
        <w:t>,</w:t>
      </w:r>
      <w:r w:rsidRPr="004B128F">
        <w:t xml:space="preserve"> é relacionado </w:t>
      </w:r>
      <w:r>
        <w:t>à</w:t>
      </w:r>
      <w:r w:rsidRPr="004B128F">
        <w:t xml:space="preserve">s “outras fontes internas – excluindo-se o P&amp;D” e </w:t>
      </w:r>
      <w:r>
        <w:t>à</w:t>
      </w:r>
      <w:r w:rsidRPr="004B128F">
        <w:t xml:space="preserve"> importância dos gastos realizados pelas empresas inovadoras com “projetos industriais e outras preparações técnicas”. Conforme definição utilizada pela PINTEC (2005), as fontes </w:t>
      </w:r>
      <w:r>
        <w:t>consideradas</w:t>
      </w:r>
      <w:r w:rsidRPr="004B128F">
        <w:t xml:space="preserve"> incluem tanto atividades de P&amp;D não-rotinizadas, dispersas em departamentos ou setores cujas atividades são primordialmente de engenharia rotineira de produção e qualidade, como os setores de compras e relações com os fornecedores e setores encarregados do </w:t>
      </w:r>
      <w:r w:rsidRPr="004B128F">
        <w:rPr>
          <w:i/>
        </w:rPr>
        <w:t xml:space="preserve">marketing. </w:t>
      </w:r>
      <w:r w:rsidRPr="004B128F">
        <w:t>Enquanto que os gastos “projetos industriais e outras preparações técnicas” referem-se a procedimentos e preparações técnicas para efetivar a implementação de inovações de produtos e processos. Os procedimentos incluem, por exemplo: atividades tecnológicas industriais básicas como metrologia, normalização, ensaios e testes. Assim como mudanças em procedimentos de produção e em padrões e métodos de trabalho, ou a transformação de plantas e desenhos voltados a definição de características operacionais de produção e distribuição. Para serem enquadrados nesse tipo de atividade inovativa gastos em quaisquer das transformações ditas acima devem visar o aperfeiçoamento tecnológico do produto ou processo.</w:t>
      </w:r>
    </w:p>
    <w:p w:rsidR="00692DF9" w:rsidRPr="004B128F" w:rsidRDefault="00692DF9" w:rsidP="00DD1D4C">
      <w:pPr>
        <w:ind w:firstLine="709"/>
        <w:jc w:val="both"/>
      </w:pPr>
      <w:r>
        <w:t>Para a definição da aprendizagem via fontes de C&amp;T, correspondente ao</w:t>
      </w:r>
      <w:r w:rsidRPr="004B128F">
        <w:t xml:space="preserve"> </w:t>
      </w:r>
      <w:r w:rsidRPr="004B128F">
        <w:rPr>
          <w:i/>
        </w:rPr>
        <w:t>learning from advanced S&amp;T</w:t>
      </w:r>
      <w:r>
        <w:rPr>
          <w:i/>
        </w:rPr>
        <w:t>,</w:t>
      </w:r>
      <w:r w:rsidRPr="004B128F">
        <w:t xml:space="preserve"> considerou-se que as “universidades” e as “conferências e publicações especializadas” são as fontes para as idéias. Enquanto que os gastos para a realização das idéias surgidas d</w:t>
      </w:r>
      <w:r>
        <w:t>essas fontes realizam-se</w:t>
      </w:r>
      <w:r w:rsidRPr="004B128F">
        <w:t xml:space="preserve"> da aquisição externa de P&amp;D. Considera-se a “aquisição externa de P&amp;D” a compra por parte da empresa de P&amp;D de outras empresas ou instituições.</w:t>
      </w:r>
    </w:p>
    <w:p w:rsidR="00692DF9" w:rsidRPr="004B128F" w:rsidRDefault="00692DF9" w:rsidP="00DD1D4C">
      <w:pPr>
        <w:ind w:firstLine="709"/>
        <w:jc w:val="both"/>
      </w:pPr>
      <w:r w:rsidRPr="004B128F">
        <w:t xml:space="preserve">Para inferir sobre </w:t>
      </w:r>
      <w:r>
        <w:t>a “aprendizagem por interação”</w:t>
      </w:r>
      <w:r w:rsidRPr="004B128F">
        <w:t xml:space="preserve"> </w:t>
      </w:r>
      <w:r w:rsidRPr="004B128F">
        <w:rPr>
          <w:i/>
        </w:rPr>
        <w:t xml:space="preserve">learning by </w:t>
      </w:r>
      <w:r>
        <w:rPr>
          <w:i/>
        </w:rPr>
        <w:t xml:space="preserve">interacting, </w:t>
      </w:r>
      <w:r>
        <w:t>três indicadores foram construídos</w:t>
      </w:r>
      <w:r w:rsidRPr="004B128F">
        <w:t xml:space="preserve">. Para o primeiro, </w:t>
      </w:r>
      <w:r>
        <w:t>“</w:t>
      </w:r>
      <w:r w:rsidRPr="00F76BE1">
        <w:t>aprendizagem com fornecedores</w:t>
      </w:r>
      <w:r>
        <w:t>”</w:t>
      </w:r>
      <w:r>
        <w:rPr>
          <w:i/>
        </w:rPr>
        <w:t>,</w:t>
      </w:r>
      <w:r w:rsidRPr="004B128F">
        <w:t xml:space="preserve"> foram considerados os “fornecedores” como as fontes de informação para as idéias e a importância dos gastos com a “aquisição de máquinas e equipamentos” como a forma de d</w:t>
      </w:r>
      <w:r>
        <w:t>e</w:t>
      </w:r>
      <w:r w:rsidRPr="004B128F">
        <w:t>spender os recursos para a realização da idéia. Os dispêndios com a aquisição de máquinas e equipamentos, altamente difundidos no Brasil, remetem à aprendizagem gerada com a instalação da máquina, que, por sua vez, pode demandar outros esforços, à medida que haja necessidade de adaptação interna do novo processo produtivo</w:t>
      </w:r>
      <w:r>
        <w:t xml:space="preserve">. </w:t>
      </w:r>
      <w:r w:rsidRPr="004B128F">
        <w:t>Para o segundo</w:t>
      </w:r>
      <w:r>
        <w:t xml:space="preserve"> indicador</w:t>
      </w:r>
      <w:r w:rsidRPr="004B128F">
        <w:t xml:space="preserve">, </w:t>
      </w:r>
      <w:r>
        <w:t>“</w:t>
      </w:r>
      <w:r w:rsidRPr="00F76BE1">
        <w:t>aprendizagem com clientes”</w:t>
      </w:r>
      <w:r>
        <w:rPr>
          <w:i/>
        </w:rPr>
        <w:t xml:space="preserve"> </w:t>
      </w:r>
      <w:r w:rsidRPr="004B128F">
        <w:t>os clientes foram considerados fontes de idéias e a importância dos gastos com a “introdução da inovação tecnológica no mercado” a forma de realizar a idéia.</w:t>
      </w:r>
      <w:r>
        <w:t xml:space="preserve"> O terceiro indicador fora formado</w:t>
      </w:r>
      <w:r w:rsidRPr="00F76BE1">
        <w:t xml:space="preserve"> considerando-se a aprendizagem derivada das “outras fontes externas de interação”</w:t>
      </w:r>
      <w:r>
        <w:t>, especificamente observou o estímulo gerado por (a) as conferências e</w:t>
      </w:r>
      <w:r w:rsidRPr="004B128F">
        <w:t xml:space="preserve"> encontros </w:t>
      </w:r>
      <w:r>
        <w:t xml:space="preserve">e </w:t>
      </w:r>
      <w:r w:rsidRPr="004B128F">
        <w:t xml:space="preserve">(b) </w:t>
      </w:r>
      <w:r>
        <w:t>pel</w:t>
      </w:r>
      <w:r w:rsidRPr="004B128F">
        <w:t>as feiras e exposições</w:t>
      </w:r>
      <w:r>
        <w:t>, à</w:t>
      </w:r>
      <w:r w:rsidRPr="004B128F">
        <w:t xml:space="preserve"> </w:t>
      </w:r>
      <w:r>
        <w:t>difusão de conhecimentos capazes de gerar novas idéias entre concorrentes. Considerou também a importância das (c)</w:t>
      </w:r>
      <w:r w:rsidRPr="004B128F">
        <w:t xml:space="preserve"> empresas de consultoria</w:t>
      </w:r>
      <w:r>
        <w:t xml:space="preserve"> e (d) dos concorrentes, como agentes integrados a indústria, capazes de fornecer idéias ao processo de inovação.</w:t>
      </w:r>
    </w:p>
    <w:p w:rsidR="00692DF9" w:rsidRPr="004B128F" w:rsidRDefault="00692DF9" w:rsidP="00DD1D4C">
      <w:pPr>
        <w:ind w:firstLine="709"/>
        <w:jc w:val="both"/>
      </w:pPr>
      <w:r>
        <w:t>O indicador denominado “aprendizagem por treinamento” é derivado do</w:t>
      </w:r>
      <w:r w:rsidRPr="004B128F">
        <w:t xml:space="preserve"> </w:t>
      </w:r>
      <w:r w:rsidRPr="004B128F">
        <w:rPr>
          <w:i/>
        </w:rPr>
        <w:t>learning by learn</w:t>
      </w:r>
      <w:r w:rsidRPr="004B128F">
        <w:t xml:space="preserve"> </w:t>
      </w:r>
      <w:r>
        <w:t xml:space="preserve">e </w:t>
      </w:r>
      <w:r w:rsidRPr="004B128F">
        <w:t>foi formado pelo uso dos centros de capacitação profissional como fonte de idéias para a mudança técnica e a importância com os gastos em treinamento foi a forma de gasto associada. Dispêndios em treinamento apontam estratégias de absorção de conhecimentos por meio da capacitação de pessoal diretamente voltado ao desenvolvimento de inovações em produtos ou processos.</w:t>
      </w:r>
    </w:p>
    <w:p w:rsidR="00692DF9" w:rsidRPr="004B128F" w:rsidRDefault="00692DF9" w:rsidP="00DD1D4C">
      <w:pPr>
        <w:ind w:firstLine="709"/>
        <w:jc w:val="both"/>
      </w:pPr>
      <w:r>
        <w:t xml:space="preserve">Finalmente, o indicador de aprendizagem por imitação que corresponde ao </w:t>
      </w:r>
      <w:r w:rsidRPr="004B128F">
        <w:rPr>
          <w:i/>
        </w:rPr>
        <w:t>learning by imitating</w:t>
      </w:r>
      <w:r w:rsidRPr="004B128F">
        <w:t xml:space="preserve"> considera os “concorrentes” e as </w:t>
      </w:r>
      <w:r>
        <w:t>“</w:t>
      </w:r>
      <w:r w:rsidRPr="004B128F">
        <w:t>lic</w:t>
      </w:r>
      <w:r>
        <w:t>e</w:t>
      </w:r>
      <w:r w:rsidRPr="004B128F">
        <w:t>nças, patentes e know-how externo</w:t>
      </w:r>
      <w:r>
        <w:t>”</w:t>
      </w:r>
      <w:r w:rsidRPr="004B128F">
        <w:t xml:space="preserve"> como fontes de idéias para as inovações, enquanto que a importância com a “aquisição de outros conhecimentos externos”, </w:t>
      </w:r>
      <w:r>
        <w:t xml:space="preserve">que </w:t>
      </w:r>
      <w:r w:rsidRPr="004B128F">
        <w:t>incl</w:t>
      </w:r>
      <w:r>
        <w:t>ui</w:t>
      </w:r>
      <w:r w:rsidRPr="004B128F">
        <w:t xml:space="preserve"> a aquisição de licenças, pa</w:t>
      </w:r>
      <w:r>
        <w:t>tentes e know-how externo, foi</w:t>
      </w:r>
      <w:r w:rsidRPr="004B128F">
        <w:t xml:space="preserve"> considerad</w:t>
      </w:r>
      <w:r>
        <w:t>a como</w:t>
      </w:r>
      <w:r w:rsidRPr="004B128F">
        <w:t xml:space="preserve"> dispêndios associados.</w:t>
      </w:r>
      <w:r>
        <w:t xml:space="preserve"> O quadro 1 abaixo apresenta as variáveis que formam os indicadores.</w:t>
      </w:r>
    </w:p>
    <w:p w:rsidR="00692DF9" w:rsidRDefault="00692DF9" w:rsidP="00692DF9">
      <w:pPr>
        <w:ind w:firstLine="709"/>
        <w:jc w:val="both"/>
        <w:rPr>
          <w:rFonts w:ascii="Georgia" w:hAnsi="Georgia"/>
        </w:rPr>
      </w:pPr>
    </w:p>
    <w:p w:rsidR="00692DF9" w:rsidRDefault="00692DF9" w:rsidP="00692DF9">
      <w:pPr>
        <w:jc w:val="both"/>
      </w:pPr>
      <w:r w:rsidRPr="007C5EA6">
        <w:t>Quadro</w:t>
      </w:r>
      <w:r>
        <w:t xml:space="preserve"> 1</w:t>
      </w:r>
      <w:r w:rsidRPr="007C5EA6">
        <w:t>: Indicadores de aprendizagem.</w:t>
      </w:r>
    </w:p>
    <w:tbl>
      <w:tblPr>
        <w:tblW w:w="5197"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524"/>
        <w:gridCol w:w="840"/>
        <w:gridCol w:w="1105"/>
        <w:gridCol w:w="939"/>
        <w:gridCol w:w="1106"/>
        <w:gridCol w:w="1348"/>
        <w:gridCol w:w="1105"/>
        <w:gridCol w:w="1409"/>
        <w:gridCol w:w="850"/>
        <w:gridCol w:w="1016"/>
      </w:tblGrid>
      <w:tr w:rsidR="00EF7ABC" w:rsidRPr="00481187" w:rsidTr="005C5ABC">
        <w:trPr>
          <w:jc w:val="center"/>
        </w:trPr>
        <w:tc>
          <w:tcPr>
            <w:tcW w:w="706" w:type="pct"/>
            <w:gridSpan w:val="2"/>
            <w:vMerge w:val="restart"/>
            <w:tcBorders>
              <w:top w:val="single" w:sz="4" w:space="0" w:color="000000"/>
              <w:bottom w:val="single" w:sz="6" w:space="0" w:color="000000"/>
              <w:tl2br w:val="single" w:sz="4" w:space="0" w:color="auto"/>
            </w:tcBorders>
          </w:tcPr>
          <w:p w:rsidR="00EF7ABC" w:rsidRPr="00F97345" w:rsidRDefault="00EF7ABC" w:rsidP="005C5ABC">
            <w:pPr>
              <w:jc w:val="both"/>
              <w:rPr>
                <w:rFonts w:ascii="Georgia" w:hAnsi="Georgia"/>
                <w:sz w:val="18"/>
                <w:szCs w:val="18"/>
              </w:rPr>
            </w:pPr>
          </w:p>
        </w:tc>
        <w:tc>
          <w:tcPr>
            <w:tcW w:w="4294" w:type="pct"/>
            <w:gridSpan w:val="8"/>
          </w:tcPr>
          <w:p w:rsidR="00EF7ABC" w:rsidRPr="00795F84" w:rsidRDefault="00EF7ABC" w:rsidP="005C5ABC">
            <w:pPr>
              <w:jc w:val="center"/>
              <w:rPr>
                <w:b/>
              </w:rPr>
            </w:pPr>
            <w:r w:rsidRPr="00795F84">
              <w:rPr>
                <w:b/>
              </w:rPr>
              <w:t xml:space="preserve">Indicadores de </w:t>
            </w:r>
            <w:r>
              <w:rPr>
                <w:b/>
              </w:rPr>
              <w:t xml:space="preserve">aprendizagem </w:t>
            </w:r>
          </w:p>
        </w:tc>
      </w:tr>
      <w:tr w:rsidR="00EF7ABC" w:rsidRPr="00481187" w:rsidTr="005C5ABC">
        <w:trPr>
          <w:jc w:val="center"/>
        </w:trPr>
        <w:tc>
          <w:tcPr>
            <w:tcW w:w="706" w:type="pct"/>
            <w:gridSpan w:val="2"/>
            <w:vMerge/>
            <w:tcBorders>
              <w:top w:val="single" w:sz="6" w:space="0" w:color="000000"/>
              <w:bottom w:val="single" w:sz="6" w:space="0" w:color="000000"/>
              <w:tl2br w:val="single" w:sz="4" w:space="0" w:color="auto"/>
            </w:tcBorders>
          </w:tcPr>
          <w:p w:rsidR="00EF7ABC" w:rsidRPr="00F97345" w:rsidRDefault="00EF7ABC" w:rsidP="005C5ABC">
            <w:pPr>
              <w:jc w:val="both"/>
              <w:rPr>
                <w:rFonts w:ascii="Georgia" w:hAnsi="Georgia"/>
                <w:sz w:val="18"/>
                <w:szCs w:val="18"/>
              </w:rPr>
            </w:pPr>
          </w:p>
        </w:tc>
        <w:tc>
          <w:tcPr>
            <w:tcW w:w="559" w:type="pct"/>
          </w:tcPr>
          <w:p w:rsidR="00EF7ABC" w:rsidRPr="00795F84" w:rsidRDefault="00EF7ABC" w:rsidP="005C5ABC">
            <w:pPr>
              <w:jc w:val="center"/>
              <w:rPr>
                <w:b/>
                <w:sz w:val="20"/>
                <w:szCs w:val="20"/>
              </w:rPr>
            </w:pPr>
            <w:r>
              <w:rPr>
                <w:b/>
                <w:sz w:val="20"/>
                <w:szCs w:val="20"/>
              </w:rPr>
              <w:t>Via Busca</w:t>
            </w:r>
          </w:p>
        </w:tc>
        <w:tc>
          <w:tcPr>
            <w:tcW w:w="468" w:type="pct"/>
          </w:tcPr>
          <w:p w:rsidR="00EF7ABC" w:rsidRPr="00795F84" w:rsidRDefault="00EF7ABC" w:rsidP="005C5ABC">
            <w:pPr>
              <w:jc w:val="center"/>
              <w:rPr>
                <w:b/>
                <w:sz w:val="20"/>
                <w:szCs w:val="20"/>
              </w:rPr>
            </w:pPr>
            <w:r>
              <w:rPr>
                <w:b/>
                <w:sz w:val="20"/>
                <w:szCs w:val="20"/>
              </w:rPr>
              <w:t>Fazendo</w:t>
            </w:r>
          </w:p>
        </w:tc>
        <w:tc>
          <w:tcPr>
            <w:tcW w:w="560" w:type="pct"/>
          </w:tcPr>
          <w:p w:rsidR="00EF7ABC" w:rsidRPr="00795F84" w:rsidRDefault="00EF7ABC" w:rsidP="005C5ABC">
            <w:pPr>
              <w:jc w:val="center"/>
              <w:rPr>
                <w:b/>
                <w:sz w:val="20"/>
                <w:szCs w:val="20"/>
              </w:rPr>
            </w:pPr>
            <w:r>
              <w:rPr>
                <w:b/>
                <w:sz w:val="20"/>
                <w:szCs w:val="20"/>
              </w:rPr>
              <w:t>Via Fontes avançadas de C&amp;T</w:t>
            </w:r>
          </w:p>
        </w:tc>
        <w:tc>
          <w:tcPr>
            <w:tcW w:w="682" w:type="pct"/>
          </w:tcPr>
          <w:p w:rsidR="00EF7ABC" w:rsidRPr="00795F84" w:rsidRDefault="00EF7ABC" w:rsidP="005C5ABC">
            <w:pPr>
              <w:jc w:val="center"/>
              <w:rPr>
                <w:b/>
                <w:sz w:val="20"/>
                <w:szCs w:val="20"/>
              </w:rPr>
            </w:pPr>
            <w:r>
              <w:rPr>
                <w:b/>
                <w:sz w:val="20"/>
                <w:szCs w:val="20"/>
              </w:rPr>
              <w:t>Via Treinamento</w:t>
            </w:r>
          </w:p>
        </w:tc>
        <w:tc>
          <w:tcPr>
            <w:tcW w:w="559" w:type="pct"/>
          </w:tcPr>
          <w:p w:rsidR="00EF7ABC" w:rsidRPr="00795F84" w:rsidRDefault="00EF7ABC" w:rsidP="005C5ABC">
            <w:pPr>
              <w:jc w:val="center"/>
              <w:rPr>
                <w:b/>
                <w:sz w:val="20"/>
                <w:szCs w:val="20"/>
              </w:rPr>
            </w:pPr>
            <w:r>
              <w:rPr>
                <w:b/>
                <w:sz w:val="20"/>
                <w:szCs w:val="20"/>
              </w:rPr>
              <w:t>Via Imitação</w:t>
            </w:r>
          </w:p>
        </w:tc>
        <w:tc>
          <w:tcPr>
            <w:tcW w:w="707" w:type="pct"/>
          </w:tcPr>
          <w:p w:rsidR="00EF7ABC" w:rsidRPr="008061EF" w:rsidRDefault="00EF7ABC" w:rsidP="005C5ABC">
            <w:pPr>
              <w:jc w:val="center"/>
              <w:rPr>
                <w:b/>
                <w:sz w:val="20"/>
                <w:szCs w:val="20"/>
              </w:rPr>
            </w:pPr>
            <w:r w:rsidRPr="008061EF">
              <w:rPr>
                <w:b/>
                <w:sz w:val="20"/>
                <w:szCs w:val="20"/>
              </w:rPr>
              <w:t xml:space="preserve">Via Fornecedores </w:t>
            </w:r>
          </w:p>
        </w:tc>
        <w:tc>
          <w:tcPr>
            <w:tcW w:w="418" w:type="pct"/>
          </w:tcPr>
          <w:p w:rsidR="00EF7ABC" w:rsidRPr="008061EF" w:rsidRDefault="00EF7ABC" w:rsidP="005C5ABC">
            <w:pPr>
              <w:jc w:val="center"/>
              <w:rPr>
                <w:b/>
                <w:sz w:val="20"/>
                <w:szCs w:val="20"/>
              </w:rPr>
            </w:pPr>
            <w:r w:rsidRPr="008061EF">
              <w:rPr>
                <w:b/>
                <w:sz w:val="20"/>
                <w:szCs w:val="20"/>
              </w:rPr>
              <w:t>Via clientes</w:t>
            </w:r>
          </w:p>
        </w:tc>
        <w:tc>
          <w:tcPr>
            <w:tcW w:w="340" w:type="pct"/>
          </w:tcPr>
          <w:p w:rsidR="00EF7ABC" w:rsidRPr="008061EF" w:rsidRDefault="00EF7ABC" w:rsidP="005C5ABC">
            <w:pPr>
              <w:jc w:val="center"/>
              <w:rPr>
                <w:b/>
                <w:sz w:val="20"/>
                <w:szCs w:val="20"/>
              </w:rPr>
            </w:pPr>
            <w:r w:rsidRPr="008061EF">
              <w:rPr>
                <w:b/>
                <w:sz w:val="20"/>
                <w:szCs w:val="20"/>
              </w:rPr>
              <w:t>Via Outras fontes de interação</w:t>
            </w:r>
          </w:p>
        </w:tc>
      </w:tr>
      <w:tr w:rsidR="00EF7ABC" w:rsidRPr="00481187" w:rsidTr="005C5ABC">
        <w:trPr>
          <w:jc w:val="center"/>
        </w:trPr>
        <w:tc>
          <w:tcPr>
            <w:tcW w:w="706" w:type="pct"/>
            <w:gridSpan w:val="2"/>
            <w:tcBorders>
              <w:top w:val="single" w:sz="6" w:space="0" w:color="000000"/>
              <w:bottom w:val="single" w:sz="6" w:space="0" w:color="000000"/>
              <w:tl2br w:val="nil"/>
            </w:tcBorders>
          </w:tcPr>
          <w:p w:rsidR="00EF7ABC" w:rsidRPr="00F97345" w:rsidRDefault="00EF7ABC" w:rsidP="005C5ABC">
            <w:pPr>
              <w:jc w:val="both"/>
              <w:rPr>
                <w:rFonts w:ascii="Georgia" w:hAnsi="Georgia"/>
                <w:sz w:val="18"/>
                <w:szCs w:val="18"/>
              </w:rPr>
            </w:pPr>
            <w:r w:rsidRPr="00F97345">
              <w:rPr>
                <w:rFonts w:ascii="Georgia" w:hAnsi="Georgia"/>
                <w:sz w:val="18"/>
                <w:szCs w:val="18"/>
              </w:rPr>
              <w:t>Localização da fonte do conhecimento</w:t>
            </w:r>
          </w:p>
        </w:tc>
        <w:tc>
          <w:tcPr>
            <w:tcW w:w="559" w:type="pct"/>
          </w:tcPr>
          <w:p w:rsidR="00EF7ABC" w:rsidRPr="00795F84" w:rsidRDefault="00EF7ABC" w:rsidP="005C5ABC">
            <w:pPr>
              <w:jc w:val="center"/>
              <w:rPr>
                <w:sz w:val="20"/>
                <w:szCs w:val="20"/>
              </w:rPr>
            </w:pPr>
            <w:r w:rsidRPr="00795F84">
              <w:rPr>
                <w:sz w:val="20"/>
                <w:szCs w:val="20"/>
              </w:rPr>
              <w:t>Interna</w:t>
            </w:r>
          </w:p>
        </w:tc>
        <w:tc>
          <w:tcPr>
            <w:tcW w:w="468" w:type="pct"/>
          </w:tcPr>
          <w:p w:rsidR="00EF7ABC" w:rsidRPr="00795F84" w:rsidRDefault="00EF7ABC" w:rsidP="005C5ABC">
            <w:pPr>
              <w:jc w:val="center"/>
              <w:rPr>
                <w:sz w:val="20"/>
                <w:szCs w:val="20"/>
              </w:rPr>
            </w:pPr>
            <w:r w:rsidRPr="00795F84">
              <w:rPr>
                <w:sz w:val="20"/>
                <w:szCs w:val="20"/>
              </w:rPr>
              <w:t>Interna</w:t>
            </w:r>
          </w:p>
        </w:tc>
        <w:tc>
          <w:tcPr>
            <w:tcW w:w="560" w:type="pct"/>
          </w:tcPr>
          <w:p w:rsidR="00EF7ABC" w:rsidRPr="00795F84" w:rsidRDefault="00EF7ABC" w:rsidP="005C5ABC">
            <w:pPr>
              <w:jc w:val="center"/>
              <w:rPr>
                <w:sz w:val="20"/>
                <w:szCs w:val="20"/>
              </w:rPr>
            </w:pPr>
            <w:r w:rsidRPr="00795F84">
              <w:rPr>
                <w:sz w:val="20"/>
                <w:szCs w:val="20"/>
              </w:rPr>
              <w:t>Externa</w:t>
            </w:r>
          </w:p>
        </w:tc>
        <w:tc>
          <w:tcPr>
            <w:tcW w:w="682" w:type="pct"/>
          </w:tcPr>
          <w:p w:rsidR="00EF7ABC" w:rsidRPr="00795F84" w:rsidRDefault="00EF7ABC" w:rsidP="005C5ABC">
            <w:pPr>
              <w:jc w:val="center"/>
              <w:rPr>
                <w:sz w:val="20"/>
                <w:szCs w:val="20"/>
              </w:rPr>
            </w:pPr>
            <w:r w:rsidRPr="00795F84">
              <w:rPr>
                <w:sz w:val="20"/>
                <w:szCs w:val="20"/>
              </w:rPr>
              <w:t>Interna</w:t>
            </w:r>
          </w:p>
        </w:tc>
        <w:tc>
          <w:tcPr>
            <w:tcW w:w="559" w:type="pct"/>
          </w:tcPr>
          <w:p w:rsidR="00EF7ABC" w:rsidRPr="00795F84" w:rsidRDefault="00EF7ABC" w:rsidP="005C5ABC">
            <w:pPr>
              <w:jc w:val="center"/>
              <w:rPr>
                <w:sz w:val="20"/>
                <w:szCs w:val="20"/>
              </w:rPr>
            </w:pPr>
            <w:r w:rsidRPr="00795F84">
              <w:rPr>
                <w:sz w:val="20"/>
                <w:szCs w:val="20"/>
              </w:rPr>
              <w:t>Externa</w:t>
            </w:r>
          </w:p>
        </w:tc>
        <w:tc>
          <w:tcPr>
            <w:tcW w:w="707" w:type="pct"/>
          </w:tcPr>
          <w:p w:rsidR="00EF7ABC" w:rsidRPr="00795F84" w:rsidRDefault="00EF7ABC" w:rsidP="005C5ABC">
            <w:pPr>
              <w:jc w:val="center"/>
              <w:rPr>
                <w:sz w:val="20"/>
                <w:szCs w:val="20"/>
              </w:rPr>
            </w:pPr>
            <w:r w:rsidRPr="00795F84">
              <w:rPr>
                <w:sz w:val="20"/>
                <w:szCs w:val="20"/>
              </w:rPr>
              <w:t>Externa</w:t>
            </w:r>
          </w:p>
        </w:tc>
        <w:tc>
          <w:tcPr>
            <w:tcW w:w="418" w:type="pct"/>
          </w:tcPr>
          <w:p w:rsidR="00EF7ABC" w:rsidRPr="00795F84" w:rsidRDefault="00EF7ABC" w:rsidP="005C5ABC">
            <w:pPr>
              <w:jc w:val="center"/>
              <w:rPr>
                <w:sz w:val="20"/>
                <w:szCs w:val="20"/>
              </w:rPr>
            </w:pPr>
            <w:r w:rsidRPr="00795F84">
              <w:rPr>
                <w:sz w:val="20"/>
                <w:szCs w:val="20"/>
              </w:rPr>
              <w:t>Externa</w:t>
            </w:r>
          </w:p>
        </w:tc>
        <w:tc>
          <w:tcPr>
            <w:tcW w:w="340" w:type="pct"/>
          </w:tcPr>
          <w:p w:rsidR="00EF7ABC" w:rsidRPr="00795F84" w:rsidRDefault="00EF7ABC" w:rsidP="005C5ABC">
            <w:pPr>
              <w:jc w:val="center"/>
              <w:rPr>
                <w:sz w:val="20"/>
                <w:szCs w:val="20"/>
              </w:rPr>
            </w:pPr>
            <w:r w:rsidRPr="00795F84">
              <w:rPr>
                <w:sz w:val="20"/>
                <w:szCs w:val="20"/>
              </w:rPr>
              <w:t>Externa</w:t>
            </w:r>
          </w:p>
        </w:tc>
      </w:tr>
      <w:tr w:rsidR="00EF7ABC" w:rsidRPr="00481187" w:rsidTr="005C5ABC">
        <w:trPr>
          <w:jc w:val="center"/>
        </w:trPr>
        <w:tc>
          <w:tcPr>
            <w:tcW w:w="706" w:type="pct"/>
            <w:gridSpan w:val="2"/>
            <w:tcBorders>
              <w:top w:val="single" w:sz="6" w:space="0" w:color="000000"/>
              <w:bottom w:val="single" w:sz="6" w:space="0" w:color="000000"/>
              <w:tl2br w:val="nil"/>
            </w:tcBorders>
          </w:tcPr>
          <w:p w:rsidR="00EF7ABC" w:rsidRPr="00F97345" w:rsidRDefault="00EF7ABC" w:rsidP="005C5ABC">
            <w:pPr>
              <w:jc w:val="both"/>
              <w:rPr>
                <w:rFonts w:ascii="Georgia" w:hAnsi="Georgia"/>
                <w:sz w:val="18"/>
                <w:szCs w:val="18"/>
              </w:rPr>
            </w:pPr>
            <w:r w:rsidRPr="00F97345">
              <w:rPr>
                <w:rFonts w:ascii="Georgia" w:hAnsi="Georgia"/>
                <w:sz w:val="18"/>
                <w:szCs w:val="18"/>
              </w:rPr>
              <w:t>Principal característica do conhecimento envolvido</w:t>
            </w:r>
          </w:p>
        </w:tc>
        <w:tc>
          <w:tcPr>
            <w:tcW w:w="559" w:type="pct"/>
          </w:tcPr>
          <w:p w:rsidR="00EF7ABC" w:rsidRPr="00795F84" w:rsidRDefault="00EF7ABC" w:rsidP="005C5ABC">
            <w:pPr>
              <w:jc w:val="center"/>
              <w:rPr>
                <w:sz w:val="20"/>
                <w:szCs w:val="20"/>
              </w:rPr>
            </w:pPr>
            <w:r w:rsidRPr="00795F84">
              <w:rPr>
                <w:sz w:val="20"/>
                <w:szCs w:val="20"/>
              </w:rPr>
              <w:t>Codificado</w:t>
            </w:r>
          </w:p>
        </w:tc>
        <w:tc>
          <w:tcPr>
            <w:tcW w:w="468" w:type="pct"/>
          </w:tcPr>
          <w:p w:rsidR="00EF7ABC" w:rsidRPr="00795F84" w:rsidRDefault="00EF7ABC" w:rsidP="005C5ABC">
            <w:pPr>
              <w:jc w:val="center"/>
              <w:rPr>
                <w:sz w:val="20"/>
                <w:szCs w:val="20"/>
              </w:rPr>
            </w:pPr>
            <w:r w:rsidRPr="00795F84">
              <w:rPr>
                <w:sz w:val="20"/>
                <w:szCs w:val="20"/>
              </w:rPr>
              <w:t xml:space="preserve">Tácito </w:t>
            </w:r>
          </w:p>
        </w:tc>
        <w:tc>
          <w:tcPr>
            <w:tcW w:w="560" w:type="pct"/>
          </w:tcPr>
          <w:p w:rsidR="00EF7ABC" w:rsidRPr="00795F84" w:rsidRDefault="00EF7ABC" w:rsidP="005C5ABC">
            <w:pPr>
              <w:jc w:val="center"/>
              <w:rPr>
                <w:sz w:val="20"/>
                <w:szCs w:val="20"/>
              </w:rPr>
            </w:pPr>
            <w:r w:rsidRPr="00795F84">
              <w:rPr>
                <w:sz w:val="20"/>
                <w:szCs w:val="20"/>
              </w:rPr>
              <w:t>Codificado</w:t>
            </w:r>
          </w:p>
        </w:tc>
        <w:tc>
          <w:tcPr>
            <w:tcW w:w="682" w:type="pct"/>
          </w:tcPr>
          <w:p w:rsidR="00EF7ABC" w:rsidRPr="00795F84" w:rsidRDefault="00EF7ABC" w:rsidP="005C5ABC">
            <w:pPr>
              <w:jc w:val="center"/>
              <w:rPr>
                <w:sz w:val="20"/>
                <w:szCs w:val="20"/>
              </w:rPr>
            </w:pPr>
            <w:r w:rsidRPr="00795F84">
              <w:rPr>
                <w:sz w:val="20"/>
                <w:szCs w:val="20"/>
              </w:rPr>
              <w:t>Tácito</w:t>
            </w:r>
          </w:p>
        </w:tc>
        <w:tc>
          <w:tcPr>
            <w:tcW w:w="559" w:type="pct"/>
          </w:tcPr>
          <w:p w:rsidR="00EF7ABC" w:rsidRPr="00795F84" w:rsidRDefault="00EF7ABC" w:rsidP="005C5ABC">
            <w:pPr>
              <w:jc w:val="center"/>
              <w:rPr>
                <w:sz w:val="20"/>
                <w:szCs w:val="20"/>
              </w:rPr>
            </w:pPr>
            <w:r w:rsidRPr="00795F84">
              <w:rPr>
                <w:sz w:val="20"/>
                <w:szCs w:val="20"/>
              </w:rPr>
              <w:t>Codificado e Tácito</w:t>
            </w:r>
          </w:p>
        </w:tc>
        <w:tc>
          <w:tcPr>
            <w:tcW w:w="707" w:type="pct"/>
          </w:tcPr>
          <w:p w:rsidR="00EF7ABC" w:rsidRPr="00795F84" w:rsidRDefault="00EF7ABC" w:rsidP="005C5ABC">
            <w:pPr>
              <w:jc w:val="center"/>
              <w:rPr>
                <w:sz w:val="20"/>
                <w:szCs w:val="20"/>
              </w:rPr>
            </w:pPr>
            <w:r w:rsidRPr="00795F84">
              <w:rPr>
                <w:sz w:val="20"/>
                <w:szCs w:val="20"/>
              </w:rPr>
              <w:t>Tácito</w:t>
            </w:r>
          </w:p>
        </w:tc>
        <w:tc>
          <w:tcPr>
            <w:tcW w:w="418" w:type="pct"/>
          </w:tcPr>
          <w:p w:rsidR="00EF7ABC" w:rsidRPr="00795F84" w:rsidRDefault="00EF7ABC" w:rsidP="005C5ABC">
            <w:pPr>
              <w:jc w:val="center"/>
              <w:rPr>
                <w:sz w:val="20"/>
                <w:szCs w:val="20"/>
              </w:rPr>
            </w:pPr>
            <w:r w:rsidRPr="00795F84">
              <w:rPr>
                <w:sz w:val="20"/>
                <w:szCs w:val="20"/>
              </w:rPr>
              <w:t>Tácito</w:t>
            </w:r>
          </w:p>
        </w:tc>
        <w:tc>
          <w:tcPr>
            <w:tcW w:w="340" w:type="pct"/>
          </w:tcPr>
          <w:p w:rsidR="00EF7ABC" w:rsidRPr="00795F84" w:rsidRDefault="00EF7ABC" w:rsidP="005C5ABC">
            <w:pPr>
              <w:jc w:val="center"/>
              <w:rPr>
                <w:sz w:val="20"/>
                <w:szCs w:val="20"/>
              </w:rPr>
            </w:pPr>
            <w:r w:rsidRPr="00795F84">
              <w:rPr>
                <w:sz w:val="20"/>
                <w:szCs w:val="20"/>
              </w:rPr>
              <w:t>Tácito</w:t>
            </w:r>
          </w:p>
        </w:tc>
      </w:tr>
      <w:tr w:rsidR="00EF7ABC" w:rsidRPr="00481187" w:rsidTr="005C5ABC">
        <w:trPr>
          <w:jc w:val="center"/>
        </w:trPr>
        <w:tc>
          <w:tcPr>
            <w:tcW w:w="276" w:type="pct"/>
            <w:vMerge w:val="restart"/>
            <w:tcBorders>
              <w:top w:val="single" w:sz="6" w:space="0" w:color="000000"/>
            </w:tcBorders>
            <w:textDirection w:val="btLr"/>
          </w:tcPr>
          <w:p w:rsidR="00EF7ABC" w:rsidRPr="00F97345" w:rsidRDefault="00EF7ABC" w:rsidP="005C5ABC">
            <w:pPr>
              <w:ind w:left="113" w:right="113"/>
              <w:jc w:val="center"/>
              <w:rPr>
                <w:sz w:val="18"/>
                <w:szCs w:val="18"/>
              </w:rPr>
            </w:pPr>
            <w:r w:rsidRPr="00F97345">
              <w:rPr>
                <w:sz w:val="18"/>
                <w:szCs w:val="18"/>
              </w:rPr>
              <w:t>Variáveis utilizadas da PINTEC</w:t>
            </w:r>
          </w:p>
        </w:tc>
        <w:tc>
          <w:tcPr>
            <w:tcW w:w="430" w:type="pct"/>
            <w:vMerge w:val="restart"/>
            <w:tcBorders>
              <w:top w:val="single" w:sz="6" w:space="0" w:color="000000"/>
            </w:tcBorders>
            <w:textDirection w:val="btLr"/>
          </w:tcPr>
          <w:p w:rsidR="00EF7ABC" w:rsidRPr="00F97345" w:rsidRDefault="00EF7ABC" w:rsidP="005C5ABC">
            <w:pPr>
              <w:ind w:left="113" w:right="113"/>
              <w:jc w:val="center"/>
              <w:rPr>
                <w:sz w:val="18"/>
                <w:szCs w:val="18"/>
              </w:rPr>
            </w:pPr>
            <w:r w:rsidRPr="00F97345">
              <w:rPr>
                <w:sz w:val="18"/>
                <w:szCs w:val="18"/>
              </w:rPr>
              <w:t>FONTES</w:t>
            </w:r>
          </w:p>
        </w:tc>
        <w:tc>
          <w:tcPr>
            <w:tcW w:w="559" w:type="pct"/>
            <w:vAlign w:val="center"/>
          </w:tcPr>
          <w:p w:rsidR="00EF7ABC" w:rsidRPr="00795F84" w:rsidRDefault="00EF7ABC" w:rsidP="005C5ABC">
            <w:pPr>
              <w:jc w:val="center"/>
              <w:rPr>
                <w:sz w:val="14"/>
                <w:szCs w:val="14"/>
              </w:rPr>
            </w:pPr>
            <w:r w:rsidRPr="00795F84">
              <w:rPr>
                <w:sz w:val="14"/>
                <w:szCs w:val="14"/>
              </w:rPr>
              <w:t>Internas de P&amp;D</w:t>
            </w:r>
          </w:p>
        </w:tc>
        <w:tc>
          <w:tcPr>
            <w:tcW w:w="468" w:type="pct"/>
            <w:vAlign w:val="center"/>
          </w:tcPr>
          <w:p w:rsidR="00EF7ABC" w:rsidRPr="00795F84" w:rsidRDefault="00EF7ABC" w:rsidP="005C5ABC">
            <w:pPr>
              <w:jc w:val="center"/>
              <w:rPr>
                <w:sz w:val="14"/>
                <w:szCs w:val="14"/>
              </w:rPr>
            </w:pPr>
            <w:r w:rsidRPr="00795F84">
              <w:rPr>
                <w:sz w:val="14"/>
                <w:szCs w:val="14"/>
              </w:rPr>
              <w:t>Outras fontes internas</w:t>
            </w:r>
          </w:p>
        </w:tc>
        <w:tc>
          <w:tcPr>
            <w:tcW w:w="560" w:type="pct"/>
            <w:vAlign w:val="center"/>
          </w:tcPr>
          <w:p w:rsidR="00EF7ABC" w:rsidRPr="00795F84" w:rsidRDefault="00EF7ABC" w:rsidP="005C5ABC">
            <w:pPr>
              <w:jc w:val="center"/>
              <w:rPr>
                <w:sz w:val="14"/>
                <w:szCs w:val="14"/>
              </w:rPr>
            </w:pPr>
            <w:r>
              <w:rPr>
                <w:sz w:val="14"/>
                <w:szCs w:val="14"/>
              </w:rPr>
              <w:t xml:space="preserve">Universidades </w:t>
            </w:r>
          </w:p>
        </w:tc>
        <w:tc>
          <w:tcPr>
            <w:tcW w:w="682" w:type="pct"/>
            <w:vAlign w:val="center"/>
          </w:tcPr>
          <w:p w:rsidR="00EF7ABC" w:rsidRPr="00795F84" w:rsidRDefault="00EF7ABC" w:rsidP="005C5ABC">
            <w:pPr>
              <w:jc w:val="center"/>
              <w:rPr>
                <w:sz w:val="14"/>
                <w:szCs w:val="14"/>
              </w:rPr>
            </w:pPr>
            <w:r w:rsidRPr="00795F84">
              <w:rPr>
                <w:sz w:val="14"/>
                <w:szCs w:val="14"/>
              </w:rPr>
              <w:t>Centros de capacitação</w:t>
            </w:r>
          </w:p>
        </w:tc>
        <w:tc>
          <w:tcPr>
            <w:tcW w:w="559" w:type="pct"/>
            <w:vAlign w:val="center"/>
          </w:tcPr>
          <w:p w:rsidR="00EF7ABC" w:rsidRPr="00795F84" w:rsidRDefault="00EF7ABC" w:rsidP="005C5ABC">
            <w:pPr>
              <w:jc w:val="center"/>
              <w:rPr>
                <w:sz w:val="14"/>
                <w:szCs w:val="14"/>
              </w:rPr>
            </w:pPr>
            <w:r>
              <w:rPr>
                <w:sz w:val="14"/>
                <w:szCs w:val="14"/>
              </w:rPr>
              <w:t>Concorrentes</w:t>
            </w:r>
          </w:p>
        </w:tc>
        <w:tc>
          <w:tcPr>
            <w:tcW w:w="707" w:type="pct"/>
            <w:vAlign w:val="center"/>
          </w:tcPr>
          <w:p w:rsidR="00EF7ABC" w:rsidRPr="00795F84" w:rsidRDefault="00EF7ABC" w:rsidP="005C5ABC">
            <w:pPr>
              <w:jc w:val="center"/>
              <w:rPr>
                <w:sz w:val="14"/>
                <w:szCs w:val="14"/>
              </w:rPr>
            </w:pPr>
            <w:r>
              <w:rPr>
                <w:sz w:val="14"/>
                <w:szCs w:val="14"/>
              </w:rPr>
              <w:t>Fornecedores</w:t>
            </w:r>
          </w:p>
        </w:tc>
        <w:tc>
          <w:tcPr>
            <w:tcW w:w="418" w:type="pct"/>
            <w:vAlign w:val="center"/>
          </w:tcPr>
          <w:p w:rsidR="00EF7ABC" w:rsidRPr="00795F84" w:rsidRDefault="00EF7ABC" w:rsidP="005C5ABC">
            <w:pPr>
              <w:jc w:val="center"/>
              <w:rPr>
                <w:sz w:val="14"/>
                <w:szCs w:val="14"/>
              </w:rPr>
            </w:pPr>
            <w:r w:rsidRPr="00795F84">
              <w:rPr>
                <w:sz w:val="14"/>
                <w:szCs w:val="14"/>
              </w:rPr>
              <w:t>Clientes</w:t>
            </w:r>
          </w:p>
        </w:tc>
        <w:tc>
          <w:tcPr>
            <w:tcW w:w="340" w:type="pct"/>
            <w:vAlign w:val="center"/>
          </w:tcPr>
          <w:p w:rsidR="00EF7ABC" w:rsidRPr="00795F84" w:rsidRDefault="00EF7ABC" w:rsidP="005C5ABC">
            <w:pPr>
              <w:jc w:val="center"/>
              <w:rPr>
                <w:sz w:val="14"/>
                <w:szCs w:val="14"/>
              </w:rPr>
            </w:pPr>
            <w:r w:rsidRPr="00795F84">
              <w:rPr>
                <w:sz w:val="14"/>
                <w:szCs w:val="14"/>
              </w:rPr>
              <w:t>Conferências Encontros e publicações</w:t>
            </w:r>
          </w:p>
        </w:tc>
      </w:tr>
      <w:tr w:rsidR="00EF7ABC" w:rsidRPr="00481187" w:rsidTr="005C5ABC">
        <w:trPr>
          <w:jc w:val="center"/>
        </w:trPr>
        <w:tc>
          <w:tcPr>
            <w:tcW w:w="276" w:type="pct"/>
            <w:vMerge/>
          </w:tcPr>
          <w:p w:rsidR="00EF7ABC" w:rsidRPr="00F97345" w:rsidRDefault="00EF7ABC" w:rsidP="005C5ABC">
            <w:pPr>
              <w:jc w:val="both"/>
              <w:rPr>
                <w:sz w:val="18"/>
                <w:szCs w:val="18"/>
              </w:rPr>
            </w:pPr>
          </w:p>
        </w:tc>
        <w:tc>
          <w:tcPr>
            <w:tcW w:w="430" w:type="pct"/>
            <w:vMerge/>
          </w:tcPr>
          <w:p w:rsidR="00EF7ABC" w:rsidRPr="00F97345" w:rsidRDefault="00EF7ABC" w:rsidP="005C5ABC">
            <w:pPr>
              <w:jc w:val="both"/>
              <w:rPr>
                <w:sz w:val="18"/>
                <w:szCs w:val="18"/>
              </w:rPr>
            </w:pPr>
          </w:p>
        </w:tc>
        <w:tc>
          <w:tcPr>
            <w:tcW w:w="559" w:type="pct"/>
            <w:vAlign w:val="center"/>
          </w:tcPr>
          <w:p w:rsidR="00EF7ABC" w:rsidRPr="00795F84" w:rsidRDefault="00EF7ABC" w:rsidP="005C5ABC">
            <w:pPr>
              <w:jc w:val="center"/>
              <w:rPr>
                <w:sz w:val="14"/>
                <w:szCs w:val="14"/>
              </w:rPr>
            </w:pPr>
            <w:r w:rsidRPr="00795F84">
              <w:rPr>
                <w:sz w:val="14"/>
                <w:szCs w:val="14"/>
              </w:rPr>
              <w:t>-</w:t>
            </w:r>
          </w:p>
        </w:tc>
        <w:tc>
          <w:tcPr>
            <w:tcW w:w="468" w:type="pct"/>
            <w:vAlign w:val="center"/>
          </w:tcPr>
          <w:p w:rsidR="00EF7ABC" w:rsidRPr="00795F84" w:rsidRDefault="00EF7ABC" w:rsidP="005C5ABC">
            <w:pPr>
              <w:jc w:val="center"/>
              <w:rPr>
                <w:sz w:val="14"/>
                <w:szCs w:val="14"/>
              </w:rPr>
            </w:pPr>
            <w:r w:rsidRPr="00795F84">
              <w:rPr>
                <w:sz w:val="14"/>
                <w:szCs w:val="14"/>
              </w:rPr>
              <w:t>-</w:t>
            </w:r>
          </w:p>
        </w:tc>
        <w:tc>
          <w:tcPr>
            <w:tcW w:w="560" w:type="pct"/>
            <w:vAlign w:val="center"/>
          </w:tcPr>
          <w:p w:rsidR="00EF7ABC" w:rsidRPr="00795F84" w:rsidRDefault="00EF7ABC" w:rsidP="005C5ABC">
            <w:pPr>
              <w:jc w:val="center"/>
              <w:rPr>
                <w:sz w:val="14"/>
                <w:szCs w:val="14"/>
              </w:rPr>
            </w:pPr>
            <w:r>
              <w:rPr>
                <w:sz w:val="14"/>
                <w:szCs w:val="14"/>
              </w:rPr>
              <w:t>Institutos de Pesquisa ou centros tecnológicos</w:t>
            </w:r>
          </w:p>
        </w:tc>
        <w:tc>
          <w:tcPr>
            <w:tcW w:w="682" w:type="pct"/>
            <w:vAlign w:val="center"/>
          </w:tcPr>
          <w:p w:rsidR="00EF7ABC" w:rsidRPr="00795F84" w:rsidRDefault="00EF7ABC" w:rsidP="005C5ABC">
            <w:pPr>
              <w:jc w:val="center"/>
              <w:rPr>
                <w:sz w:val="14"/>
                <w:szCs w:val="14"/>
              </w:rPr>
            </w:pPr>
            <w:r w:rsidRPr="00795F84">
              <w:rPr>
                <w:sz w:val="14"/>
                <w:szCs w:val="14"/>
              </w:rPr>
              <w:t>-</w:t>
            </w:r>
          </w:p>
        </w:tc>
        <w:tc>
          <w:tcPr>
            <w:tcW w:w="559" w:type="pct"/>
            <w:vAlign w:val="center"/>
          </w:tcPr>
          <w:p w:rsidR="00EF7ABC" w:rsidRPr="00795F84" w:rsidRDefault="00EF7ABC" w:rsidP="005C5ABC">
            <w:pPr>
              <w:jc w:val="center"/>
              <w:rPr>
                <w:sz w:val="14"/>
                <w:szCs w:val="14"/>
              </w:rPr>
            </w:pPr>
            <w:r>
              <w:rPr>
                <w:sz w:val="14"/>
                <w:szCs w:val="14"/>
              </w:rPr>
              <w:t>Licenças, Patentes e know-How</w:t>
            </w:r>
          </w:p>
        </w:tc>
        <w:tc>
          <w:tcPr>
            <w:tcW w:w="707" w:type="pct"/>
            <w:vAlign w:val="center"/>
          </w:tcPr>
          <w:p w:rsidR="00EF7ABC" w:rsidRPr="00795F84" w:rsidRDefault="00EF7ABC" w:rsidP="005C5ABC">
            <w:pPr>
              <w:jc w:val="center"/>
              <w:rPr>
                <w:sz w:val="14"/>
                <w:szCs w:val="14"/>
              </w:rPr>
            </w:pPr>
            <w:r>
              <w:rPr>
                <w:sz w:val="14"/>
                <w:szCs w:val="14"/>
              </w:rPr>
              <w:t>-</w:t>
            </w:r>
          </w:p>
        </w:tc>
        <w:tc>
          <w:tcPr>
            <w:tcW w:w="418" w:type="pct"/>
            <w:vAlign w:val="center"/>
          </w:tcPr>
          <w:p w:rsidR="00EF7ABC" w:rsidRPr="00795F84" w:rsidRDefault="00EF7ABC" w:rsidP="005C5ABC">
            <w:pPr>
              <w:jc w:val="center"/>
              <w:rPr>
                <w:sz w:val="14"/>
                <w:szCs w:val="14"/>
              </w:rPr>
            </w:pPr>
            <w:r w:rsidRPr="00795F84">
              <w:rPr>
                <w:sz w:val="14"/>
                <w:szCs w:val="14"/>
              </w:rPr>
              <w:t>-</w:t>
            </w:r>
          </w:p>
        </w:tc>
        <w:tc>
          <w:tcPr>
            <w:tcW w:w="340" w:type="pct"/>
            <w:vAlign w:val="center"/>
          </w:tcPr>
          <w:p w:rsidR="00EF7ABC" w:rsidRPr="00795F84" w:rsidRDefault="00EF7ABC" w:rsidP="005C5ABC">
            <w:pPr>
              <w:jc w:val="center"/>
              <w:rPr>
                <w:sz w:val="14"/>
                <w:szCs w:val="14"/>
              </w:rPr>
            </w:pPr>
            <w:r w:rsidRPr="00795F84">
              <w:rPr>
                <w:sz w:val="14"/>
                <w:szCs w:val="14"/>
              </w:rPr>
              <w:t>Feiras e exposições</w:t>
            </w:r>
          </w:p>
        </w:tc>
      </w:tr>
      <w:tr w:rsidR="00EF7ABC" w:rsidRPr="00481187" w:rsidTr="005C5ABC">
        <w:trPr>
          <w:jc w:val="center"/>
        </w:trPr>
        <w:tc>
          <w:tcPr>
            <w:tcW w:w="276" w:type="pct"/>
            <w:vMerge/>
          </w:tcPr>
          <w:p w:rsidR="00EF7ABC" w:rsidRPr="00F97345" w:rsidRDefault="00EF7ABC" w:rsidP="005C5ABC">
            <w:pPr>
              <w:jc w:val="both"/>
              <w:rPr>
                <w:sz w:val="18"/>
                <w:szCs w:val="18"/>
              </w:rPr>
            </w:pPr>
          </w:p>
        </w:tc>
        <w:tc>
          <w:tcPr>
            <w:tcW w:w="430" w:type="pct"/>
            <w:vMerge/>
          </w:tcPr>
          <w:p w:rsidR="00EF7ABC" w:rsidRPr="00F97345" w:rsidRDefault="00EF7ABC" w:rsidP="005C5ABC">
            <w:pPr>
              <w:jc w:val="both"/>
              <w:rPr>
                <w:sz w:val="18"/>
                <w:szCs w:val="18"/>
              </w:rPr>
            </w:pPr>
          </w:p>
        </w:tc>
        <w:tc>
          <w:tcPr>
            <w:tcW w:w="559" w:type="pct"/>
            <w:vAlign w:val="center"/>
          </w:tcPr>
          <w:p w:rsidR="00EF7ABC" w:rsidRPr="00795F84" w:rsidRDefault="00EF7ABC" w:rsidP="005C5ABC">
            <w:pPr>
              <w:jc w:val="center"/>
              <w:rPr>
                <w:sz w:val="14"/>
                <w:szCs w:val="14"/>
              </w:rPr>
            </w:pPr>
            <w:r w:rsidRPr="00795F84">
              <w:rPr>
                <w:sz w:val="14"/>
                <w:szCs w:val="14"/>
              </w:rPr>
              <w:t>-</w:t>
            </w:r>
          </w:p>
        </w:tc>
        <w:tc>
          <w:tcPr>
            <w:tcW w:w="468" w:type="pct"/>
            <w:vAlign w:val="center"/>
          </w:tcPr>
          <w:p w:rsidR="00EF7ABC" w:rsidRPr="00795F84" w:rsidRDefault="00EF7ABC" w:rsidP="005C5ABC">
            <w:pPr>
              <w:jc w:val="center"/>
              <w:rPr>
                <w:sz w:val="14"/>
                <w:szCs w:val="14"/>
              </w:rPr>
            </w:pPr>
            <w:r w:rsidRPr="00795F84">
              <w:rPr>
                <w:sz w:val="14"/>
                <w:szCs w:val="14"/>
              </w:rPr>
              <w:t>-</w:t>
            </w:r>
          </w:p>
        </w:tc>
        <w:tc>
          <w:tcPr>
            <w:tcW w:w="560" w:type="pct"/>
            <w:vAlign w:val="center"/>
          </w:tcPr>
          <w:p w:rsidR="00EF7ABC" w:rsidRPr="00795F84" w:rsidRDefault="00EF7ABC" w:rsidP="005C5ABC">
            <w:pPr>
              <w:jc w:val="center"/>
              <w:rPr>
                <w:sz w:val="14"/>
                <w:szCs w:val="14"/>
              </w:rPr>
            </w:pPr>
            <w:r w:rsidRPr="00795F84">
              <w:rPr>
                <w:sz w:val="14"/>
                <w:szCs w:val="14"/>
              </w:rPr>
              <w:t>-</w:t>
            </w:r>
          </w:p>
        </w:tc>
        <w:tc>
          <w:tcPr>
            <w:tcW w:w="682" w:type="pct"/>
            <w:vAlign w:val="center"/>
          </w:tcPr>
          <w:p w:rsidR="00EF7ABC" w:rsidRPr="00795F84" w:rsidRDefault="00EF7ABC" w:rsidP="005C5ABC">
            <w:pPr>
              <w:jc w:val="center"/>
              <w:rPr>
                <w:sz w:val="14"/>
                <w:szCs w:val="14"/>
              </w:rPr>
            </w:pPr>
            <w:r w:rsidRPr="00795F84">
              <w:rPr>
                <w:sz w:val="14"/>
                <w:szCs w:val="14"/>
              </w:rPr>
              <w:t>-</w:t>
            </w:r>
          </w:p>
        </w:tc>
        <w:tc>
          <w:tcPr>
            <w:tcW w:w="559" w:type="pct"/>
            <w:vAlign w:val="center"/>
          </w:tcPr>
          <w:p w:rsidR="00EF7ABC" w:rsidRPr="00795F84" w:rsidRDefault="00EF7ABC" w:rsidP="005C5ABC">
            <w:pPr>
              <w:jc w:val="center"/>
              <w:rPr>
                <w:sz w:val="14"/>
                <w:szCs w:val="14"/>
              </w:rPr>
            </w:pPr>
            <w:r>
              <w:rPr>
                <w:sz w:val="14"/>
                <w:szCs w:val="14"/>
              </w:rPr>
              <w:t>-</w:t>
            </w:r>
          </w:p>
        </w:tc>
        <w:tc>
          <w:tcPr>
            <w:tcW w:w="707" w:type="pct"/>
            <w:vAlign w:val="center"/>
          </w:tcPr>
          <w:p w:rsidR="00EF7ABC" w:rsidRPr="00795F84" w:rsidRDefault="00EF7ABC" w:rsidP="005C5ABC">
            <w:pPr>
              <w:jc w:val="center"/>
              <w:rPr>
                <w:sz w:val="14"/>
                <w:szCs w:val="14"/>
              </w:rPr>
            </w:pPr>
            <w:r>
              <w:rPr>
                <w:sz w:val="14"/>
                <w:szCs w:val="14"/>
              </w:rPr>
              <w:t>-</w:t>
            </w:r>
          </w:p>
        </w:tc>
        <w:tc>
          <w:tcPr>
            <w:tcW w:w="418" w:type="pct"/>
            <w:vAlign w:val="center"/>
          </w:tcPr>
          <w:p w:rsidR="00EF7ABC" w:rsidRPr="00795F84" w:rsidRDefault="00EF7ABC" w:rsidP="005C5ABC">
            <w:pPr>
              <w:jc w:val="center"/>
              <w:rPr>
                <w:sz w:val="14"/>
                <w:szCs w:val="14"/>
              </w:rPr>
            </w:pPr>
            <w:r w:rsidRPr="00795F84">
              <w:rPr>
                <w:sz w:val="14"/>
                <w:szCs w:val="14"/>
              </w:rPr>
              <w:t>-</w:t>
            </w:r>
          </w:p>
        </w:tc>
        <w:tc>
          <w:tcPr>
            <w:tcW w:w="340" w:type="pct"/>
            <w:vAlign w:val="center"/>
          </w:tcPr>
          <w:p w:rsidR="00EF7ABC" w:rsidRPr="00795F84" w:rsidRDefault="00EF7ABC" w:rsidP="005C5ABC">
            <w:pPr>
              <w:jc w:val="center"/>
              <w:rPr>
                <w:sz w:val="14"/>
                <w:szCs w:val="14"/>
              </w:rPr>
            </w:pPr>
            <w:r w:rsidRPr="00795F84">
              <w:rPr>
                <w:sz w:val="14"/>
                <w:szCs w:val="14"/>
              </w:rPr>
              <w:t>Empresas de consultoria</w:t>
            </w:r>
          </w:p>
        </w:tc>
      </w:tr>
      <w:tr w:rsidR="00EF7ABC" w:rsidRPr="00481187" w:rsidTr="005C5ABC">
        <w:trPr>
          <w:jc w:val="center"/>
        </w:trPr>
        <w:tc>
          <w:tcPr>
            <w:tcW w:w="276" w:type="pct"/>
            <w:vMerge/>
          </w:tcPr>
          <w:p w:rsidR="00EF7ABC" w:rsidRPr="00F97345" w:rsidRDefault="00EF7ABC" w:rsidP="005C5ABC">
            <w:pPr>
              <w:jc w:val="both"/>
              <w:rPr>
                <w:sz w:val="18"/>
                <w:szCs w:val="18"/>
              </w:rPr>
            </w:pPr>
          </w:p>
        </w:tc>
        <w:tc>
          <w:tcPr>
            <w:tcW w:w="430" w:type="pct"/>
            <w:vMerge/>
          </w:tcPr>
          <w:p w:rsidR="00EF7ABC" w:rsidRPr="00F97345" w:rsidRDefault="00EF7ABC" w:rsidP="005C5ABC">
            <w:pPr>
              <w:jc w:val="both"/>
              <w:rPr>
                <w:sz w:val="18"/>
                <w:szCs w:val="18"/>
              </w:rPr>
            </w:pPr>
          </w:p>
        </w:tc>
        <w:tc>
          <w:tcPr>
            <w:tcW w:w="559" w:type="pct"/>
            <w:vAlign w:val="center"/>
          </w:tcPr>
          <w:p w:rsidR="00EF7ABC" w:rsidRPr="00795F84" w:rsidRDefault="00EF7ABC" w:rsidP="005C5ABC">
            <w:pPr>
              <w:jc w:val="center"/>
              <w:rPr>
                <w:sz w:val="14"/>
                <w:szCs w:val="14"/>
              </w:rPr>
            </w:pPr>
            <w:r w:rsidRPr="00795F84">
              <w:rPr>
                <w:sz w:val="14"/>
                <w:szCs w:val="14"/>
              </w:rPr>
              <w:t>-</w:t>
            </w:r>
          </w:p>
        </w:tc>
        <w:tc>
          <w:tcPr>
            <w:tcW w:w="468" w:type="pct"/>
            <w:vAlign w:val="center"/>
          </w:tcPr>
          <w:p w:rsidR="00EF7ABC" w:rsidRPr="00795F84" w:rsidRDefault="00EF7ABC" w:rsidP="005C5ABC">
            <w:pPr>
              <w:jc w:val="center"/>
              <w:rPr>
                <w:sz w:val="14"/>
                <w:szCs w:val="14"/>
              </w:rPr>
            </w:pPr>
            <w:r w:rsidRPr="00795F84">
              <w:rPr>
                <w:sz w:val="14"/>
                <w:szCs w:val="14"/>
              </w:rPr>
              <w:t>-</w:t>
            </w:r>
          </w:p>
        </w:tc>
        <w:tc>
          <w:tcPr>
            <w:tcW w:w="560" w:type="pct"/>
            <w:vAlign w:val="center"/>
          </w:tcPr>
          <w:p w:rsidR="00EF7ABC" w:rsidRPr="00795F84" w:rsidRDefault="00EF7ABC" w:rsidP="005C5ABC">
            <w:pPr>
              <w:jc w:val="center"/>
              <w:rPr>
                <w:sz w:val="14"/>
                <w:szCs w:val="14"/>
              </w:rPr>
            </w:pPr>
            <w:r w:rsidRPr="00795F84">
              <w:rPr>
                <w:sz w:val="14"/>
                <w:szCs w:val="14"/>
              </w:rPr>
              <w:t>-</w:t>
            </w:r>
          </w:p>
        </w:tc>
        <w:tc>
          <w:tcPr>
            <w:tcW w:w="682" w:type="pct"/>
            <w:vAlign w:val="center"/>
          </w:tcPr>
          <w:p w:rsidR="00EF7ABC" w:rsidRPr="00795F84" w:rsidRDefault="00EF7ABC" w:rsidP="005C5ABC">
            <w:pPr>
              <w:jc w:val="center"/>
              <w:rPr>
                <w:sz w:val="14"/>
                <w:szCs w:val="14"/>
              </w:rPr>
            </w:pPr>
            <w:r w:rsidRPr="00795F84">
              <w:rPr>
                <w:sz w:val="14"/>
                <w:szCs w:val="14"/>
              </w:rPr>
              <w:t>-</w:t>
            </w:r>
          </w:p>
        </w:tc>
        <w:tc>
          <w:tcPr>
            <w:tcW w:w="559" w:type="pct"/>
            <w:vAlign w:val="center"/>
          </w:tcPr>
          <w:p w:rsidR="00EF7ABC" w:rsidRPr="00795F84" w:rsidRDefault="00EF7ABC" w:rsidP="005C5ABC">
            <w:pPr>
              <w:jc w:val="center"/>
              <w:rPr>
                <w:sz w:val="14"/>
                <w:szCs w:val="14"/>
              </w:rPr>
            </w:pPr>
            <w:r>
              <w:rPr>
                <w:sz w:val="14"/>
                <w:szCs w:val="14"/>
              </w:rPr>
              <w:t>-</w:t>
            </w:r>
          </w:p>
        </w:tc>
        <w:tc>
          <w:tcPr>
            <w:tcW w:w="707" w:type="pct"/>
            <w:vAlign w:val="center"/>
          </w:tcPr>
          <w:p w:rsidR="00EF7ABC" w:rsidRPr="00795F84" w:rsidRDefault="00EF7ABC" w:rsidP="005C5ABC">
            <w:pPr>
              <w:jc w:val="center"/>
              <w:rPr>
                <w:sz w:val="14"/>
                <w:szCs w:val="14"/>
              </w:rPr>
            </w:pPr>
            <w:r>
              <w:rPr>
                <w:sz w:val="14"/>
                <w:szCs w:val="14"/>
              </w:rPr>
              <w:t>-</w:t>
            </w:r>
          </w:p>
        </w:tc>
        <w:tc>
          <w:tcPr>
            <w:tcW w:w="418" w:type="pct"/>
            <w:vAlign w:val="center"/>
          </w:tcPr>
          <w:p w:rsidR="00EF7ABC" w:rsidRPr="00795F84" w:rsidRDefault="00EF7ABC" w:rsidP="005C5ABC">
            <w:pPr>
              <w:jc w:val="center"/>
              <w:rPr>
                <w:sz w:val="14"/>
                <w:szCs w:val="14"/>
              </w:rPr>
            </w:pPr>
            <w:r w:rsidRPr="00795F84">
              <w:rPr>
                <w:sz w:val="14"/>
                <w:szCs w:val="14"/>
              </w:rPr>
              <w:t>-</w:t>
            </w:r>
          </w:p>
        </w:tc>
        <w:tc>
          <w:tcPr>
            <w:tcW w:w="340" w:type="pct"/>
            <w:vAlign w:val="center"/>
          </w:tcPr>
          <w:p w:rsidR="00EF7ABC" w:rsidRPr="00795F84" w:rsidRDefault="00EF7ABC" w:rsidP="005C5ABC">
            <w:pPr>
              <w:jc w:val="center"/>
              <w:rPr>
                <w:sz w:val="14"/>
                <w:szCs w:val="14"/>
              </w:rPr>
            </w:pPr>
            <w:r w:rsidRPr="00795F84">
              <w:rPr>
                <w:sz w:val="14"/>
                <w:szCs w:val="14"/>
              </w:rPr>
              <w:t>Competidores</w:t>
            </w:r>
          </w:p>
        </w:tc>
      </w:tr>
      <w:tr w:rsidR="00EF7ABC" w:rsidRPr="00481187" w:rsidTr="005C5ABC">
        <w:trPr>
          <w:cantSplit/>
          <w:trHeight w:val="1134"/>
          <w:jc w:val="center"/>
        </w:trPr>
        <w:tc>
          <w:tcPr>
            <w:tcW w:w="276" w:type="pct"/>
            <w:vMerge/>
          </w:tcPr>
          <w:p w:rsidR="00EF7ABC" w:rsidRPr="00F97345" w:rsidRDefault="00EF7ABC" w:rsidP="005C5ABC">
            <w:pPr>
              <w:jc w:val="both"/>
              <w:rPr>
                <w:sz w:val="18"/>
                <w:szCs w:val="18"/>
              </w:rPr>
            </w:pPr>
          </w:p>
        </w:tc>
        <w:tc>
          <w:tcPr>
            <w:tcW w:w="430" w:type="pct"/>
            <w:textDirection w:val="btLr"/>
          </w:tcPr>
          <w:p w:rsidR="00EF7ABC" w:rsidRPr="00F97345" w:rsidRDefault="00EF7ABC" w:rsidP="005C5ABC">
            <w:pPr>
              <w:ind w:left="113" w:right="113"/>
              <w:jc w:val="both"/>
              <w:rPr>
                <w:sz w:val="18"/>
                <w:szCs w:val="18"/>
              </w:rPr>
            </w:pPr>
            <w:r w:rsidRPr="00F97345">
              <w:rPr>
                <w:sz w:val="18"/>
                <w:szCs w:val="18"/>
              </w:rPr>
              <w:t>IMPORTÂNCIA DO GASTOS COM</w:t>
            </w:r>
          </w:p>
        </w:tc>
        <w:tc>
          <w:tcPr>
            <w:tcW w:w="559" w:type="pct"/>
            <w:vAlign w:val="center"/>
          </w:tcPr>
          <w:p w:rsidR="00EF7ABC" w:rsidRPr="00795F84" w:rsidRDefault="00EF7ABC" w:rsidP="005C5ABC">
            <w:pPr>
              <w:jc w:val="center"/>
              <w:rPr>
                <w:sz w:val="14"/>
                <w:szCs w:val="14"/>
              </w:rPr>
            </w:pPr>
            <w:r w:rsidRPr="00795F84">
              <w:rPr>
                <w:sz w:val="14"/>
                <w:szCs w:val="14"/>
              </w:rPr>
              <w:t>P&amp;D interno formal</w:t>
            </w:r>
          </w:p>
        </w:tc>
        <w:tc>
          <w:tcPr>
            <w:tcW w:w="468" w:type="pct"/>
            <w:vAlign w:val="center"/>
          </w:tcPr>
          <w:p w:rsidR="00EF7ABC" w:rsidRPr="00795F84" w:rsidRDefault="00EF7ABC" w:rsidP="005C5ABC">
            <w:pPr>
              <w:jc w:val="center"/>
              <w:rPr>
                <w:sz w:val="14"/>
                <w:szCs w:val="14"/>
              </w:rPr>
            </w:pPr>
            <w:r w:rsidRPr="00795F84">
              <w:rPr>
                <w:sz w:val="14"/>
                <w:szCs w:val="14"/>
              </w:rPr>
              <w:t>Projetos industriais e outras preparações técnicas</w:t>
            </w:r>
          </w:p>
        </w:tc>
        <w:tc>
          <w:tcPr>
            <w:tcW w:w="560" w:type="pct"/>
            <w:vAlign w:val="center"/>
          </w:tcPr>
          <w:p w:rsidR="00EF7ABC" w:rsidRPr="00795F84" w:rsidRDefault="00EF7ABC" w:rsidP="005C5ABC">
            <w:pPr>
              <w:jc w:val="center"/>
              <w:rPr>
                <w:sz w:val="14"/>
                <w:szCs w:val="14"/>
              </w:rPr>
            </w:pPr>
            <w:r w:rsidRPr="00795F84">
              <w:rPr>
                <w:sz w:val="14"/>
                <w:szCs w:val="14"/>
              </w:rPr>
              <w:t>Aquisição de outros conhecimentos externos</w:t>
            </w:r>
          </w:p>
        </w:tc>
        <w:tc>
          <w:tcPr>
            <w:tcW w:w="682" w:type="pct"/>
            <w:vAlign w:val="center"/>
          </w:tcPr>
          <w:p w:rsidR="00EF7ABC" w:rsidRPr="00795F84" w:rsidRDefault="00EF7ABC" w:rsidP="005C5ABC">
            <w:pPr>
              <w:jc w:val="center"/>
              <w:rPr>
                <w:sz w:val="14"/>
                <w:szCs w:val="14"/>
              </w:rPr>
            </w:pPr>
            <w:r w:rsidRPr="00795F84">
              <w:rPr>
                <w:sz w:val="14"/>
                <w:szCs w:val="14"/>
              </w:rPr>
              <w:t>Treinamento</w:t>
            </w:r>
          </w:p>
        </w:tc>
        <w:tc>
          <w:tcPr>
            <w:tcW w:w="559" w:type="pct"/>
            <w:vAlign w:val="center"/>
          </w:tcPr>
          <w:p w:rsidR="00EF7ABC" w:rsidRPr="00795F84" w:rsidRDefault="00EF7ABC" w:rsidP="005C5ABC">
            <w:pPr>
              <w:jc w:val="center"/>
              <w:rPr>
                <w:sz w:val="14"/>
                <w:szCs w:val="14"/>
              </w:rPr>
            </w:pPr>
            <w:r>
              <w:rPr>
                <w:sz w:val="14"/>
                <w:szCs w:val="14"/>
              </w:rPr>
              <w:t>Aquisição de outros conhecimentos externos</w:t>
            </w:r>
          </w:p>
        </w:tc>
        <w:tc>
          <w:tcPr>
            <w:tcW w:w="707" w:type="pct"/>
            <w:vAlign w:val="center"/>
          </w:tcPr>
          <w:p w:rsidR="00EF7ABC" w:rsidRPr="00795F84" w:rsidRDefault="00EF7ABC" w:rsidP="005C5ABC">
            <w:pPr>
              <w:jc w:val="center"/>
              <w:rPr>
                <w:sz w:val="14"/>
                <w:szCs w:val="14"/>
              </w:rPr>
            </w:pPr>
            <w:r>
              <w:rPr>
                <w:sz w:val="14"/>
                <w:szCs w:val="14"/>
              </w:rPr>
              <w:t>Aquisição de máquinas e equipamentos</w:t>
            </w:r>
          </w:p>
        </w:tc>
        <w:tc>
          <w:tcPr>
            <w:tcW w:w="418" w:type="pct"/>
            <w:vAlign w:val="center"/>
          </w:tcPr>
          <w:p w:rsidR="00EF7ABC" w:rsidRPr="00795F84" w:rsidRDefault="00EF7ABC" w:rsidP="005C5ABC">
            <w:pPr>
              <w:jc w:val="center"/>
              <w:rPr>
                <w:sz w:val="14"/>
                <w:szCs w:val="14"/>
              </w:rPr>
            </w:pPr>
            <w:r w:rsidRPr="00795F84">
              <w:rPr>
                <w:sz w:val="14"/>
                <w:szCs w:val="14"/>
              </w:rPr>
              <w:t>Introdução da Inovação no mercado</w:t>
            </w:r>
          </w:p>
        </w:tc>
        <w:tc>
          <w:tcPr>
            <w:tcW w:w="340" w:type="pct"/>
            <w:vAlign w:val="center"/>
          </w:tcPr>
          <w:p w:rsidR="00EF7ABC" w:rsidRPr="00795F84" w:rsidRDefault="00EF7ABC" w:rsidP="005C5ABC">
            <w:pPr>
              <w:jc w:val="center"/>
              <w:rPr>
                <w:sz w:val="14"/>
                <w:szCs w:val="14"/>
              </w:rPr>
            </w:pPr>
          </w:p>
        </w:tc>
      </w:tr>
    </w:tbl>
    <w:p w:rsidR="00692DF9" w:rsidRDefault="00692DF9" w:rsidP="00692DF9">
      <w:pPr>
        <w:jc w:val="both"/>
        <w:rPr>
          <w:sz w:val="20"/>
        </w:rPr>
      </w:pPr>
      <w:r w:rsidRPr="00481187">
        <w:rPr>
          <w:sz w:val="20"/>
        </w:rPr>
        <w:t>Fonte: Elaboração própria</w:t>
      </w:r>
    </w:p>
    <w:p w:rsidR="00692DF9" w:rsidRDefault="00692DF9" w:rsidP="00692DF9">
      <w:pPr>
        <w:spacing w:line="360" w:lineRule="auto"/>
        <w:ind w:firstLine="709"/>
        <w:jc w:val="both"/>
      </w:pPr>
    </w:p>
    <w:p w:rsidR="00692DF9" w:rsidRPr="004B128F" w:rsidRDefault="00692DF9" w:rsidP="00BD3AC8">
      <w:pPr>
        <w:ind w:firstLine="709"/>
        <w:jc w:val="both"/>
      </w:pPr>
      <w:r w:rsidRPr="004B128F">
        <w:t xml:space="preserve">As possibilidades de respostas das empresas inovadoras às questões formuladas pela PINTEC e utilizadas para a formulação dos indicadores é sempre qualitativa: </w:t>
      </w:r>
      <w:r w:rsidR="008444CB">
        <w:t xml:space="preserve">importância </w:t>
      </w:r>
      <w:r w:rsidRPr="004B128F">
        <w:t>alta, média, baixa ou irrelevante. Esses atributos qualitativos da PINTEC foram transformados em quantitativos para que as técnicas estatísticas pudessem ser utilizadas. O procedimento consistiu na substituição dos qualitativos: “alta” “média” e “baixa ou irrelevante” respectivamente por “</w:t>
      </w:r>
      <w:smartTag w:uri="urn:schemas-microsoft-com:office:smarttags" w:element="metricconverter">
        <w:smartTagPr>
          <w:attr w:name="ProductID" w:val="1”"/>
        </w:smartTagPr>
        <w:r w:rsidRPr="004B128F">
          <w:t>1”</w:t>
        </w:r>
      </w:smartTag>
      <w:r w:rsidRPr="004B128F">
        <w:t>, “</w:t>
      </w:r>
      <w:smartTag w:uri="urn:schemas-microsoft-com:office:smarttags" w:element="metricconverter">
        <w:smartTagPr>
          <w:attr w:name="ProductID" w:val="0,66”"/>
        </w:smartTagPr>
        <w:r w:rsidRPr="004B128F">
          <w:t>0,66”</w:t>
        </w:r>
      </w:smartTag>
      <w:r w:rsidRPr="004B128F">
        <w:t xml:space="preserve"> e “</w:t>
      </w:r>
      <w:smartTag w:uri="urn:schemas-microsoft-com:office:smarttags" w:element="metricconverter">
        <w:smartTagPr>
          <w:attr w:name="ProductID" w:val="0,167”"/>
        </w:smartTagPr>
        <w:r w:rsidRPr="004B128F">
          <w:t>0,167”</w:t>
        </w:r>
      </w:smartTag>
      <w:r w:rsidRPr="004B128F">
        <w:rPr>
          <w:rStyle w:val="Refdenotaderodap"/>
        </w:rPr>
        <w:footnoteReference w:id="14"/>
      </w:r>
      <w:r w:rsidRPr="004B128F">
        <w:t xml:space="preserve">. Assim, os indicadores foram formados utilizando-se de uma média ponderada da importância atribuída pelo conjunto das empresas inovadoras de cada setor às variáveis selecionadas para a composição desses indicadores.  </w:t>
      </w:r>
    </w:p>
    <w:p w:rsidR="00692DF9" w:rsidRDefault="00692DF9" w:rsidP="00BD3AC8">
      <w:pPr>
        <w:ind w:firstLine="709"/>
        <w:jc w:val="both"/>
      </w:pPr>
      <w:r w:rsidRPr="004B128F">
        <w:t>Na seq</w:t>
      </w:r>
      <w:r>
        <w:t>u</w:t>
      </w:r>
      <w:r w:rsidRPr="004B128F">
        <w:t>ência, apresentamos os resultados da aplicação do ferramental da análise estatística multivariada</w:t>
      </w:r>
      <w:r w:rsidRPr="004B128F">
        <w:rPr>
          <w:i/>
        </w:rPr>
        <w:t>,</w:t>
      </w:r>
      <w:r w:rsidRPr="004B128F">
        <w:t xml:space="preserve"> especificamente a técnica de </w:t>
      </w:r>
      <w:r w:rsidRPr="004B128F">
        <w:rPr>
          <w:i/>
        </w:rPr>
        <w:t>clustering</w:t>
      </w:r>
      <w:r w:rsidRPr="004B128F">
        <w:t>, a partir da qual 4 grupos de setores foram formados com respeito a intensidade do uso dos indicadores.</w:t>
      </w:r>
    </w:p>
    <w:p w:rsidR="00692DF9" w:rsidRDefault="00692DF9" w:rsidP="00BD3AC8">
      <w:pPr>
        <w:ind w:firstLine="709"/>
        <w:jc w:val="both"/>
      </w:pPr>
    </w:p>
    <w:p w:rsidR="00692DF9" w:rsidRPr="006C1946" w:rsidRDefault="00692DF9" w:rsidP="00BD3AC8">
      <w:pPr>
        <w:pStyle w:val="PargrafodaLista"/>
        <w:numPr>
          <w:ilvl w:val="1"/>
          <w:numId w:val="1"/>
        </w:numPr>
        <w:jc w:val="both"/>
        <w:rPr>
          <w:b/>
        </w:rPr>
      </w:pPr>
      <w:r>
        <w:rPr>
          <w:b/>
        </w:rPr>
        <w:t>A Aplicação da T</w:t>
      </w:r>
      <w:r w:rsidRPr="006C1946">
        <w:rPr>
          <w:b/>
        </w:rPr>
        <w:t xml:space="preserve">écnica de </w:t>
      </w:r>
      <w:r>
        <w:rPr>
          <w:b/>
        </w:rPr>
        <w:t>C</w:t>
      </w:r>
      <w:r w:rsidRPr="006C1946">
        <w:rPr>
          <w:b/>
        </w:rPr>
        <w:t xml:space="preserve">luster: A </w:t>
      </w:r>
      <w:r>
        <w:rPr>
          <w:b/>
        </w:rPr>
        <w:t>F</w:t>
      </w:r>
      <w:r w:rsidRPr="006C1946">
        <w:rPr>
          <w:b/>
        </w:rPr>
        <w:t>ormação dos Padrões.</w:t>
      </w:r>
    </w:p>
    <w:p w:rsidR="00692DF9" w:rsidRDefault="00692DF9" w:rsidP="00BD3AC8">
      <w:pPr>
        <w:jc w:val="both"/>
      </w:pPr>
    </w:p>
    <w:p w:rsidR="00692DF9" w:rsidRDefault="00692DF9" w:rsidP="00BD3AC8">
      <w:pPr>
        <w:ind w:firstLine="709"/>
        <w:jc w:val="both"/>
      </w:pPr>
      <w:r>
        <w:t xml:space="preserve">Para a formação dos padrões foi utilizada a técnica de </w:t>
      </w:r>
      <w:r w:rsidRPr="002D2AEA">
        <w:rPr>
          <w:i/>
        </w:rPr>
        <w:t>clustering</w:t>
      </w:r>
      <w:r>
        <w:t xml:space="preserve"> da análise estatística multivariada. Tecnicamente, u</w:t>
      </w:r>
      <w:r w:rsidRPr="00FE710C">
        <w:t xml:space="preserve">m </w:t>
      </w:r>
      <w:r w:rsidRPr="00FE710C">
        <w:rPr>
          <w:i/>
        </w:rPr>
        <w:t>cluster</w:t>
      </w:r>
      <w:r w:rsidRPr="00FE710C">
        <w:t xml:space="preserve"> pode ser visto como um conjunto de dados que guarde semelhanças entre si. </w:t>
      </w:r>
      <w:r w:rsidRPr="002D2AEA">
        <w:t>Trata-se de</w:t>
      </w:r>
      <w:r w:rsidRPr="00FE710C">
        <w:t xml:space="preserve"> uma técnica de agrupamento</w:t>
      </w:r>
      <w:r>
        <w:t xml:space="preserve"> cujo</w:t>
      </w:r>
      <w:r w:rsidRPr="00FE710C">
        <w:t xml:space="preserve"> método tem por objetivo a separação de objetos ou observações em classes de modo que os elementos classificados em um grupo apresentem alto grau de similaridade</w:t>
      </w:r>
      <w:r>
        <w:t>. U</w:t>
      </w:r>
      <w:r w:rsidRPr="00FE710C">
        <w:t xml:space="preserve">ma descrição genérica do objetivo de um </w:t>
      </w:r>
      <w:r w:rsidRPr="00FE710C">
        <w:rPr>
          <w:i/>
        </w:rPr>
        <w:t>clustering</w:t>
      </w:r>
      <w:r w:rsidRPr="00FE710C">
        <w:t xml:space="preserve"> seria o de maximizar a homogeneidade dentro de um </w:t>
      </w:r>
      <w:r w:rsidRPr="005C7506">
        <w:rPr>
          <w:i/>
        </w:rPr>
        <w:t>cluster</w:t>
      </w:r>
      <w:r w:rsidRPr="00FE710C">
        <w:t xml:space="preserve"> enquanto se maximiza a heterogeneidade entre os </w:t>
      </w:r>
      <w:r w:rsidRPr="005C7506">
        <w:rPr>
          <w:i/>
        </w:rPr>
        <w:t>clusters</w:t>
      </w:r>
      <w:r w:rsidRPr="00FE710C">
        <w:t xml:space="preserve"> </w:t>
      </w:r>
      <w:r w:rsidRPr="005C7506">
        <w:t>(HRUSCHKA e EBECKEN, 2000).</w:t>
      </w:r>
    </w:p>
    <w:p w:rsidR="00692DF9" w:rsidRDefault="00692DF9" w:rsidP="00BD3AC8">
      <w:pPr>
        <w:ind w:firstLine="709"/>
        <w:jc w:val="both"/>
        <w:rPr>
          <w:rFonts w:eastAsia="Calibri"/>
          <w:lang w:eastAsia="en-US"/>
        </w:rPr>
      </w:pPr>
      <w:r w:rsidRPr="00FE710C">
        <w:t xml:space="preserve">Existem vários métodos de agrupamento, </w:t>
      </w:r>
      <w:r>
        <w:t>no presente</w:t>
      </w:r>
      <w:r w:rsidRPr="00FE710C">
        <w:t xml:space="preserve"> trabalho</w:t>
      </w:r>
      <w:r>
        <w:t>,</w:t>
      </w:r>
      <w:r w:rsidRPr="00FE710C">
        <w:t xml:space="preserve"> </w:t>
      </w:r>
      <w:r>
        <w:t>um método não hierárquico.</w:t>
      </w:r>
      <w:r>
        <w:rPr>
          <w:rFonts w:eastAsia="Calibri"/>
          <w:lang w:eastAsia="en-US"/>
        </w:rPr>
        <w:t>Nesse trabalho, os casos a serem agrupados são os setores e as variáveis que determinam os agrupamentos são os indicadores de aprendizagem apresentados no quadro 1. Cada um dos 93 setores da atividade industrial brasileira (3 dígitos da CNAE) é caracterizado, portanto, segundo os 8 indicadores.</w:t>
      </w:r>
    </w:p>
    <w:p w:rsidR="00692DF9" w:rsidRPr="00FE710C" w:rsidRDefault="00692DF9" w:rsidP="00BD3AC8">
      <w:pPr>
        <w:autoSpaceDE w:val="0"/>
        <w:autoSpaceDN w:val="0"/>
        <w:adjustRightInd w:val="0"/>
        <w:ind w:firstLine="709"/>
        <w:jc w:val="both"/>
      </w:pPr>
      <w:r>
        <w:rPr>
          <w:rFonts w:eastAsia="Calibri"/>
          <w:lang w:eastAsia="en-US"/>
        </w:rPr>
        <w:t xml:space="preserve">Sob esse método o número de </w:t>
      </w:r>
      <w:r w:rsidRPr="00F944D6">
        <w:rPr>
          <w:i/>
        </w:rPr>
        <w:t>clusters</w:t>
      </w:r>
      <w:r>
        <w:t xml:space="preserve"> deve ser definido </w:t>
      </w:r>
      <w:r w:rsidRPr="00F944D6">
        <w:rPr>
          <w:i/>
        </w:rPr>
        <w:t>à priori</w:t>
      </w:r>
      <w:r>
        <w:rPr>
          <w:i/>
        </w:rPr>
        <w:t xml:space="preserve">. </w:t>
      </w:r>
      <w:r w:rsidRPr="00233386">
        <w:t>De maneira crescente foram testados 2, 3 e 4 clusters</w:t>
      </w:r>
      <w:r>
        <w:rPr>
          <w:i/>
        </w:rPr>
        <w:t xml:space="preserve">, </w:t>
      </w:r>
      <w:r>
        <w:t>apenas no último caso</w:t>
      </w:r>
      <w:r w:rsidRPr="00DB6AC4">
        <w:t xml:space="preserve"> os valores da “estatística p” apresentaram significância </w:t>
      </w:r>
      <w:r>
        <w:t>&lt; 5</w:t>
      </w:r>
      <w:r w:rsidRPr="00DB6AC4">
        <w:t xml:space="preserve"> % para </w:t>
      </w:r>
      <w:r>
        <w:t>todos os indicadores</w:t>
      </w:r>
      <w:r>
        <w:rPr>
          <w:i/>
        </w:rPr>
        <w:t xml:space="preserve">. </w:t>
      </w:r>
      <w:r>
        <w:t xml:space="preserve">O método utilizado é conhecido como </w:t>
      </w:r>
      <w:r w:rsidRPr="00FE710C">
        <w:rPr>
          <w:i/>
        </w:rPr>
        <w:t>K-means</w:t>
      </w:r>
      <w:r w:rsidRPr="00FE710C">
        <w:rPr>
          <w:rStyle w:val="Refdenotaderodap"/>
          <w:i/>
        </w:rPr>
        <w:footnoteReference w:id="15"/>
      </w:r>
      <w:r w:rsidRPr="00FE710C">
        <w:t>.</w:t>
      </w:r>
      <w:r>
        <w:t xml:space="preserve"> </w:t>
      </w:r>
    </w:p>
    <w:p w:rsidR="00692DF9" w:rsidRDefault="00692DF9" w:rsidP="00BD3AC8">
      <w:pPr>
        <w:ind w:firstLine="709"/>
        <w:jc w:val="both"/>
      </w:pPr>
      <w:r w:rsidRPr="00FE710C">
        <w:t xml:space="preserve"> </w:t>
      </w:r>
      <w:r>
        <w:t>N</w:t>
      </w:r>
      <w:r w:rsidRPr="00FE710C">
        <w:t xml:space="preserve">esse exercício </w:t>
      </w:r>
      <w:r>
        <w:t>os dados foram</w:t>
      </w:r>
      <w:r w:rsidRPr="00FE710C">
        <w:t xml:space="preserve"> padroniza</w:t>
      </w:r>
      <w:r>
        <w:t>dos</w:t>
      </w:r>
      <w:r>
        <w:rPr>
          <w:rStyle w:val="Refdenotaderodap"/>
        </w:rPr>
        <w:footnoteReference w:id="16"/>
      </w:r>
      <w:r>
        <w:t>, fazendo com que as médias de cada indicador chegasse a 0 e o desvio padrão “</w:t>
      </w:r>
      <w:smartTag w:uri="urn:schemas-microsoft-com:office:smarttags" w:element="metricconverter">
        <w:smartTagPr>
          <w:attr w:name="ProductID" w:val="1”"/>
        </w:smartTagPr>
        <w:r>
          <w:t>1”</w:t>
        </w:r>
      </w:smartTag>
      <w:r>
        <w:t xml:space="preserve">. Dessa forma, somando-se a magnitude de qualquer dos indicadores, </w:t>
      </w:r>
      <w:r w:rsidRPr="00FE710C">
        <w:t>ch</w:t>
      </w:r>
      <w:r>
        <w:t>e</w:t>
      </w:r>
      <w:r w:rsidRPr="00FE710C">
        <w:t xml:space="preserve">garemos </w:t>
      </w:r>
      <w:r>
        <w:t>a</w:t>
      </w:r>
      <w:r w:rsidRPr="00FE710C">
        <w:t xml:space="preserve"> zero</w:t>
      </w:r>
    </w:p>
    <w:p w:rsidR="00692DF9" w:rsidRDefault="00692DF9" w:rsidP="00BD3AC8">
      <w:pPr>
        <w:ind w:firstLine="709"/>
        <w:jc w:val="both"/>
      </w:pPr>
      <w:r w:rsidRPr="00FE710C">
        <w:t>.</w:t>
      </w:r>
    </w:p>
    <w:p w:rsidR="00692DF9" w:rsidRDefault="00692DF9" w:rsidP="00BD3AC8">
      <w:pPr>
        <w:pStyle w:val="PargrafodaLista"/>
        <w:numPr>
          <w:ilvl w:val="0"/>
          <w:numId w:val="1"/>
        </w:numPr>
        <w:jc w:val="both"/>
        <w:rPr>
          <w:b/>
        </w:rPr>
      </w:pPr>
      <w:r>
        <w:rPr>
          <w:b/>
        </w:rPr>
        <w:t xml:space="preserve">Discussão: </w:t>
      </w:r>
      <w:r w:rsidRPr="00C33405">
        <w:rPr>
          <w:b/>
        </w:rPr>
        <w:t xml:space="preserve">Os Padrões Setoriais de Aprendizagem da Indústria Brasileira </w:t>
      </w:r>
    </w:p>
    <w:p w:rsidR="00692DF9" w:rsidRPr="004B128F" w:rsidRDefault="00692DF9" w:rsidP="00BD3AC8">
      <w:pPr>
        <w:jc w:val="both"/>
        <w:rPr>
          <w:b/>
        </w:rPr>
      </w:pPr>
    </w:p>
    <w:p w:rsidR="00692DF9" w:rsidRDefault="00692DF9" w:rsidP="00BD3AC8">
      <w:pPr>
        <w:jc w:val="both"/>
      </w:pPr>
    </w:p>
    <w:p w:rsidR="00692DF9" w:rsidRDefault="00692DF9" w:rsidP="00BD3AC8">
      <w:pPr>
        <w:ind w:firstLine="709"/>
        <w:jc w:val="both"/>
      </w:pPr>
      <w:r>
        <w:t xml:space="preserve">Essa seção apresenta e analisa os 4 padrões setoriais de aprendizagem formados com a aplicação do ferramental estatístico apresentado acima. As características de aprendizagem que distinguem os padrões são identificadas a partir de três gráficos para cada padrão, correspondentes as três PINTEC’s (200, 2003 e 2005). Nos gráficos estão plotadas as intensidades médias do uso de cada forma de aprendizagem considerada pelos indicadores construídos. Da análise gráfica, portanto, se retiram as características semelhantes da trajetória de aprendizagem (2000, 2003 e 2005) que definem os padrões. </w:t>
      </w:r>
    </w:p>
    <w:p w:rsidR="00692DF9" w:rsidRDefault="00692DF9" w:rsidP="00BD3AC8">
      <w:pPr>
        <w:ind w:firstLine="709"/>
        <w:jc w:val="both"/>
      </w:pPr>
      <w:r>
        <w:t>Destacamos que uma</w:t>
      </w:r>
      <w:r w:rsidRPr="00414E30">
        <w:t xml:space="preserve"> vez </w:t>
      </w:r>
      <w:r>
        <w:t>os agrupamentos (</w:t>
      </w:r>
      <w:r w:rsidRPr="00743AB5">
        <w:rPr>
          <w:i/>
        </w:rPr>
        <w:t>clusterings</w:t>
      </w:r>
      <w:r>
        <w:t>) foram realizados de maneira independente em cada um dos três anos</w:t>
      </w:r>
      <w:r w:rsidRPr="00414E30">
        <w:t xml:space="preserve"> os </w:t>
      </w:r>
      <w:r>
        <w:t>setores que compõe</w:t>
      </w:r>
      <w:r w:rsidRPr="00414E30">
        <w:t xml:space="preserve"> os padrões</w:t>
      </w:r>
      <w:r>
        <w:t>, poderiam</w:t>
      </w:r>
      <w:r w:rsidRPr="00414E30">
        <w:t xml:space="preserve"> modificar suas formas de aprend</w:t>
      </w:r>
      <w:r>
        <w:t>er</w:t>
      </w:r>
      <w:r w:rsidRPr="00414E30">
        <w:t xml:space="preserve"> através dos anos e</w:t>
      </w:r>
      <w:r>
        <w:t>, assim,</w:t>
      </w:r>
      <w:r w:rsidRPr="00414E30">
        <w:t xml:space="preserve"> migrarem de um padrão para outro. Dessa forma, definiu-se que a presença de um setor da atividade produtiva em dois dos três períodos em análise seria um indicador suficiente para considerá-lo membro desse padrão</w:t>
      </w:r>
      <w:r>
        <w:rPr>
          <w:rStyle w:val="Refdenotaderodap"/>
        </w:rPr>
        <w:footnoteReference w:id="17"/>
      </w:r>
      <w:r w:rsidRPr="00414E30">
        <w:t>.</w:t>
      </w:r>
    </w:p>
    <w:p w:rsidR="00692DF9" w:rsidRPr="00743AB5" w:rsidRDefault="00414766" w:rsidP="00BD3AC8">
      <w:pPr>
        <w:ind w:firstLine="709"/>
        <w:jc w:val="both"/>
      </w:pPr>
      <w:r>
        <w:rPr>
          <w:noProof/>
        </w:rPr>
        <w:drawing>
          <wp:anchor distT="0" distB="0" distL="114300" distR="114300" simplePos="0" relativeHeight="251660288" behindDoc="0" locked="0" layoutInCell="1" allowOverlap="1">
            <wp:simplePos x="0" y="0"/>
            <wp:positionH relativeFrom="margin">
              <wp:posOffset>-91440</wp:posOffset>
            </wp:positionH>
            <wp:positionV relativeFrom="margin">
              <wp:posOffset>80010</wp:posOffset>
            </wp:positionV>
            <wp:extent cx="1695450" cy="6457950"/>
            <wp:effectExtent l="19050" t="0" r="0" b="0"/>
            <wp:wrapSquare wrapText="bothSides"/>
            <wp:docPr id="3" name="Imagem 3" descr="Figura 1 P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 1 Pad-1"/>
                    <pic:cNvPicPr>
                      <a:picLocks noChangeAspect="1" noChangeArrowheads="1"/>
                    </pic:cNvPicPr>
                  </pic:nvPicPr>
                  <pic:blipFill>
                    <a:blip r:embed="rId8" cstate="print"/>
                    <a:srcRect/>
                    <a:stretch>
                      <a:fillRect/>
                    </a:stretch>
                  </pic:blipFill>
                  <pic:spPr bwMode="auto">
                    <a:xfrm>
                      <a:off x="0" y="0"/>
                      <a:ext cx="1695450" cy="6457950"/>
                    </a:xfrm>
                    <a:prstGeom prst="rect">
                      <a:avLst/>
                    </a:prstGeom>
                    <a:noFill/>
                    <a:ln w="9525">
                      <a:noFill/>
                      <a:miter lim="800000"/>
                      <a:headEnd/>
                      <a:tailEnd/>
                    </a:ln>
                  </pic:spPr>
                </pic:pic>
              </a:graphicData>
            </a:graphic>
          </wp:anchor>
        </w:drawing>
      </w:r>
      <w:r w:rsidR="00692DF9" w:rsidRPr="00743AB5">
        <w:t>Estatisticamente essa arbitrariedade significa que</w:t>
      </w:r>
      <w:r w:rsidR="00692DF9">
        <w:t>,</w:t>
      </w:r>
      <w:r w:rsidR="00692DF9" w:rsidRPr="00743AB5">
        <w:t xml:space="preserve"> supondo equiprobabilidade de um setor estar em determinado agrupamento, as chances, por exemplo, de um setor classificado no agrupamento que forma o padrão 1 no primeiro período (Pintec I) estar também nos agrupamentos que formam </w:t>
      </w:r>
      <w:r w:rsidR="00692DF9">
        <w:t>esse padrão</w:t>
      </w:r>
      <w:r w:rsidR="00692DF9" w:rsidRPr="00743AB5">
        <w:t xml:space="preserve"> no segundo (Pintec 2) e terceiro período (Pintec 3) é de ¼ x ¼ = 1/16, ou seja, 6,25%.  Já a chance de um setor classificado no agrupamento que forma o padrão 1, por exemplo, estar também no agrupamento 2 ou no agrupamento 3 é de duas chances em </w:t>
      </w:r>
      <w:r w:rsidR="00692DF9">
        <w:t>oito</w:t>
      </w:r>
      <w:r w:rsidR="00692DF9" w:rsidRPr="00743AB5">
        <w:t xml:space="preserve"> possíveis, ou seja, ¼ ou</w:t>
      </w:r>
      <w:r w:rsidR="00692DF9">
        <w:t xml:space="preserve"> ainda</w:t>
      </w:r>
      <w:r w:rsidR="00692DF9" w:rsidRPr="00743AB5">
        <w:t xml:space="preserve"> 25%. Apoiando-se nessas probabilidades compreende-se que o formato sugerido para a obtenção dos padrões é confiável. </w:t>
      </w:r>
    </w:p>
    <w:p w:rsidR="00692DF9" w:rsidRDefault="00692DF9" w:rsidP="00BD3AC8">
      <w:pPr>
        <w:ind w:firstLine="709"/>
        <w:jc w:val="both"/>
      </w:pPr>
      <w:r w:rsidRPr="00414E30">
        <w:t xml:space="preserve">Os resultados revelaram que apenas </w:t>
      </w:r>
      <w:r>
        <w:t>33</w:t>
      </w:r>
      <w:r w:rsidRPr="00414E30">
        <w:t xml:space="preserve"> setores da atividade econômica estiveram presentes em três dos três clusters que formam cada padrão, ou seja, são casos em que não houve migração de um padrão para outro</w:t>
      </w:r>
      <w:r w:rsidRPr="007B4DFA">
        <w:t xml:space="preserve">. Outros </w:t>
      </w:r>
      <w:r>
        <w:t>47</w:t>
      </w:r>
      <w:r w:rsidRPr="007B4DFA">
        <w:t xml:space="preserve"> estiveram presentes em dois dos três clusters.</w:t>
      </w:r>
      <w:r w:rsidRPr="00414E30">
        <w:t xml:space="preserve"> Apenas 13 setores não foram classificados em nenhum dos padrões por modificaram consideravelmente suas práticas de aprendizagem nos anos considerados.</w:t>
      </w:r>
      <w:r>
        <w:t xml:space="preserve">  </w:t>
      </w:r>
    </w:p>
    <w:p w:rsidR="00692DF9" w:rsidRDefault="00692DF9" w:rsidP="00BD3AC8">
      <w:pPr>
        <w:ind w:firstLine="709"/>
        <w:jc w:val="both"/>
      </w:pPr>
      <w:r>
        <w:t>Os padrões guardaram significativa correspondência com a taxonomia Pavitt (1984) e revelam formas de aprendizagem complementares as apontadas pelo autor como “as principais” nos processos de inovação das firmas</w:t>
      </w:r>
      <w:r>
        <w:rPr>
          <w:rStyle w:val="Refdenotaderodap"/>
        </w:rPr>
        <w:footnoteReference w:id="18"/>
      </w:r>
      <w:r>
        <w:t>. A seguir são apresentadas e analisadas as formas de aprendizagem que definem os quatro padrões de aprendizagem na indústria brasileira</w:t>
      </w:r>
    </w:p>
    <w:p w:rsidR="00692DF9" w:rsidRDefault="00692DF9" w:rsidP="00BD3AC8">
      <w:pPr>
        <w:ind w:firstLine="709"/>
        <w:jc w:val="both"/>
      </w:pPr>
    </w:p>
    <w:p w:rsidR="00692DF9" w:rsidRPr="00E7460C" w:rsidRDefault="00692DF9" w:rsidP="00BD3AC8">
      <w:pPr>
        <w:pStyle w:val="PargrafodaLista"/>
        <w:numPr>
          <w:ilvl w:val="1"/>
          <w:numId w:val="1"/>
        </w:numPr>
        <w:jc w:val="both"/>
        <w:rPr>
          <w:b/>
        </w:rPr>
      </w:pPr>
      <w:r w:rsidRPr="00E7460C">
        <w:rPr>
          <w:b/>
        </w:rPr>
        <w:t xml:space="preserve">Padrão 1- Intensivo em Aprendizagem </w:t>
      </w:r>
      <w:r>
        <w:rPr>
          <w:b/>
        </w:rPr>
        <w:t>na Esfera Produtiva</w:t>
      </w:r>
    </w:p>
    <w:p w:rsidR="00692DF9" w:rsidRDefault="00692DF9" w:rsidP="00BD3AC8">
      <w:pPr>
        <w:jc w:val="both"/>
      </w:pPr>
    </w:p>
    <w:p w:rsidR="00692DF9" w:rsidRDefault="00692DF9" w:rsidP="00BD3AC8">
      <w:pPr>
        <w:ind w:firstLine="709"/>
        <w:jc w:val="both"/>
      </w:pPr>
      <w:r>
        <w:t>Entre os setores agrupados nesse padrão a forma de aprender se define pela aprendizagem com agentes da esfera de produção combinada a outras fontes externas, como pode ser visto na figura 1</w:t>
      </w:r>
      <w:r>
        <w:rPr>
          <w:rStyle w:val="Refdenotaderodap"/>
        </w:rPr>
        <w:footnoteReference w:id="19"/>
      </w:r>
      <w:r>
        <w:t>.</w:t>
      </w:r>
      <w:r w:rsidRPr="00B12046">
        <w:t xml:space="preserve"> </w:t>
      </w:r>
      <w:r>
        <w:t>Particularmente certa intensidade na aprendizagem tida como de maior conteúdo tácito é notada.</w:t>
      </w:r>
    </w:p>
    <w:p w:rsidR="00692DF9" w:rsidRDefault="00692DF9" w:rsidP="00BD3AC8">
      <w:pPr>
        <w:ind w:firstLine="709"/>
        <w:jc w:val="both"/>
      </w:pPr>
      <w:r w:rsidRPr="00B12046">
        <w:t xml:space="preserve"> </w:t>
      </w:r>
      <w:r>
        <w:t xml:space="preserve">Internamente, revelou-se o uso de departamentos voltados à produção –excluindo-se o de P&amp;D, complementado por </w:t>
      </w:r>
      <w:r w:rsidRPr="00B12046">
        <w:t xml:space="preserve"> práticas de treinamento </w:t>
      </w:r>
      <w:r>
        <w:t>de pessoal. Tal aprendizado, que tipicamente envolve troca de experiências, informações e conhecimentos dos atores envolvidos nas rotinas de produção das fábricas são complementados f</w:t>
      </w:r>
      <w:r w:rsidRPr="00B12046">
        <w:t>ora da empresa</w:t>
      </w:r>
      <w:r>
        <w:t xml:space="preserve"> por</w:t>
      </w:r>
      <w:r w:rsidRPr="00B12046">
        <w:t xml:space="preserve"> interações tipicamente informais resultantes do contato face a face ocorridos em encontros e conferências, feiras, exposições e no contato com consultores</w:t>
      </w:r>
      <w:r>
        <w:t xml:space="preserve">, mas também nos </w:t>
      </w:r>
      <w:r w:rsidRPr="00793169">
        <w:rPr>
          <w:i/>
        </w:rPr>
        <w:t>insigths</w:t>
      </w:r>
      <w:r>
        <w:t xml:space="preserve"> derivados de informações dos concorrentes</w:t>
      </w:r>
      <w:r w:rsidRPr="00B12046">
        <w:t xml:space="preserve"> (</w:t>
      </w:r>
      <w:r>
        <w:rPr>
          <w:i/>
        </w:rPr>
        <w:t>outras fontes</w:t>
      </w:r>
      <w:r w:rsidRPr="00B12046">
        <w:t xml:space="preserve">) </w:t>
      </w:r>
      <w:r>
        <w:t>e</w:t>
      </w:r>
      <w:r w:rsidRPr="00B12046">
        <w:t xml:space="preserve"> fornecedores.</w:t>
      </w:r>
      <w:r>
        <w:t xml:space="preserve"> Seguindo Lundvall e Foray (1999) compreende-se que a aprendizagem se define pela maturação das rotinas de produção e inovação em processos nos quais o “saber como” e o “saber quem” são decisivos.</w:t>
      </w:r>
    </w:p>
    <w:p w:rsidR="00692DF9" w:rsidRPr="00E52B25" w:rsidRDefault="00692DF9" w:rsidP="00BD3AC8">
      <w:pPr>
        <w:ind w:firstLine="709"/>
        <w:jc w:val="both"/>
      </w:pPr>
      <w:r w:rsidRPr="00B12046">
        <w:t xml:space="preserve">Foram agrupados no padrão 1 setores </w:t>
      </w:r>
      <w:r>
        <w:t>“</w:t>
      </w:r>
      <w:r w:rsidRPr="00B12046">
        <w:t>intensivos em escala</w:t>
      </w:r>
      <w:r>
        <w:t>” e em menor</w:t>
      </w:r>
      <w:r w:rsidRPr="00B12046">
        <w:t xml:space="preserve"> medida </w:t>
      </w:r>
      <w:r>
        <w:t>“</w:t>
      </w:r>
      <w:r w:rsidRPr="00B12046">
        <w:t>fornecedores especializados</w:t>
      </w:r>
      <w:r>
        <w:t>” (Pavit, 1984)</w:t>
      </w:r>
      <w:r>
        <w:rPr>
          <w:rStyle w:val="Refdenotaderodap"/>
        </w:rPr>
        <w:footnoteReference w:id="20"/>
      </w:r>
      <w:r w:rsidRPr="00B12046">
        <w:t>, especificamente, o</w:t>
      </w:r>
      <w:r>
        <w:t>s</w:t>
      </w:r>
      <w:r w:rsidRPr="00B12046">
        <w:t xml:space="preserve"> de fabricação de “produtos diversos de metal” e de “equipamentos para veículos automotores”.</w:t>
      </w:r>
    </w:p>
    <w:p w:rsidR="00692DF9" w:rsidRDefault="00692DF9" w:rsidP="00BD3AC8">
      <w:pPr>
        <w:ind w:firstLine="709"/>
        <w:jc w:val="both"/>
      </w:pPr>
      <w:r w:rsidRPr="00B12046">
        <w:t>Pavitt (1984) aponta duas fontes tecnológicas típicas dos setores intensivos em escala: seus departamentos de engenharia de produção e seus fornecedores de equipamentos e instrumentos. Nossos resultados revelam que, ao menos no Brasil, essas duas formas de aprendizagem são complementadas p</w:t>
      </w:r>
      <w:r>
        <w:t>rincipalmente p</w:t>
      </w:r>
      <w:r w:rsidRPr="00B12046">
        <w:t>or</w:t>
      </w:r>
      <w:r>
        <w:t xml:space="preserve"> outras</w:t>
      </w:r>
      <w:r w:rsidRPr="00B12046">
        <w:t xml:space="preserve"> </w:t>
      </w:r>
      <w:r>
        <w:t>formas de aprendizagem intensivas em</w:t>
      </w:r>
      <w:r w:rsidRPr="00B12046">
        <w:t xml:space="preserve"> conhecimentos tácitos</w:t>
      </w:r>
      <w:r>
        <w:t>, mas também, através de aprendizagem com fontes de C&amp;T</w:t>
      </w:r>
      <w:r w:rsidRPr="00B12046">
        <w:t>.</w:t>
      </w:r>
      <w:r>
        <w:t xml:space="preserve"> Para essa última, c</w:t>
      </w:r>
      <w:r w:rsidRPr="00B12046">
        <w:t>ontribuem o elevado conjunto de recursos relativos em posse de firmas de grande porte, típicas d</w:t>
      </w:r>
      <w:r>
        <w:t xml:space="preserve">os setores intensivos </w:t>
      </w:r>
      <w:smartTag w:uri="urn:schemas-microsoft-com:office:smarttags" w:element="PersonName">
        <w:smartTagPr>
          <w:attr w:name="ProductID" w:val="em escala. Esses"/>
        </w:smartTagPr>
        <w:r>
          <w:t>em escala. Esses</w:t>
        </w:r>
      </w:smartTag>
      <w:r w:rsidRPr="00B12046">
        <w:t xml:space="preserve"> </w:t>
      </w:r>
      <w:r>
        <w:t xml:space="preserve">recursos </w:t>
      </w:r>
      <w:r w:rsidRPr="00B12046">
        <w:t xml:space="preserve">colocam as </w:t>
      </w:r>
      <w:r>
        <w:t xml:space="preserve">grandes </w:t>
      </w:r>
      <w:r w:rsidRPr="00B12046">
        <w:t xml:space="preserve">firmas em vantagem para acessar diversos tipos de conhecimentos, inclusive aqueles gerados em universidades e </w:t>
      </w:r>
      <w:r>
        <w:t xml:space="preserve">em </w:t>
      </w:r>
      <w:r w:rsidRPr="00B12046">
        <w:t xml:space="preserve">centros de pesquisa. </w:t>
      </w:r>
    </w:p>
    <w:p w:rsidR="00692DF9" w:rsidRDefault="00692DF9" w:rsidP="00692DF9">
      <w:pPr>
        <w:jc w:val="both"/>
      </w:pPr>
    </w:p>
    <w:p w:rsidR="00692DF9" w:rsidRPr="00A9723F" w:rsidRDefault="00692DF9" w:rsidP="00692DF9">
      <w:pPr>
        <w:jc w:val="both"/>
        <w:rPr>
          <w:b/>
        </w:rPr>
      </w:pPr>
      <w:r w:rsidRPr="00A9723F">
        <w:rPr>
          <w:b/>
        </w:rPr>
        <w:t>Tabela 1: Setores Intensivos em Aprendizagem na Esfera da Produção: taxonomia Pavit relacionada</w:t>
      </w:r>
    </w:p>
    <w:tbl>
      <w:tblPr>
        <w:tblpPr w:leftFromText="141" w:rightFromText="141" w:vertAnchor="page" w:horzAnchor="margin" w:tblpY="5011"/>
        <w:tblW w:w="9709" w:type="dxa"/>
        <w:tblCellMar>
          <w:left w:w="70" w:type="dxa"/>
          <w:right w:w="70" w:type="dxa"/>
        </w:tblCellMar>
        <w:tblLook w:val="04A0"/>
      </w:tblPr>
      <w:tblGrid>
        <w:gridCol w:w="674"/>
        <w:gridCol w:w="1758"/>
        <w:gridCol w:w="1443"/>
        <w:gridCol w:w="674"/>
        <w:gridCol w:w="2134"/>
        <w:gridCol w:w="3026"/>
      </w:tblGrid>
      <w:tr w:rsidR="00414766" w:rsidRPr="006F553C" w:rsidTr="00414766">
        <w:trPr>
          <w:trHeight w:val="300"/>
        </w:trPr>
        <w:tc>
          <w:tcPr>
            <w:tcW w:w="674" w:type="dxa"/>
            <w:vMerge w:val="restart"/>
            <w:tcBorders>
              <w:top w:val="single" w:sz="4" w:space="0" w:color="auto"/>
              <w:left w:val="nil"/>
              <w:bottom w:val="single" w:sz="4" w:space="0" w:color="auto"/>
              <w:right w:val="single" w:sz="4" w:space="0" w:color="auto"/>
            </w:tcBorders>
            <w:shd w:val="clear" w:color="auto" w:fill="auto"/>
            <w:vAlign w:val="center"/>
          </w:tcPr>
          <w:p w:rsidR="00414766" w:rsidRPr="00E0507A" w:rsidRDefault="00414766" w:rsidP="00414766">
            <w:pPr>
              <w:jc w:val="center"/>
              <w:rPr>
                <w:b/>
                <w:color w:val="000000"/>
                <w:sz w:val="16"/>
                <w:szCs w:val="16"/>
              </w:rPr>
            </w:pPr>
            <w:r w:rsidRPr="00E0507A">
              <w:rPr>
                <w:b/>
                <w:color w:val="000000"/>
                <w:sz w:val="16"/>
                <w:szCs w:val="16"/>
              </w:rPr>
              <w:t>CNAE</w:t>
            </w:r>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4766" w:rsidRPr="006F553C" w:rsidRDefault="00414766" w:rsidP="00414766">
            <w:pPr>
              <w:jc w:val="center"/>
              <w:rPr>
                <w:b/>
                <w:color w:val="000000"/>
                <w:sz w:val="16"/>
                <w:szCs w:val="16"/>
              </w:rPr>
            </w:pPr>
            <w:r w:rsidRPr="006F553C">
              <w:rPr>
                <w:b/>
                <w:color w:val="000000"/>
                <w:sz w:val="16"/>
                <w:szCs w:val="16"/>
              </w:rPr>
              <w:t>Atividade Produtiva</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4766" w:rsidRPr="006F553C" w:rsidRDefault="00414766" w:rsidP="00414766">
            <w:pPr>
              <w:jc w:val="center"/>
              <w:rPr>
                <w:b/>
                <w:color w:val="000000"/>
                <w:sz w:val="16"/>
                <w:szCs w:val="16"/>
              </w:rPr>
            </w:pPr>
            <w:r w:rsidRPr="006F553C">
              <w:rPr>
                <w:b/>
                <w:color w:val="000000"/>
                <w:sz w:val="16"/>
                <w:szCs w:val="16"/>
              </w:rPr>
              <w:t>Taxonomia Pavitt</w:t>
            </w:r>
          </w:p>
        </w:tc>
        <w:tc>
          <w:tcPr>
            <w:tcW w:w="674" w:type="dxa"/>
            <w:vMerge w:val="restart"/>
            <w:tcBorders>
              <w:top w:val="single" w:sz="4" w:space="0" w:color="auto"/>
              <w:left w:val="single" w:sz="4" w:space="0" w:color="auto"/>
              <w:right w:val="single" w:sz="4" w:space="0" w:color="auto"/>
            </w:tcBorders>
            <w:vAlign w:val="center"/>
          </w:tcPr>
          <w:p w:rsidR="00414766" w:rsidRPr="006F553C" w:rsidRDefault="00414766" w:rsidP="00414766">
            <w:pPr>
              <w:jc w:val="center"/>
              <w:rPr>
                <w:b/>
                <w:color w:val="000000"/>
                <w:sz w:val="16"/>
                <w:szCs w:val="16"/>
              </w:rPr>
            </w:pPr>
            <w:r w:rsidRPr="006F553C">
              <w:rPr>
                <w:b/>
                <w:color w:val="000000"/>
                <w:sz w:val="16"/>
                <w:szCs w:val="16"/>
              </w:rPr>
              <w:t>CNAE</w:t>
            </w:r>
          </w:p>
        </w:tc>
        <w:tc>
          <w:tcPr>
            <w:tcW w:w="2134" w:type="dxa"/>
            <w:vMerge w:val="restart"/>
            <w:tcBorders>
              <w:top w:val="single" w:sz="4" w:space="0" w:color="auto"/>
              <w:left w:val="single" w:sz="4" w:space="0" w:color="auto"/>
              <w:right w:val="single" w:sz="4" w:space="0" w:color="auto"/>
            </w:tcBorders>
            <w:vAlign w:val="center"/>
          </w:tcPr>
          <w:p w:rsidR="00414766" w:rsidRPr="006F553C" w:rsidRDefault="00414766" w:rsidP="00414766">
            <w:pPr>
              <w:jc w:val="center"/>
              <w:rPr>
                <w:b/>
                <w:color w:val="000000"/>
                <w:sz w:val="16"/>
                <w:szCs w:val="16"/>
              </w:rPr>
            </w:pPr>
            <w:r w:rsidRPr="006F553C">
              <w:rPr>
                <w:b/>
                <w:color w:val="000000"/>
                <w:sz w:val="16"/>
                <w:szCs w:val="16"/>
              </w:rPr>
              <w:t>Atividade Produtiva</w:t>
            </w:r>
          </w:p>
        </w:tc>
        <w:tc>
          <w:tcPr>
            <w:tcW w:w="3026" w:type="dxa"/>
            <w:vMerge w:val="restart"/>
            <w:tcBorders>
              <w:top w:val="single" w:sz="4" w:space="0" w:color="auto"/>
              <w:left w:val="single" w:sz="4" w:space="0" w:color="auto"/>
            </w:tcBorders>
            <w:vAlign w:val="center"/>
          </w:tcPr>
          <w:p w:rsidR="00414766" w:rsidRPr="006F553C" w:rsidRDefault="00414766" w:rsidP="00414766">
            <w:pPr>
              <w:jc w:val="center"/>
              <w:rPr>
                <w:b/>
                <w:color w:val="000000"/>
                <w:sz w:val="16"/>
                <w:szCs w:val="16"/>
              </w:rPr>
            </w:pPr>
            <w:r w:rsidRPr="006F553C">
              <w:rPr>
                <w:b/>
                <w:color w:val="000000"/>
                <w:sz w:val="16"/>
                <w:szCs w:val="16"/>
              </w:rPr>
              <w:t>Taxonomia Pavitt</w:t>
            </w:r>
          </w:p>
        </w:tc>
      </w:tr>
      <w:tr w:rsidR="00414766" w:rsidRPr="00684988" w:rsidTr="00414766">
        <w:trPr>
          <w:trHeight w:val="510"/>
        </w:trPr>
        <w:tc>
          <w:tcPr>
            <w:tcW w:w="674" w:type="dxa"/>
            <w:vMerge/>
            <w:tcBorders>
              <w:top w:val="single" w:sz="4" w:space="0" w:color="auto"/>
              <w:left w:val="nil"/>
              <w:bottom w:val="single" w:sz="4" w:space="0" w:color="auto"/>
              <w:right w:val="single" w:sz="4" w:space="0" w:color="auto"/>
            </w:tcBorders>
            <w:vAlign w:val="center"/>
          </w:tcPr>
          <w:p w:rsidR="00414766" w:rsidRPr="00E0507A" w:rsidRDefault="00414766" w:rsidP="00414766">
            <w:pPr>
              <w:rPr>
                <w:color w:val="000000"/>
                <w:sz w:val="16"/>
                <w:szCs w:val="16"/>
                <w:lang w:val="en-US"/>
              </w:rPr>
            </w:pPr>
          </w:p>
        </w:tc>
        <w:tc>
          <w:tcPr>
            <w:tcW w:w="1758" w:type="dxa"/>
            <w:vMerge/>
            <w:tcBorders>
              <w:top w:val="single" w:sz="4" w:space="0" w:color="auto"/>
              <w:left w:val="single" w:sz="4" w:space="0" w:color="auto"/>
              <w:bottom w:val="single" w:sz="4" w:space="0" w:color="auto"/>
              <w:right w:val="single" w:sz="4" w:space="0" w:color="auto"/>
            </w:tcBorders>
            <w:vAlign w:val="center"/>
          </w:tcPr>
          <w:p w:rsidR="00414766" w:rsidRPr="005C6D75" w:rsidRDefault="00414766" w:rsidP="00414766">
            <w:pPr>
              <w:rPr>
                <w:color w:val="000000"/>
                <w:sz w:val="16"/>
                <w:szCs w:val="16"/>
                <w:lang w:val="en-US"/>
              </w:rPr>
            </w:pPr>
          </w:p>
        </w:tc>
        <w:tc>
          <w:tcPr>
            <w:tcW w:w="1443" w:type="dxa"/>
            <w:vMerge/>
            <w:tcBorders>
              <w:top w:val="single" w:sz="4" w:space="0" w:color="auto"/>
              <w:left w:val="single" w:sz="4" w:space="0" w:color="auto"/>
              <w:bottom w:val="single" w:sz="4" w:space="0" w:color="auto"/>
              <w:right w:val="single" w:sz="4" w:space="0" w:color="auto"/>
            </w:tcBorders>
            <w:vAlign w:val="center"/>
          </w:tcPr>
          <w:p w:rsidR="00414766" w:rsidRPr="005C6D75" w:rsidRDefault="00414766" w:rsidP="00414766">
            <w:pPr>
              <w:rPr>
                <w:color w:val="000000"/>
                <w:sz w:val="16"/>
                <w:szCs w:val="16"/>
                <w:lang w:val="en-US"/>
              </w:rPr>
            </w:pPr>
          </w:p>
        </w:tc>
        <w:tc>
          <w:tcPr>
            <w:tcW w:w="674" w:type="dxa"/>
            <w:vMerge/>
            <w:tcBorders>
              <w:left w:val="single" w:sz="4" w:space="0" w:color="auto"/>
              <w:bottom w:val="single" w:sz="4" w:space="0" w:color="auto"/>
              <w:right w:val="single" w:sz="4" w:space="0" w:color="auto"/>
            </w:tcBorders>
            <w:vAlign w:val="center"/>
          </w:tcPr>
          <w:p w:rsidR="00414766" w:rsidRPr="00684988" w:rsidRDefault="00414766" w:rsidP="00414766">
            <w:pPr>
              <w:jc w:val="center"/>
              <w:rPr>
                <w:color w:val="000000"/>
                <w:sz w:val="16"/>
                <w:szCs w:val="16"/>
              </w:rPr>
            </w:pPr>
          </w:p>
        </w:tc>
        <w:tc>
          <w:tcPr>
            <w:tcW w:w="2134" w:type="dxa"/>
            <w:vMerge/>
            <w:tcBorders>
              <w:left w:val="single" w:sz="4" w:space="0" w:color="auto"/>
              <w:bottom w:val="single" w:sz="4" w:space="0" w:color="auto"/>
              <w:right w:val="single" w:sz="4" w:space="0" w:color="auto"/>
            </w:tcBorders>
            <w:vAlign w:val="center"/>
          </w:tcPr>
          <w:p w:rsidR="00414766" w:rsidRPr="00684988" w:rsidRDefault="00414766" w:rsidP="00414766">
            <w:pPr>
              <w:rPr>
                <w:sz w:val="14"/>
                <w:szCs w:val="14"/>
              </w:rPr>
            </w:pPr>
          </w:p>
        </w:tc>
        <w:tc>
          <w:tcPr>
            <w:tcW w:w="3026" w:type="dxa"/>
            <w:vMerge/>
            <w:tcBorders>
              <w:left w:val="single" w:sz="4" w:space="0" w:color="auto"/>
              <w:bottom w:val="single" w:sz="4" w:space="0" w:color="auto"/>
            </w:tcBorders>
            <w:vAlign w:val="center"/>
          </w:tcPr>
          <w:p w:rsidR="00414766" w:rsidRPr="00684988" w:rsidRDefault="00414766" w:rsidP="00414766">
            <w:pPr>
              <w:jc w:val="center"/>
              <w:rPr>
                <w:color w:val="000000"/>
                <w:sz w:val="16"/>
                <w:szCs w:val="16"/>
              </w:rPr>
            </w:pPr>
          </w:p>
        </w:tc>
      </w:tr>
      <w:tr w:rsidR="00414766" w:rsidRPr="00684988" w:rsidTr="00414766">
        <w:trPr>
          <w:trHeight w:val="450"/>
        </w:trPr>
        <w:tc>
          <w:tcPr>
            <w:tcW w:w="674" w:type="dxa"/>
            <w:tcBorders>
              <w:top w:val="nil"/>
              <w:left w:val="nil"/>
              <w:bottom w:val="single" w:sz="4" w:space="0" w:color="auto"/>
              <w:right w:val="single" w:sz="4" w:space="0" w:color="auto"/>
            </w:tcBorders>
            <w:shd w:val="clear" w:color="auto" w:fill="auto"/>
            <w:noWrap/>
            <w:vAlign w:val="center"/>
          </w:tcPr>
          <w:p w:rsidR="00414766" w:rsidRPr="00E0507A" w:rsidRDefault="00414766" w:rsidP="00414766">
            <w:pPr>
              <w:jc w:val="center"/>
              <w:rPr>
                <w:rFonts w:ascii="Georgia" w:hAnsi="Georgia"/>
                <w:color w:val="000000"/>
                <w:sz w:val="12"/>
                <w:szCs w:val="12"/>
              </w:rPr>
            </w:pPr>
            <w:r w:rsidRPr="00E0507A">
              <w:rPr>
                <w:rFonts w:ascii="Georgia" w:hAnsi="Georgia"/>
                <w:color w:val="000000"/>
                <w:sz w:val="12"/>
                <w:szCs w:val="12"/>
              </w:rPr>
              <w:t>151</w:t>
            </w:r>
          </w:p>
        </w:tc>
        <w:tc>
          <w:tcPr>
            <w:tcW w:w="1758" w:type="dxa"/>
            <w:tcBorders>
              <w:top w:val="nil"/>
              <w:left w:val="nil"/>
              <w:bottom w:val="single" w:sz="4" w:space="0" w:color="auto"/>
              <w:right w:val="single" w:sz="4" w:space="0" w:color="auto"/>
            </w:tcBorders>
            <w:shd w:val="clear" w:color="auto" w:fill="auto"/>
            <w:vAlign w:val="center"/>
          </w:tcPr>
          <w:p w:rsidR="00414766" w:rsidRPr="00A90781" w:rsidRDefault="00414766" w:rsidP="00414766">
            <w:pPr>
              <w:rPr>
                <w:rFonts w:ascii="Georgia" w:hAnsi="Georgia"/>
                <w:sz w:val="12"/>
                <w:szCs w:val="12"/>
              </w:rPr>
            </w:pPr>
            <w:r w:rsidRPr="00A90781">
              <w:rPr>
                <w:rFonts w:ascii="Georgia" w:hAnsi="Georgia"/>
                <w:sz w:val="12"/>
                <w:szCs w:val="12"/>
              </w:rPr>
              <w:t>Carne e de pescado</w:t>
            </w:r>
          </w:p>
        </w:tc>
        <w:tc>
          <w:tcPr>
            <w:tcW w:w="1443" w:type="dxa"/>
            <w:tcBorders>
              <w:top w:val="nil"/>
              <w:left w:val="nil"/>
              <w:bottom w:val="single" w:sz="4" w:space="0" w:color="auto"/>
              <w:right w:val="single" w:sz="4" w:space="0" w:color="auto"/>
            </w:tcBorders>
            <w:shd w:val="clear" w:color="auto" w:fill="auto"/>
            <w:noWrap/>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Intensivo em Escala </w:t>
            </w:r>
          </w:p>
        </w:tc>
        <w:tc>
          <w:tcPr>
            <w:tcW w:w="674" w:type="dxa"/>
            <w:tcBorders>
              <w:top w:val="nil"/>
              <w:left w:val="nil"/>
              <w:bottom w:val="single" w:sz="4" w:space="0" w:color="auto"/>
              <w:right w:val="single" w:sz="4" w:space="0" w:color="auto"/>
            </w:tcBorders>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263</w:t>
            </w:r>
          </w:p>
        </w:tc>
        <w:tc>
          <w:tcPr>
            <w:tcW w:w="2134" w:type="dxa"/>
            <w:tcBorders>
              <w:top w:val="nil"/>
              <w:left w:val="nil"/>
              <w:bottom w:val="single" w:sz="4" w:space="0" w:color="auto"/>
              <w:right w:val="single" w:sz="4" w:space="0" w:color="auto"/>
            </w:tcBorders>
            <w:vAlign w:val="center"/>
          </w:tcPr>
          <w:p w:rsidR="00414766" w:rsidRPr="00A90781" w:rsidRDefault="00414766" w:rsidP="00414766">
            <w:pPr>
              <w:rPr>
                <w:rFonts w:ascii="Georgia" w:hAnsi="Georgia"/>
                <w:sz w:val="12"/>
                <w:szCs w:val="12"/>
              </w:rPr>
            </w:pPr>
            <w:r w:rsidRPr="00A90781">
              <w:rPr>
                <w:rFonts w:ascii="Georgia" w:hAnsi="Georgia"/>
                <w:sz w:val="12"/>
                <w:szCs w:val="12"/>
              </w:rPr>
              <w:t xml:space="preserve">Cimento            </w:t>
            </w:r>
          </w:p>
        </w:tc>
        <w:tc>
          <w:tcPr>
            <w:tcW w:w="3026" w:type="dxa"/>
            <w:tcBorders>
              <w:top w:val="nil"/>
              <w:left w:val="nil"/>
              <w:bottom w:val="single" w:sz="4" w:space="0" w:color="auto"/>
            </w:tcBorders>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 Intensivo em Escala </w:t>
            </w:r>
          </w:p>
        </w:tc>
      </w:tr>
      <w:tr w:rsidR="00414766" w:rsidRPr="00684988" w:rsidTr="00414766">
        <w:trPr>
          <w:trHeight w:val="300"/>
        </w:trPr>
        <w:tc>
          <w:tcPr>
            <w:tcW w:w="674" w:type="dxa"/>
            <w:tcBorders>
              <w:top w:val="nil"/>
              <w:left w:val="nil"/>
              <w:bottom w:val="single" w:sz="4" w:space="0" w:color="auto"/>
              <w:right w:val="single" w:sz="4" w:space="0" w:color="auto"/>
            </w:tcBorders>
            <w:shd w:val="clear" w:color="auto" w:fill="auto"/>
            <w:noWrap/>
            <w:vAlign w:val="center"/>
          </w:tcPr>
          <w:p w:rsidR="00414766" w:rsidRPr="00E0507A" w:rsidRDefault="00414766" w:rsidP="00414766">
            <w:pPr>
              <w:jc w:val="center"/>
              <w:rPr>
                <w:rFonts w:ascii="Georgia" w:hAnsi="Georgia"/>
                <w:color w:val="000000"/>
                <w:sz w:val="12"/>
                <w:szCs w:val="12"/>
              </w:rPr>
            </w:pPr>
            <w:r w:rsidRPr="00E0507A">
              <w:rPr>
                <w:rFonts w:ascii="Georgia" w:hAnsi="Georgia"/>
                <w:color w:val="000000"/>
                <w:sz w:val="12"/>
                <w:szCs w:val="12"/>
              </w:rPr>
              <w:t>153</w:t>
            </w:r>
          </w:p>
        </w:tc>
        <w:tc>
          <w:tcPr>
            <w:tcW w:w="1758" w:type="dxa"/>
            <w:tcBorders>
              <w:top w:val="nil"/>
              <w:left w:val="nil"/>
              <w:bottom w:val="single" w:sz="4" w:space="0" w:color="auto"/>
              <w:right w:val="single" w:sz="4" w:space="0" w:color="auto"/>
            </w:tcBorders>
            <w:shd w:val="clear" w:color="auto" w:fill="auto"/>
            <w:vAlign w:val="center"/>
          </w:tcPr>
          <w:p w:rsidR="00414766" w:rsidRPr="00A90781" w:rsidRDefault="00414766" w:rsidP="00414766">
            <w:pPr>
              <w:rPr>
                <w:rFonts w:ascii="Georgia" w:hAnsi="Georgia"/>
                <w:sz w:val="12"/>
                <w:szCs w:val="12"/>
              </w:rPr>
            </w:pPr>
            <w:r w:rsidRPr="00A90781">
              <w:rPr>
                <w:rFonts w:ascii="Georgia" w:hAnsi="Georgia"/>
                <w:sz w:val="12"/>
                <w:szCs w:val="12"/>
              </w:rPr>
              <w:t xml:space="preserve">Óleos vegetais animais            </w:t>
            </w:r>
          </w:p>
        </w:tc>
        <w:tc>
          <w:tcPr>
            <w:tcW w:w="1443" w:type="dxa"/>
            <w:tcBorders>
              <w:top w:val="nil"/>
              <w:left w:val="nil"/>
              <w:bottom w:val="single" w:sz="4" w:space="0" w:color="auto"/>
              <w:right w:val="single" w:sz="4" w:space="0" w:color="auto"/>
            </w:tcBorders>
            <w:shd w:val="clear" w:color="auto" w:fill="auto"/>
            <w:noWrap/>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 Intensivo em Escala </w:t>
            </w:r>
          </w:p>
        </w:tc>
        <w:tc>
          <w:tcPr>
            <w:tcW w:w="674" w:type="dxa"/>
            <w:tcBorders>
              <w:top w:val="nil"/>
              <w:left w:val="nil"/>
              <w:bottom w:val="single" w:sz="4" w:space="0" w:color="auto"/>
              <w:right w:val="single" w:sz="4" w:space="0" w:color="auto"/>
            </w:tcBorders>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271</w:t>
            </w:r>
          </w:p>
        </w:tc>
        <w:tc>
          <w:tcPr>
            <w:tcW w:w="2134" w:type="dxa"/>
            <w:tcBorders>
              <w:top w:val="nil"/>
              <w:left w:val="nil"/>
              <w:bottom w:val="single" w:sz="4" w:space="0" w:color="auto"/>
              <w:right w:val="single" w:sz="4" w:space="0" w:color="auto"/>
            </w:tcBorders>
            <w:vAlign w:val="center"/>
          </w:tcPr>
          <w:p w:rsidR="00414766" w:rsidRPr="00A90781" w:rsidRDefault="00414766" w:rsidP="00414766">
            <w:pPr>
              <w:rPr>
                <w:rFonts w:ascii="Georgia" w:hAnsi="Georgia"/>
                <w:sz w:val="12"/>
                <w:szCs w:val="12"/>
              </w:rPr>
            </w:pPr>
            <w:r w:rsidRPr="00A90781">
              <w:rPr>
                <w:rFonts w:ascii="Georgia" w:hAnsi="Georgia"/>
                <w:sz w:val="12"/>
                <w:szCs w:val="12"/>
              </w:rPr>
              <w:t xml:space="preserve">Ferro-gusa e ferroligas            </w:t>
            </w:r>
          </w:p>
        </w:tc>
        <w:tc>
          <w:tcPr>
            <w:tcW w:w="3026" w:type="dxa"/>
            <w:tcBorders>
              <w:top w:val="nil"/>
              <w:left w:val="nil"/>
              <w:bottom w:val="single" w:sz="4" w:space="0" w:color="auto"/>
            </w:tcBorders>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 Intensivo em Escala </w:t>
            </w:r>
          </w:p>
        </w:tc>
      </w:tr>
      <w:tr w:rsidR="00414766" w:rsidRPr="00684988" w:rsidTr="00414766">
        <w:trPr>
          <w:trHeight w:val="300"/>
        </w:trPr>
        <w:tc>
          <w:tcPr>
            <w:tcW w:w="674" w:type="dxa"/>
            <w:tcBorders>
              <w:top w:val="nil"/>
              <w:left w:val="nil"/>
              <w:bottom w:val="single" w:sz="4" w:space="0" w:color="auto"/>
              <w:right w:val="single" w:sz="4" w:space="0" w:color="auto"/>
            </w:tcBorders>
            <w:shd w:val="clear" w:color="auto" w:fill="auto"/>
            <w:noWrap/>
            <w:vAlign w:val="center"/>
          </w:tcPr>
          <w:p w:rsidR="00414766" w:rsidRPr="00E0507A" w:rsidRDefault="00414766" w:rsidP="00414766">
            <w:pPr>
              <w:jc w:val="center"/>
              <w:rPr>
                <w:rFonts w:ascii="Georgia" w:hAnsi="Georgia"/>
                <w:color w:val="000000"/>
                <w:sz w:val="12"/>
                <w:szCs w:val="12"/>
              </w:rPr>
            </w:pPr>
            <w:r w:rsidRPr="00E0507A">
              <w:rPr>
                <w:rFonts w:ascii="Georgia" w:hAnsi="Georgia"/>
                <w:color w:val="000000"/>
                <w:sz w:val="12"/>
                <w:szCs w:val="12"/>
              </w:rPr>
              <w:t>154</w:t>
            </w:r>
          </w:p>
        </w:tc>
        <w:tc>
          <w:tcPr>
            <w:tcW w:w="1758" w:type="dxa"/>
            <w:tcBorders>
              <w:top w:val="nil"/>
              <w:left w:val="nil"/>
              <w:bottom w:val="single" w:sz="4" w:space="0" w:color="auto"/>
              <w:right w:val="single" w:sz="4" w:space="0" w:color="auto"/>
            </w:tcBorders>
            <w:shd w:val="clear" w:color="auto" w:fill="auto"/>
            <w:vAlign w:val="center"/>
          </w:tcPr>
          <w:p w:rsidR="00414766" w:rsidRPr="00A90781" w:rsidRDefault="00414766" w:rsidP="00414766">
            <w:pPr>
              <w:rPr>
                <w:rFonts w:ascii="Georgia" w:hAnsi="Georgia"/>
                <w:sz w:val="12"/>
                <w:szCs w:val="12"/>
              </w:rPr>
            </w:pPr>
            <w:r w:rsidRPr="00A90781">
              <w:rPr>
                <w:rFonts w:ascii="Georgia" w:hAnsi="Georgia"/>
                <w:sz w:val="12"/>
                <w:szCs w:val="12"/>
              </w:rPr>
              <w:t xml:space="preserve">Laticínios            </w:t>
            </w:r>
          </w:p>
        </w:tc>
        <w:tc>
          <w:tcPr>
            <w:tcW w:w="1443" w:type="dxa"/>
            <w:tcBorders>
              <w:top w:val="nil"/>
              <w:left w:val="nil"/>
              <w:bottom w:val="single" w:sz="4" w:space="0" w:color="auto"/>
              <w:right w:val="single" w:sz="4" w:space="0" w:color="auto"/>
            </w:tcBorders>
            <w:shd w:val="clear" w:color="auto" w:fill="auto"/>
            <w:noWrap/>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 </w:t>
            </w:r>
            <w:r>
              <w:rPr>
                <w:rFonts w:ascii="Georgia" w:hAnsi="Georgia"/>
                <w:color w:val="000000"/>
                <w:sz w:val="12"/>
                <w:szCs w:val="12"/>
              </w:rPr>
              <w:t>Dominados por Fornecedores</w:t>
            </w:r>
            <w:r w:rsidRPr="00A90781">
              <w:rPr>
                <w:rFonts w:ascii="Georgia" w:hAnsi="Georgia"/>
                <w:color w:val="000000"/>
                <w:sz w:val="12"/>
                <w:szCs w:val="12"/>
              </w:rPr>
              <w:t> </w:t>
            </w:r>
          </w:p>
        </w:tc>
        <w:tc>
          <w:tcPr>
            <w:tcW w:w="674" w:type="dxa"/>
            <w:tcBorders>
              <w:top w:val="nil"/>
              <w:left w:val="nil"/>
              <w:bottom w:val="single" w:sz="4" w:space="0" w:color="auto"/>
              <w:right w:val="single" w:sz="4" w:space="0" w:color="auto"/>
            </w:tcBorders>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273</w:t>
            </w:r>
          </w:p>
        </w:tc>
        <w:tc>
          <w:tcPr>
            <w:tcW w:w="2134" w:type="dxa"/>
            <w:tcBorders>
              <w:top w:val="nil"/>
              <w:left w:val="nil"/>
              <w:bottom w:val="single" w:sz="4" w:space="0" w:color="auto"/>
              <w:right w:val="single" w:sz="4" w:space="0" w:color="auto"/>
            </w:tcBorders>
            <w:vAlign w:val="center"/>
          </w:tcPr>
          <w:p w:rsidR="00414766" w:rsidRPr="00A90781" w:rsidRDefault="00414766" w:rsidP="00414766">
            <w:pPr>
              <w:rPr>
                <w:rFonts w:ascii="Georgia" w:hAnsi="Georgia"/>
                <w:sz w:val="12"/>
                <w:szCs w:val="12"/>
              </w:rPr>
            </w:pPr>
            <w:r w:rsidRPr="00A90781">
              <w:rPr>
                <w:rFonts w:ascii="Georgia" w:hAnsi="Georgia"/>
                <w:sz w:val="12"/>
                <w:szCs w:val="12"/>
              </w:rPr>
              <w:t xml:space="preserve">Tubos            </w:t>
            </w:r>
          </w:p>
        </w:tc>
        <w:tc>
          <w:tcPr>
            <w:tcW w:w="3026" w:type="dxa"/>
            <w:tcBorders>
              <w:top w:val="nil"/>
              <w:left w:val="nil"/>
              <w:bottom w:val="single" w:sz="4" w:space="0" w:color="auto"/>
            </w:tcBorders>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 Intensivo em Escala </w:t>
            </w:r>
          </w:p>
        </w:tc>
      </w:tr>
      <w:tr w:rsidR="00414766" w:rsidRPr="00684988" w:rsidTr="00414766">
        <w:trPr>
          <w:trHeight w:val="300"/>
        </w:trPr>
        <w:tc>
          <w:tcPr>
            <w:tcW w:w="674" w:type="dxa"/>
            <w:tcBorders>
              <w:top w:val="nil"/>
              <w:left w:val="nil"/>
              <w:bottom w:val="single" w:sz="4" w:space="0" w:color="auto"/>
              <w:right w:val="single" w:sz="4" w:space="0" w:color="auto"/>
            </w:tcBorders>
            <w:shd w:val="clear" w:color="auto" w:fill="auto"/>
            <w:noWrap/>
            <w:vAlign w:val="center"/>
          </w:tcPr>
          <w:p w:rsidR="00414766" w:rsidRPr="00E0507A" w:rsidRDefault="00414766" w:rsidP="00414766">
            <w:pPr>
              <w:jc w:val="center"/>
              <w:rPr>
                <w:rFonts w:ascii="Georgia" w:hAnsi="Georgia"/>
                <w:color w:val="000000"/>
                <w:sz w:val="12"/>
                <w:szCs w:val="12"/>
              </w:rPr>
            </w:pPr>
            <w:r w:rsidRPr="00E0507A">
              <w:rPr>
                <w:rFonts w:ascii="Georgia" w:hAnsi="Georgia"/>
                <w:color w:val="000000"/>
                <w:sz w:val="12"/>
                <w:szCs w:val="12"/>
              </w:rPr>
              <w:t>156</w:t>
            </w:r>
          </w:p>
        </w:tc>
        <w:tc>
          <w:tcPr>
            <w:tcW w:w="1758" w:type="dxa"/>
            <w:tcBorders>
              <w:top w:val="nil"/>
              <w:left w:val="nil"/>
              <w:bottom w:val="single" w:sz="4" w:space="0" w:color="auto"/>
              <w:right w:val="single" w:sz="4" w:space="0" w:color="auto"/>
            </w:tcBorders>
            <w:shd w:val="clear" w:color="auto" w:fill="auto"/>
            <w:vAlign w:val="center"/>
          </w:tcPr>
          <w:p w:rsidR="00414766" w:rsidRPr="00A90781" w:rsidRDefault="00414766" w:rsidP="00414766">
            <w:pPr>
              <w:rPr>
                <w:rFonts w:ascii="Georgia" w:hAnsi="Georgia"/>
                <w:sz w:val="12"/>
                <w:szCs w:val="12"/>
              </w:rPr>
            </w:pPr>
            <w:r w:rsidRPr="00A90781">
              <w:rPr>
                <w:rFonts w:ascii="Georgia" w:hAnsi="Georgia"/>
                <w:sz w:val="12"/>
                <w:szCs w:val="12"/>
              </w:rPr>
              <w:t xml:space="preserve">Açúcar            </w:t>
            </w:r>
          </w:p>
        </w:tc>
        <w:tc>
          <w:tcPr>
            <w:tcW w:w="1443" w:type="dxa"/>
            <w:tcBorders>
              <w:top w:val="nil"/>
              <w:left w:val="nil"/>
              <w:bottom w:val="single" w:sz="4" w:space="0" w:color="auto"/>
              <w:right w:val="single" w:sz="4" w:space="0" w:color="auto"/>
            </w:tcBorders>
            <w:shd w:val="clear" w:color="auto" w:fill="auto"/>
            <w:noWrap/>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 Intensivo em Escala </w:t>
            </w:r>
          </w:p>
        </w:tc>
        <w:tc>
          <w:tcPr>
            <w:tcW w:w="674" w:type="dxa"/>
            <w:tcBorders>
              <w:top w:val="nil"/>
              <w:left w:val="nil"/>
              <w:bottom w:val="single" w:sz="4" w:space="0" w:color="auto"/>
              <w:right w:val="single" w:sz="4" w:space="0" w:color="auto"/>
            </w:tcBorders>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274</w:t>
            </w:r>
          </w:p>
        </w:tc>
        <w:tc>
          <w:tcPr>
            <w:tcW w:w="2134" w:type="dxa"/>
            <w:tcBorders>
              <w:top w:val="nil"/>
              <w:left w:val="nil"/>
              <w:bottom w:val="single" w:sz="4" w:space="0" w:color="auto"/>
              <w:right w:val="single" w:sz="4" w:space="0" w:color="auto"/>
            </w:tcBorders>
            <w:vAlign w:val="center"/>
          </w:tcPr>
          <w:p w:rsidR="00414766" w:rsidRPr="00A90781" w:rsidRDefault="00414766" w:rsidP="00414766">
            <w:pPr>
              <w:rPr>
                <w:rFonts w:ascii="Georgia" w:hAnsi="Georgia"/>
                <w:sz w:val="12"/>
                <w:szCs w:val="12"/>
              </w:rPr>
            </w:pPr>
            <w:r w:rsidRPr="00A90781">
              <w:rPr>
                <w:rFonts w:ascii="Georgia" w:hAnsi="Georgia"/>
                <w:sz w:val="12"/>
                <w:szCs w:val="12"/>
              </w:rPr>
              <w:t xml:space="preserve">Metalurgia de  não-ferrosos            </w:t>
            </w:r>
          </w:p>
        </w:tc>
        <w:tc>
          <w:tcPr>
            <w:tcW w:w="3026" w:type="dxa"/>
            <w:tcBorders>
              <w:top w:val="nil"/>
              <w:left w:val="nil"/>
              <w:bottom w:val="single" w:sz="4" w:space="0" w:color="auto"/>
            </w:tcBorders>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Intensivo em Escala  </w:t>
            </w:r>
          </w:p>
        </w:tc>
      </w:tr>
      <w:tr w:rsidR="00414766" w:rsidRPr="00684988" w:rsidTr="00414766">
        <w:trPr>
          <w:trHeight w:val="300"/>
        </w:trPr>
        <w:tc>
          <w:tcPr>
            <w:tcW w:w="674" w:type="dxa"/>
            <w:tcBorders>
              <w:top w:val="nil"/>
              <w:left w:val="nil"/>
              <w:bottom w:val="single" w:sz="4" w:space="0" w:color="auto"/>
              <w:right w:val="single" w:sz="4" w:space="0" w:color="auto"/>
            </w:tcBorders>
            <w:shd w:val="clear" w:color="auto" w:fill="auto"/>
            <w:noWrap/>
            <w:vAlign w:val="center"/>
          </w:tcPr>
          <w:p w:rsidR="00414766" w:rsidRPr="00E0507A" w:rsidRDefault="00414766" w:rsidP="00414766">
            <w:pPr>
              <w:jc w:val="center"/>
              <w:rPr>
                <w:rFonts w:ascii="Georgia" w:hAnsi="Georgia"/>
                <w:color w:val="000000"/>
                <w:sz w:val="12"/>
                <w:szCs w:val="12"/>
              </w:rPr>
            </w:pPr>
            <w:r w:rsidRPr="00E0507A">
              <w:rPr>
                <w:rFonts w:ascii="Georgia" w:hAnsi="Georgia"/>
                <w:color w:val="000000"/>
                <w:sz w:val="12"/>
                <w:szCs w:val="12"/>
              </w:rPr>
              <w:t>157</w:t>
            </w:r>
          </w:p>
        </w:tc>
        <w:tc>
          <w:tcPr>
            <w:tcW w:w="1758" w:type="dxa"/>
            <w:tcBorders>
              <w:top w:val="nil"/>
              <w:left w:val="nil"/>
              <w:bottom w:val="single" w:sz="4" w:space="0" w:color="auto"/>
              <w:right w:val="single" w:sz="4" w:space="0" w:color="auto"/>
            </w:tcBorders>
            <w:shd w:val="clear" w:color="auto" w:fill="auto"/>
            <w:vAlign w:val="center"/>
          </w:tcPr>
          <w:p w:rsidR="00414766" w:rsidRPr="00A90781" w:rsidRDefault="00414766" w:rsidP="00414766">
            <w:pPr>
              <w:rPr>
                <w:rFonts w:ascii="Georgia" w:hAnsi="Georgia"/>
                <w:sz w:val="12"/>
                <w:szCs w:val="12"/>
              </w:rPr>
            </w:pPr>
            <w:r w:rsidRPr="00A90781">
              <w:rPr>
                <w:rFonts w:ascii="Georgia" w:hAnsi="Georgia"/>
                <w:sz w:val="12"/>
                <w:szCs w:val="12"/>
              </w:rPr>
              <w:t xml:space="preserve">Café            </w:t>
            </w:r>
          </w:p>
        </w:tc>
        <w:tc>
          <w:tcPr>
            <w:tcW w:w="1443" w:type="dxa"/>
            <w:tcBorders>
              <w:top w:val="nil"/>
              <w:left w:val="nil"/>
              <w:bottom w:val="single" w:sz="4" w:space="0" w:color="auto"/>
              <w:right w:val="single" w:sz="4" w:space="0" w:color="auto"/>
            </w:tcBorders>
            <w:shd w:val="clear" w:color="auto" w:fill="auto"/>
            <w:noWrap/>
            <w:vAlign w:val="center"/>
          </w:tcPr>
          <w:p w:rsidR="00414766" w:rsidRPr="006379B7" w:rsidRDefault="00414766" w:rsidP="00414766">
            <w:pPr>
              <w:jc w:val="center"/>
              <w:rPr>
                <w:rFonts w:ascii="Georgia" w:hAnsi="Georgia"/>
                <w:color w:val="000000"/>
                <w:sz w:val="12"/>
                <w:szCs w:val="12"/>
              </w:rPr>
            </w:pPr>
            <w:r w:rsidRPr="006379B7">
              <w:rPr>
                <w:rFonts w:ascii="Georgia" w:hAnsi="Georgia"/>
                <w:color w:val="000000"/>
                <w:sz w:val="12"/>
                <w:szCs w:val="12"/>
              </w:rPr>
              <w:t> </w:t>
            </w:r>
            <w:r>
              <w:rPr>
                <w:rFonts w:ascii="Georgia" w:hAnsi="Georgia"/>
                <w:color w:val="000000"/>
                <w:sz w:val="12"/>
                <w:szCs w:val="12"/>
              </w:rPr>
              <w:t>Dominados por fornecedores</w:t>
            </w:r>
            <w:r w:rsidRPr="006379B7">
              <w:rPr>
                <w:rFonts w:ascii="Georgia" w:hAnsi="Georgia"/>
                <w:color w:val="000000"/>
                <w:sz w:val="12"/>
                <w:szCs w:val="12"/>
              </w:rPr>
              <w:t> </w:t>
            </w:r>
          </w:p>
        </w:tc>
        <w:tc>
          <w:tcPr>
            <w:tcW w:w="674" w:type="dxa"/>
            <w:tcBorders>
              <w:top w:val="nil"/>
              <w:left w:val="nil"/>
              <w:bottom w:val="single" w:sz="4" w:space="0" w:color="auto"/>
              <w:right w:val="single" w:sz="4" w:space="0" w:color="auto"/>
            </w:tcBorders>
            <w:vAlign w:val="center"/>
          </w:tcPr>
          <w:p w:rsidR="00414766" w:rsidRPr="006379B7" w:rsidRDefault="00414766" w:rsidP="00414766">
            <w:pPr>
              <w:jc w:val="center"/>
              <w:rPr>
                <w:rFonts w:ascii="Georgia" w:hAnsi="Georgia"/>
                <w:color w:val="000000"/>
                <w:sz w:val="12"/>
                <w:szCs w:val="12"/>
              </w:rPr>
            </w:pPr>
            <w:r w:rsidRPr="006379B7">
              <w:rPr>
                <w:rFonts w:ascii="Georgia" w:hAnsi="Georgia"/>
                <w:color w:val="000000"/>
                <w:sz w:val="12"/>
                <w:szCs w:val="12"/>
              </w:rPr>
              <w:t>289</w:t>
            </w:r>
          </w:p>
        </w:tc>
        <w:tc>
          <w:tcPr>
            <w:tcW w:w="2134" w:type="dxa"/>
            <w:tcBorders>
              <w:top w:val="nil"/>
              <w:left w:val="nil"/>
              <w:bottom w:val="single" w:sz="4" w:space="0" w:color="auto"/>
              <w:right w:val="single" w:sz="4" w:space="0" w:color="auto"/>
            </w:tcBorders>
            <w:vAlign w:val="center"/>
          </w:tcPr>
          <w:p w:rsidR="00414766" w:rsidRPr="006379B7" w:rsidRDefault="00414766" w:rsidP="00414766">
            <w:pPr>
              <w:rPr>
                <w:rFonts w:ascii="Georgia" w:hAnsi="Georgia"/>
                <w:sz w:val="12"/>
                <w:szCs w:val="12"/>
              </w:rPr>
            </w:pPr>
            <w:r w:rsidRPr="006379B7">
              <w:rPr>
                <w:rFonts w:ascii="Georgia" w:hAnsi="Georgia"/>
                <w:sz w:val="12"/>
                <w:szCs w:val="12"/>
              </w:rPr>
              <w:t xml:space="preserve">Produtos diversos de metal            </w:t>
            </w:r>
          </w:p>
        </w:tc>
        <w:tc>
          <w:tcPr>
            <w:tcW w:w="3026" w:type="dxa"/>
            <w:tcBorders>
              <w:top w:val="nil"/>
              <w:left w:val="nil"/>
              <w:bottom w:val="single" w:sz="4" w:space="0" w:color="auto"/>
            </w:tcBorders>
            <w:vAlign w:val="center"/>
          </w:tcPr>
          <w:p w:rsidR="00414766" w:rsidRPr="006379B7" w:rsidRDefault="00414766" w:rsidP="00414766">
            <w:pPr>
              <w:jc w:val="center"/>
              <w:rPr>
                <w:rFonts w:ascii="Georgia" w:hAnsi="Georgia"/>
                <w:color w:val="000000"/>
                <w:sz w:val="12"/>
                <w:szCs w:val="12"/>
              </w:rPr>
            </w:pPr>
            <w:r w:rsidRPr="006379B7">
              <w:rPr>
                <w:rFonts w:ascii="Georgia" w:hAnsi="Georgia"/>
                <w:color w:val="000000"/>
                <w:sz w:val="12"/>
                <w:szCs w:val="12"/>
              </w:rPr>
              <w:t> Fornecedor Especializado</w:t>
            </w:r>
          </w:p>
        </w:tc>
      </w:tr>
      <w:tr w:rsidR="00414766" w:rsidRPr="00684988" w:rsidTr="00414766">
        <w:trPr>
          <w:trHeight w:val="300"/>
        </w:trPr>
        <w:tc>
          <w:tcPr>
            <w:tcW w:w="674" w:type="dxa"/>
            <w:tcBorders>
              <w:top w:val="nil"/>
              <w:left w:val="nil"/>
              <w:bottom w:val="single" w:sz="4" w:space="0" w:color="auto"/>
              <w:right w:val="single" w:sz="4" w:space="0" w:color="auto"/>
            </w:tcBorders>
            <w:shd w:val="clear" w:color="auto" w:fill="auto"/>
            <w:noWrap/>
            <w:vAlign w:val="center"/>
          </w:tcPr>
          <w:p w:rsidR="00414766" w:rsidRPr="00E0507A" w:rsidRDefault="00414766" w:rsidP="00414766">
            <w:pPr>
              <w:jc w:val="center"/>
              <w:rPr>
                <w:rFonts w:ascii="Georgia" w:hAnsi="Georgia"/>
                <w:color w:val="000000"/>
                <w:sz w:val="12"/>
                <w:szCs w:val="12"/>
              </w:rPr>
            </w:pPr>
            <w:r w:rsidRPr="00E0507A">
              <w:rPr>
                <w:rFonts w:ascii="Georgia" w:hAnsi="Georgia"/>
                <w:color w:val="000000"/>
                <w:sz w:val="12"/>
                <w:szCs w:val="12"/>
              </w:rPr>
              <w:t>159</w:t>
            </w:r>
          </w:p>
        </w:tc>
        <w:tc>
          <w:tcPr>
            <w:tcW w:w="1758" w:type="dxa"/>
            <w:tcBorders>
              <w:top w:val="nil"/>
              <w:left w:val="nil"/>
              <w:bottom w:val="single" w:sz="4" w:space="0" w:color="auto"/>
              <w:right w:val="single" w:sz="4" w:space="0" w:color="auto"/>
            </w:tcBorders>
            <w:shd w:val="clear" w:color="auto" w:fill="auto"/>
            <w:vAlign w:val="center"/>
          </w:tcPr>
          <w:p w:rsidR="00414766" w:rsidRPr="00A90781" w:rsidRDefault="00414766" w:rsidP="00414766">
            <w:pPr>
              <w:rPr>
                <w:rFonts w:ascii="Georgia" w:hAnsi="Georgia"/>
                <w:sz w:val="12"/>
                <w:szCs w:val="12"/>
              </w:rPr>
            </w:pPr>
            <w:r w:rsidRPr="00A90781">
              <w:rPr>
                <w:rFonts w:ascii="Georgia" w:hAnsi="Georgia"/>
                <w:sz w:val="12"/>
                <w:szCs w:val="12"/>
              </w:rPr>
              <w:t xml:space="preserve">Bebidas            </w:t>
            </w:r>
          </w:p>
        </w:tc>
        <w:tc>
          <w:tcPr>
            <w:tcW w:w="1443" w:type="dxa"/>
            <w:tcBorders>
              <w:top w:val="nil"/>
              <w:left w:val="nil"/>
              <w:bottom w:val="single" w:sz="4" w:space="0" w:color="auto"/>
              <w:right w:val="single" w:sz="4" w:space="0" w:color="auto"/>
            </w:tcBorders>
            <w:shd w:val="clear" w:color="auto" w:fill="auto"/>
            <w:noWrap/>
            <w:vAlign w:val="center"/>
          </w:tcPr>
          <w:p w:rsidR="00414766" w:rsidRPr="006379B7" w:rsidRDefault="00414766" w:rsidP="00414766">
            <w:pPr>
              <w:jc w:val="center"/>
              <w:rPr>
                <w:rFonts w:ascii="Georgia" w:hAnsi="Georgia"/>
                <w:color w:val="000000"/>
                <w:sz w:val="12"/>
                <w:szCs w:val="12"/>
              </w:rPr>
            </w:pPr>
            <w:r w:rsidRPr="006379B7">
              <w:rPr>
                <w:rFonts w:ascii="Georgia" w:hAnsi="Georgia"/>
                <w:color w:val="000000"/>
                <w:sz w:val="12"/>
                <w:szCs w:val="12"/>
              </w:rPr>
              <w:t> Intensivo em Escala </w:t>
            </w:r>
          </w:p>
        </w:tc>
        <w:tc>
          <w:tcPr>
            <w:tcW w:w="674" w:type="dxa"/>
            <w:tcBorders>
              <w:top w:val="nil"/>
              <w:left w:val="nil"/>
              <w:bottom w:val="single" w:sz="4" w:space="0" w:color="auto"/>
              <w:right w:val="single" w:sz="4" w:space="0" w:color="auto"/>
            </w:tcBorders>
            <w:vAlign w:val="center"/>
          </w:tcPr>
          <w:p w:rsidR="00414766" w:rsidRPr="006379B7" w:rsidRDefault="00414766" w:rsidP="00414766">
            <w:pPr>
              <w:jc w:val="center"/>
              <w:rPr>
                <w:rFonts w:ascii="Georgia" w:hAnsi="Georgia"/>
                <w:color w:val="000000"/>
                <w:sz w:val="12"/>
                <w:szCs w:val="12"/>
              </w:rPr>
            </w:pPr>
            <w:r w:rsidRPr="006379B7">
              <w:rPr>
                <w:rFonts w:ascii="Georgia" w:hAnsi="Georgia"/>
                <w:color w:val="000000"/>
                <w:sz w:val="12"/>
                <w:szCs w:val="12"/>
              </w:rPr>
              <w:t>293</w:t>
            </w:r>
          </w:p>
        </w:tc>
        <w:tc>
          <w:tcPr>
            <w:tcW w:w="2134" w:type="dxa"/>
            <w:tcBorders>
              <w:top w:val="nil"/>
              <w:left w:val="nil"/>
              <w:bottom w:val="single" w:sz="4" w:space="0" w:color="auto"/>
              <w:right w:val="single" w:sz="4" w:space="0" w:color="auto"/>
            </w:tcBorders>
            <w:vAlign w:val="center"/>
          </w:tcPr>
          <w:p w:rsidR="00414766" w:rsidRPr="006379B7" w:rsidRDefault="00414766" w:rsidP="00414766">
            <w:pPr>
              <w:rPr>
                <w:rFonts w:ascii="Georgia" w:hAnsi="Georgia"/>
                <w:sz w:val="12"/>
                <w:szCs w:val="12"/>
              </w:rPr>
            </w:pPr>
            <w:r w:rsidRPr="006379B7">
              <w:rPr>
                <w:rFonts w:ascii="Georgia" w:hAnsi="Georgia"/>
                <w:sz w:val="12"/>
                <w:szCs w:val="12"/>
              </w:rPr>
              <w:t xml:space="preserve">Tratores e M&amp;E p/ agricultura           </w:t>
            </w:r>
          </w:p>
        </w:tc>
        <w:tc>
          <w:tcPr>
            <w:tcW w:w="3026" w:type="dxa"/>
            <w:tcBorders>
              <w:top w:val="nil"/>
              <w:left w:val="nil"/>
              <w:bottom w:val="single" w:sz="4" w:space="0" w:color="auto"/>
            </w:tcBorders>
            <w:vAlign w:val="center"/>
          </w:tcPr>
          <w:p w:rsidR="00414766" w:rsidRPr="006379B7" w:rsidRDefault="00414766" w:rsidP="00414766">
            <w:pPr>
              <w:jc w:val="center"/>
              <w:rPr>
                <w:rFonts w:ascii="Georgia" w:hAnsi="Georgia"/>
                <w:color w:val="000000"/>
                <w:sz w:val="12"/>
                <w:szCs w:val="12"/>
              </w:rPr>
            </w:pPr>
            <w:r>
              <w:rPr>
                <w:rFonts w:ascii="Georgia" w:hAnsi="Georgia"/>
                <w:color w:val="000000"/>
                <w:sz w:val="12"/>
                <w:szCs w:val="12"/>
              </w:rPr>
              <w:t>Intensivos em Escala</w:t>
            </w:r>
          </w:p>
        </w:tc>
      </w:tr>
      <w:tr w:rsidR="00414766" w:rsidRPr="00684988" w:rsidTr="00414766">
        <w:trPr>
          <w:trHeight w:val="300"/>
        </w:trPr>
        <w:tc>
          <w:tcPr>
            <w:tcW w:w="674" w:type="dxa"/>
            <w:tcBorders>
              <w:top w:val="nil"/>
              <w:left w:val="nil"/>
              <w:bottom w:val="single" w:sz="4" w:space="0" w:color="auto"/>
              <w:right w:val="single" w:sz="4" w:space="0" w:color="auto"/>
            </w:tcBorders>
            <w:shd w:val="clear" w:color="auto" w:fill="auto"/>
            <w:noWrap/>
            <w:vAlign w:val="center"/>
          </w:tcPr>
          <w:p w:rsidR="00414766" w:rsidRPr="00E0507A" w:rsidRDefault="00414766" w:rsidP="00414766">
            <w:pPr>
              <w:jc w:val="center"/>
              <w:rPr>
                <w:rFonts w:ascii="Georgia" w:hAnsi="Georgia"/>
                <w:color w:val="000000"/>
                <w:sz w:val="12"/>
                <w:szCs w:val="12"/>
              </w:rPr>
            </w:pPr>
            <w:r w:rsidRPr="00E0507A">
              <w:rPr>
                <w:rFonts w:ascii="Georgia" w:hAnsi="Georgia"/>
                <w:color w:val="000000"/>
                <w:sz w:val="12"/>
                <w:szCs w:val="12"/>
              </w:rPr>
              <w:t>172</w:t>
            </w:r>
          </w:p>
        </w:tc>
        <w:tc>
          <w:tcPr>
            <w:tcW w:w="1758" w:type="dxa"/>
            <w:tcBorders>
              <w:top w:val="nil"/>
              <w:left w:val="nil"/>
              <w:bottom w:val="single" w:sz="4" w:space="0" w:color="auto"/>
              <w:right w:val="single" w:sz="4" w:space="0" w:color="auto"/>
            </w:tcBorders>
            <w:shd w:val="clear" w:color="auto" w:fill="auto"/>
            <w:vAlign w:val="center"/>
          </w:tcPr>
          <w:p w:rsidR="00414766" w:rsidRPr="00A90781" w:rsidRDefault="00414766" w:rsidP="00414766">
            <w:pPr>
              <w:rPr>
                <w:rFonts w:ascii="Georgia" w:hAnsi="Georgia"/>
                <w:sz w:val="12"/>
                <w:szCs w:val="12"/>
              </w:rPr>
            </w:pPr>
            <w:r w:rsidRPr="00A90781">
              <w:rPr>
                <w:rFonts w:ascii="Georgia" w:hAnsi="Georgia"/>
                <w:sz w:val="12"/>
                <w:szCs w:val="12"/>
              </w:rPr>
              <w:t xml:space="preserve">Fiação            </w:t>
            </w:r>
          </w:p>
        </w:tc>
        <w:tc>
          <w:tcPr>
            <w:tcW w:w="1443" w:type="dxa"/>
            <w:tcBorders>
              <w:top w:val="nil"/>
              <w:left w:val="nil"/>
              <w:bottom w:val="single" w:sz="4" w:space="0" w:color="auto"/>
              <w:right w:val="single" w:sz="4" w:space="0" w:color="auto"/>
            </w:tcBorders>
            <w:shd w:val="clear" w:color="auto" w:fill="auto"/>
            <w:noWrap/>
            <w:vAlign w:val="center"/>
          </w:tcPr>
          <w:p w:rsidR="00414766" w:rsidRPr="006379B7" w:rsidRDefault="00414766" w:rsidP="00414766">
            <w:pPr>
              <w:jc w:val="center"/>
              <w:rPr>
                <w:rFonts w:ascii="Georgia" w:hAnsi="Georgia"/>
                <w:color w:val="000000"/>
                <w:sz w:val="12"/>
                <w:szCs w:val="12"/>
              </w:rPr>
            </w:pPr>
            <w:r w:rsidRPr="006379B7">
              <w:rPr>
                <w:rFonts w:ascii="Georgia" w:hAnsi="Georgia"/>
                <w:color w:val="000000"/>
                <w:sz w:val="12"/>
                <w:szCs w:val="12"/>
              </w:rPr>
              <w:t> Intensivo em Escala </w:t>
            </w:r>
          </w:p>
        </w:tc>
        <w:tc>
          <w:tcPr>
            <w:tcW w:w="674" w:type="dxa"/>
            <w:tcBorders>
              <w:top w:val="nil"/>
              <w:left w:val="nil"/>
              <w:bottom w:val="single" w:sz="4" w:space="0" w:color="auto"/>
              <w:right w:val="single" w:sz="4" w:space="0" w:color="auto"/>
            </w:tcBorders>
            <w:vAlign w:val="center"/>
          </w:tcPr>
          <w:p w:rsidR="00414766" w:rsidRPr="006379B7" w:rsidRDefault="00414766" w:rsidP="00414766">
            <w:pPr>
              <w:jc w:val="center"/>
              <w:rPr>
                <w:rFonts w:ascii="Georgia" w:hAnsi="Georgia"/>
                <w:color w:val="000000"/>
                <w:sz w:val="12"/>
                <w:szCs w:val="12"/>
              </w:rPr>
            </w:pPr>
            <w:r w:rsidRPr="006379B7">
              <w:rPr>
                <w:rFonts w:ascii="Georgia" w:hAnsi="Georgia"/>
                <w:color w:val="000000"/>
                <w:sz w:val="12"/>
                <w:szCs w:val="12"/>
              </w:rPr>
              <w:t>294</w:t>
            </w:r>
          </w:p>
        </w:tc>
        <w:tc>
          <w:tcPr>
            <w:tcW w:w="2134" w:type="dxa"/>
            <w:tcBorders>
              <w:top w:val="nil"/>
              <w:left w:val="nil"/>
              <w:bottom w:val="single" w:sz="4" w:space="0" w:color="auto"/>
              <w:right w:val="single" w:sz="4" w:space="0" w:color="auto"/>
            </w:tcBorders>
            <w:vAlign w:val="center"/>
          </w:tcPr>
          <w:p w:rsidR="00414766" w:rsidRPr="006379B7" w:rsidRDefault="00414766" w:rsidP="00414766">
            <w:pPr>
              <w:rPr>
                <w:rFonts w:ascii="Georgia" w:hAnsi="Georgia"/>
                <w:sz w:val="12"/>
                <w:szCs w:val="12"/>
              </w:rPr>
            </w:pPr>
            <w:r w:rsidRPr="006379B7">
              <w:rPr>
                <w:rFonts w:ascii="Georgia" w:hAnsi="Georgia"/>
                <w:sz w:val="12"/>
                <w:szCs w:val="12"/>
              </w:rPr>
              <w:t xml:space="preserve">Máquinas-ferramenta            </w:t>
            </w:r>
          </w:p>
        </w:tc>
        <w:tc>
          <w:tcPr>
            <w:tcW w:w="3026" w:type="dxa"/>
            <w:tcBorders>
              <w:top w:val="nil"/>
              <w:left w:val="nil"/>
              <w:bottom w:val="single" w:sz="4" w:space="0" w:color="auto"/>
            </w:tcBorders>
            <w:vAlign w:val="center"/>
          </w:tcPr>
          <w:p w:rsidR="00414766" w:rsidRDefault="00414766" w:rsidP="00414766">
            <w:pPr>
              <w:jc w:val="center"/>
              <w:rPr>
                <w:rFonts w:ascii="Georgia" w:hAnsi="Georgia"/>
                <w:color w:val="000000"/>
                <w:sz w:val="12"/>
                <w:szCs w:val="12"/>
              </w:rPr>
            </w:pPr>
            <w:r w:rsidRPr="006379B7">
              <w:rPr>
                <w:rFonts w:ascii="Georgia" w:hAnsi="Georgia"/>
                <w:color w:val="000000"/>
                <w:sz w:val="12"/>
                <w:szCs w:val="12"/>
              </w:rPr>
              <w:t> Fornecedor Especializado</w:t>
            </w:r>
          </w:p>
          <w:p w:rsidR="00414766" w:rsidRPr="006379B7" w:rsidRDefault="00414766" w:rsidP="00414766">
            <w:pPr>
              <w:jc w:val="center"/>
              <w:rPr>
                <w:rFonts w:ascii="Georgia" w:hAnsi="Georgia"/>
                <w:color w:val="000000"/>
                <w:sz w:val="12"/>
                <w:szCs w:val="12"/>
              </w:rPr>
            </w:pPr>
          </w:p>
        </w:tc>
      </w:tr>
      <w:tr w:rsidR="00414766" w:rsidRPr="00684988" w:rsidTr="00414766">
        <w:trPr>
          <w:trHeight w:val="324"/>
        </w:trPr>
        <w:tc>
          <w:tcPr>
            <w:tcW w:w="674" w:type="dxa"/>
            <w:tcBorders>
              <w:top w:val="nil"/>
              <w:left w:val="nil"/>
              <w:bottom w:val="single" w:sz="4" w:space="0" w:color="auto"/>
              <w:right w:val="single" w:sz="4" w:space="0" w:color="auto"/>
            </w:tcBorders>
            <w:shd w:val="clear" w:color="auto" w:fill="auto"/>
            <w:noWrap/>
            <w:vAlign w:val="center"/>
          </w:tcPr>
          <w:p w:rsidR="00414766" w:rsidRPr="00E0507A" w:rsidRDefault="00414766" w:rsidP="00414766">
            <w:pPr>
              <w:jc w:val="center"/>
              <w:rPr>
                <w:rFonts w:ascii="Georgia" w:hAnsi="Georgia"/>
                <w:color w:val="000000"/>
                <w:sz w:val="12"/>
                <w:szCs w:val="12"/>
              </w:rPr>
            </w:pPr>
            <w:r w:rsidRPr="00E0507A">
              <w:rPr>
                <w:rFonts w:ascii="Georgia" w:hAnsi="Georgia"/>
                <w:color w:val="000000"/>
                <w:sz w:val="12"/>
                <w:szCs w:val="12"/>
              </w:rPr>
              <w:t>211</w:t>
            </w:r>
          </w:p>
        </w:tc>
        <w:tc>
          <w:tcPr>
            <w:tcW w:w="1758" w:type="dxa"/>
            <w:tcBorders>
              <w:top w:val="nil"/>
              <w:left w:val="nil"/>
              <w:bottom w:val="single" w:sz="4" w:space="0" w:color="auto"/>
              <w:right w:val="single" w:sz="4" w:space="0" w:color="auto"/>
            </w:tcBorders>
            <w:shd w:val="clear" w:color="auto" w:fill="auto"/>
            <w:vAlign w:val="center"/>
          </w:tcPr>
          <w:p w:rsidR="00414766" w:rsidRPr="00A90781" w:rsidRDefault="00414766" w:rsidP="00414766">
            <w:pPr>
              <w:rPr>
                <w:rFonts w:ascii="Georgia" w:hAnsi="Georgia"/>
                <w:sz w:val="12"/>
                <w:szCs w:val="12"/>
              </w:rPr>
            </w:pPr>
            <w:r w:rsidRPr="00A90781">
              <w:rPr>
                <w:rFonts w:ascii="Georgia" w:hAnsi="Georgia"/>
                <w:sz w:val="12"/>
                <w:szCs w:val="12"/>
              </w:rPr>
              <w:t xml:space="preserve">Celulose           </w:t>
            </w:r>
          </w:p>
        </w:tc>
        <w:tc>
          <w:tcPr>
            <w:tcW w:w="1443" w:type="dxa"/>
            <w:tcBorders>
              <w:top w:val="nil"/>
              <w:left w:val="nil"/>
              <w:bottom w:val="single" w:sz="4" w:space="0" w:color="auto"/>
              <w:right w:val="single" w:sz="4" w:space="0" w:color="auto"/>
            </w:tcBorders>
            <w:shd w:val="clear" w:color="auto" w:fill="auto"/>
            <w:noWrap/>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 Intensivo em Escala </w:t>
            </w:r>
          </w:p>
        </w:tc>
        <w:tc>
          <w:tcPr>
            <w:tcW w:w="674" w:type="dxa"/>
            <w:tcBorders>
              <w:top w:val="nil"/>
              <w:left w:val="nil"/>
              <w:bottom w:val="single" w:sz="4" w:space="0" w:color="auto"/>
              <w:right w:val="single" w:sz="4" w:space="0" w:color="auto"/>
            </w:tcBorders>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312</w:t>
            </w:r>
          </w:p>
        </w:tc>
        <w:tc>
          <w:tcPr>
            <w:tcW w:w="2134" w:type="dxa"/>
            <w:tcBorders>
              <w:top w:val="nil"/>
              <w:left w:val="nil"/>
              <w:bottom w:val="single" w:sz="4" w:space="0" w:color="auto"/>
              <w:right w:val="single" w:sz="4" w:space="0" w:color="auto"/>
            </w:tcBorders>
            <w:vAlign w:val="center"/>
          </w:tcPr>
          <w:p w:rsidR="00414766" w:rsidRPr="00A90781" w:rsidRDefault="00414766" w:rsidP="00414766">
            <w:pPr>
              <w:rPr>
                <w:rFonts w:ascii="Georgia" w:hAnsi="Georgia"/>
                <w:sz w:val="12"/>
                <w:szCs w:val="12"/>
              </w:rPr>
            </w:pPr>
            <w:r w:rsidRPr="00A90781">
              <w:rPr>
                <w:rFonts w:ascii="Georgia" w:hAnsi="Georgia"/>
                <w:sz w:val="12"/>
                <w:szCs w:val="12"/>
              </w:rPr>
              <w:t xml:space="preserve">Equip. de energia elétrica            </w:t>
            </w:r>
          </w:p>
        </w:tc>
        <w:tc>
          <w:tcPr>
            <w:tcW w:w="3026" w:type="dxa"/>
            <w:tcBorders>
              <w:top w:val="nil"/>
              <w:left w:val="nil"/>
              <w:bottom w:val="single" w:sz="4" w:space="0" w:color="auto"/>
            </w:tcBorders>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 Intensivo em Escala</w:t>
            </w:r>
          </w:p>
        </w:tc>
      </w:tr>
      <w:tr w:rsidR="00414766" w:rsidRPr="00684988" w:rsidTr="00414766">
        <w:trPr>
          <w:trHeight w:val="300"/>
        </w:trPr>
        <w:tc>
          <w:tcPr>
            <w:tcW w:w="674" w:type="dxa"/>
            <w:tcBorders>
              <w:top w:val="nil"/>
              <w:left w:val="nil"/>
              <w:bottom w:val="single" w:sz="4" w:space="0" w:color="auto"/>
              <w:right w:val="single" w:sz="4" w:space="0" w:color="auto"/>
            </w:tcBorders>
            <w:shd w:val="clear" w:color="auto" w:fill="auto"/>
            <w:noWrap/>
            <w:vAlign w:val="center"/>
          </w:tcPr>
          <w:p w:rsidR="00414766" w:rsidRPr="00E0507A" w:rsidRDefault="00414766" w:rsidP="00414766">
            <w:pPr>
              <w:jc w:val="center"/>
              <w:rPr>
                <w:rFonts w:ascii="Georgia" w:hAnsi="Georgia"/>
                <w:color w:val="000000"/>
                <w:sz w:val="12"/>
                <w:szCs w:val="12"/>
              </w:rPr>
            </w:pPr>
            <w:r w:rsidRPr="00E0507A">
              <w:rPr>
                <w:rFonts w:ascii="Georgia" w:hAnsi="Georgia"/>
                <w:color w:val="000000"/>
                <w:sz w:val="12"/>
                <w:szCs w:val="12"/>
              </w:rPr>
              <w:t>234</w:t>
            </w:r>
          </w:p>
        </w:tc>
        <w:tc>
          <w:tcPr>
            <w:tcW w:w="1758" w:type="dxa"/>
            <w:tcBorders>
              <w:top w:val="nil"/>
              <w:left w:val="nil"/>
              <w:bottom w:val="single" w:sz="4" w:space="0" w:color="auto"/>
              <w:right w:val="single" w:sz="4" w:space="0" w:color="auto"/>
            </w:tcBorders>
            <w:shd w:val="clear" w:color="auto" w:fill="auto"/>
            <w:vAlign w:val="center"/>
          </w:tcPr>
          <w:p w:rsidR="00414766" w:rsidRPr="00A90781" w:rsidRDefault="00414766" w:rsidP="00414766">
            <w:pPr>
              <w:rPr>
                <w:rFonts w:ascii="Georgia" w:hAnsi="Georgia"/>
                <w:sz w:val="12"/>
                <w:szCs w:val="12"/>
              </w:rPr>
            </w:pPr>
            <w:r w:rsidRPr="00A90781">
              <w:rPr>
                <w:rFonts w:ascii="Georgia" w:hAnsi="Georgia"/>
                <w:sz w:val="12"/>
                <w:szCs w:val="12"/>
              </w:rPr>
              <w:t xml:space="preserve">Álcool            </w:t>
            </w:r>
          </w:p>
        </w:tc>
        <w:tc>
          <w:tcPr>
            <w:tcW w:w="1443" w:type="dxa"/>
            <w:tcBorders>
              <w:top w:val="nil"/>
              <w:left w:val="nil"/>
              <w:bottom w:val="single" w:sz="4" w:space="0" w:color="auto"/>
              <w:right w:val="single" w:sz="4" w:space="0" w:color="auto"/>
            </w:tcBorders>
            <w:shd w:val="clear" w:color="auto" w:fill="auto"/>
            <w:noWrap/>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 Intensivo em Escala </w:t>
            </w:r>
          </w:p>
        </w:tc>
        <w:tc>
          <w:tcPr>
            <w:tcW w:w="674" w:type="dxa"/>
            <w:tcBorders>
              <w:top w:val="nil"/>
              <w:left w:val="nil"/>
              <w:bottom w:val="single" w:sz="4" w:space="0" w:color="auto"/>
              <w:right w:val="single" w:sz="4" w:space="0" w:color="auto"/>
            </w:tcBorders>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344</w:t>
            </w:r>
          </w:p>
        </w:tc>
        <w:tc>
          <w:tcPr>
            <w:tcW w:w="2134" w:type="dxa"/>
            <w:tcBorders>
              <w:top w:val="nil"/>
              <w:left w:val="nil"/>
              <w:bottom w:val="single" w:sz="4" w:space="0" w:color="auto"/>
              <w:right w:val="single" w:sz="4" w:space="0" w:color="auto"/>
            </w:tcBorders>
            <w:vAlign w:val="center"/>
          </w:tcPr>
          <w:p w:rsidR="00414766" w:rsidRPr="00A90781" w:rsidRDefault="00414766" w:rsidP="00414766">
            <w:pPr>
              <w:rPr>
                <w:rFonts w:ascii="Georgia" w:hAnsi="Georgia"/>
                <w:sz w:val="12"/>
                <w:szCs w:val="12"/>
              </w:rPr>
            </w:pPr>
            <w:r w:rsidRPr="00A90781">
              <w:rPr>
                <w:rFonts w:ascii="Georgia" w:hAnsi="Georgia"/>
                <w:sz w:val="12"/>
                <w:szCs w:val="12"/>
              </w:rPr>
              <w:t xml:space="preserve">Peças p/veículos            </w:t>
            </w:r>
          </w:p>
        </w:tc>
        <w:tc>
          <w:tcPr>
            <w:tcW w:w="3026" w:type="dxa"/>
            <w:tcBorders>
              <w:top w:val="nil"/>
              <w:left w:val="nil"/>
              <w:bottom w:val="single" w:sz="4" w:space="0" w:color="auto"/>
            </w:tcBorders>
            <w:vAlign w:val="center"/>
          </w:tcPr>
          <w:p w:rsidR="00414766" w:rsidRPr="00A90781" w:rsidRDefault="00414766" w:rsidP="00414766">
            <w:pPr>
              <w:jc w:val="center"/>
              <w:rPr>
                <w:rFonts w:ascii="Georgia" w:hAnsi="Georgia"/>
                <w:color w:val="000000"/>
                <w:sz w:val="12"/>
                <w:szCs w:val="12"/>
              </w:rPr>
            </w:pPr>
            <w:r w:rsidRPr="00A90781">
              <w:rPr>
                <w:rFonts w:ascii="Georgia" w:hAnsi="Georgia"/>
                <w:color w:val="000000"/>
                <w:sz w:val="12"/>
                <w:szCs w:val="12"/>
              </w:rPr>
              <w:t> Intensivo em Escala</w:t>
            </w:r>
          </w:p>
        </w:tc>
      </w:tr>
    </w:tbl>
    <w:p w:rsidR="00692DF9" w:rsidRPr="00DF0435" w:rsidRDefault="00692DF9" w:rsidP="00692DF9">
      <w:pPr>
        <w:rPr>
          <w:sz w:val="16"/>
          <w:szCs w:val="16"/>
        </w:rPr>
      </w:pPr>
      <w:r w:rsidRPr="00DF0435">
        <w:rPr>
          <w:sz w:val="16"/>
          <w:szCs w:val="16"/>
        </w:rPr>
        <w:t xml:space="preserve"> Fonte: Elaboração própria com base em Pavitt (1984) e Campos (2005)</w:t>
      </w:r>
    </w:p>
    <w:p w:rsidR="00692DF9" w:rsidRDefault="00692DF9" w:rsidP="00692DF9">
      <w:pPr>
        <w:spacing w:line="360" w:lineRule="auto"/>
        <w:ind w:firstLine="709"/>
        <w:jc w:val="both"/>
      </w:pPr>
    </w:p>
    <w:p w:rsidR="00692DF9" w:rsidRDefault="00692DF9" w:rsidP="00BD3AC8">
      <w:pPr>
        <w:pStyle w:val="PargrafodaLista"/>
        <w:numPr>
          <w:ilvl w:val="1"/>
          <w:numId w:val="1"/>
        </w:numPr>
        <w:jc w:val="both"/>
        <w:rPr>
          <w:b/>
        </w:rPr>
      </w:pPr>
      <w:r w:rsidRPr="00E7460C">
        <w:rPr>
          <w:b/>
        </w:rPr>
        <w:t>Aprendizagem à Montante</w:t>
      </w:r>
    </w:p>
    <w:p w:rsidR="00692DF9" w:rsidRDefault="00692DF9" w:rsidP="00BD3AC8">
      <w:pPr>
        <w:pStyle w:val="PargrafodaLista"/>
        <w:ind w:left="1069"/>
        <w:jc w:val="both"/>
      </w:pPr>
    </w:p>
    <w:p w:rsidR="00692DF9" w:rsidRDefault="00692DF9" w:rsidP="00BD3AC8">
      <w:pPr>
        <w:pStyle w:val="PargrafodaLista"/>
        <w:ind w:left="0" w:firstLine="709"/>
        <w:contextualSpacing w:val="0"/>
        <w:jc w:val="both"/>
      </w:pPr>
      <w:r>
        <w:t>Nesse padrão, apenas uma forma de aprendizagem mostrou-se acima da média, de maneira que os processos de aprendizagem podem ser caracterizados, quase que exclusivamente pelo “saber quem”, nesse caso, especificamente, sobre os fornecedores.</w:t>
      </w:r>
    </w:p>
    <w:p w:rsidR="00692DF9" w:rsidRDefault="00692DF9" w:rsidP="00BD3AC8">
      <w:pPr>
        <w:pStyle w:val="PargrafodaLista"/>
        <w:ind w:left="0" w:firstLine="709"/>
        <w:contextualSpacing w:val="0"/>
        <w:jc w:val="both"/>
      </w:pPr>
      <w:r>
        <w:t xml:space="preserve">Um olhar mais apurado sobre os gráficos permite dizer, para pelo menos alguns setores, práticas de treinamento e imitação são relevantes. Os esforços de treinamento sugerem da percepção das firmas sobre a necessidade de ampliar a capacitação de seus funcionários como forma de habilitar a empresas a se adaptarem as constantes transformações técnicas, aumentando, assim, as possibilidades da empresa de melhorar seus processos produtivos com inovações incrementais. A imitação sugere esforços à inovações de produto do setor, as quais são, em geral, poucas e de grau de restrito. </w:t>
      </w:r>
    </w:p>
    <w:p w:rsidR="00692DF9" w:rsidRDefault="00692DF9" w:rsidP="00BD3AC8">
      <w:pPr>
        <w:pStyle w:val="PargrafodaLista"/>
        <w:ind w:left="0" w:firstLine="709"/>
        <w:contextualSpacing w:val="0"/>
        <w:jc w:val="both"/>
      </w:pPr>
      <w:r>
        <w:t>Esse é o padrão com o maior número de setores agrupados, (33), o que aponta para a prática de aprendizagem à montante como algo típico de grande parte das firmas nacionais. É composto, mormente, por setores classificados como “dominados por fornecedores”, (tabela 2). Há, contudo, a presença significativa se setores “intensivos em escala”. O grau tecnológico desses “intensivos em escala” ajuda a compreender sua aprendizagem restrita. Seguindo a classificação proposta por Maskell (1996) a grande maioria desses setores enquadram-se na categoria de menor nível tecnológico ou “</w:t>
      </w:r>
      <w:r w:rsidRPr="008752C3">
        <w:rPr>
          <w:i/>
        </w:rPr>
        <w:t>low-technology</w:t>
      </w:r>
      <w:r>
        <w:t>” (ver tabela a seguir).</w:t>
      </w:r>
    </w:p>
    <w:p w:rsidR="00692DF9" w:rsidRDefault="00692DF9" w:rsidP="00BD3AC8">
      <w:pPr>
        <w:pStyle w:val="PargrafodaLista"/>
        <w:ind w:left="0" w:firstLine="709"/>
        <w:contextualSpacing w:val="0"/>
        <w:jc w:val="both"/>
      </w:pPr>
      <w:r>
        <w:rPr>
          <w:noProof/>
        </w:rPr>
        <w:drawing>
          <wp:anchor distT="0" distB="0" distL="114300" distR="114300" simplePos="0" relativeHeight="251659264" behindDoc="0" locked="0" layoutInCell="1" allowOverlap="1">
            <wp:simplePos x="0" y="0"/>
            <wp:positionH relativeFrom="margin">
              <wp:posOffset>-34290</wp:posOffset>
            </wp:positionH>
            <wp:positionV relativeFrom="margin">
              <wp:posOffset>3810</wp:posOffset>
            </wp:positionV>
            <wp:extent cx="1638300" cy="6191250"/>
            <wp:effectExtent l="19050" t="0" r="0" b="0"/>
            <wp:wrapSquare wrapText="bothSides"/>
            <wp:docPr id="1" name="Imagem 2" descr="Figua 2 -P2-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a 2 -P2-final"/>
                    <pic:cNvPicPr>
                      <a:picLocks noChangeAspect="1" noChangeArrowheads="1"/>
                    </pic:cNvPicPr>
                  </pic:nvPicPr>
                  <pic:blipFill>
                    <a:blip r:embed="rId9" cstate="print"/>
                    <a:srcRect/>
                    <a:stretch>
                      <a:fillRect/>
                    </a:stretch>
                  </pic:blipFill>
                  <pic:spPr bwMode="auto">
                    <a:xfrm>
                      <a:off x="0" y="0"/>
                      <a:ext cx="1638300" cy="6191250"/>
                    </a:xfrm>
                    <a:prstGeom prst="rect">
                      <a:avLst/>
                    </a:prstGeom>
                    <a:noFill/>
                    <a:ln w="9525">
                      <a:noFill/>
                      <a:miter lim="800000"/>
                      <a:headEnd/>
                      <a:tailEnd/>
                    </a:ln>
                  </pic:spPr>
                </pic:pic>
              </a:graphicData>
            </a:graphic>
          </wp:anchor>
        </w:drawing>
      </w:r>
      <w:r>
        <w:t>Conforme Pavitt (1984) as contribuições das firmas dominadas por fornecedores às suas inovações de produto e processo são secundárias. São os fornecedores de equipamentos e outros insumos os principais “geradores” das inovações aplicadas nessas firmas. Essa noção está em linha com a os resultados do agrupamento setorial observado nesse padrão. Contudo, da presença de setores intensivos em escala poder-se-ia, teoricamente, esperar esforços internos de aprendizagem (</w:t>
      </w:r>
      <w:r w:rsidRPr="00DC3971">
        <w:rPr>
          <w:i/>
        </w:rPr>
        <w:t>by doing</w:t>
      </w:r>
      <w:r>
        <w:t xml:space="preserve">) mais intensivos. </w:t>
      </w:r>
    </w:p>
    <w:p w:rsidR="00692DF9" w:rsidRDefault="00692DF9" w:rsidP="00BD3AC8">
      <w:pPr>
        <w:pStyle w:val="PargrafodaLista"/>
        <w:ind w:left="0" w:firstLine="709"/>
        <w:contextualSpacing w:val="0"/>
        <w:jc w:val="both"/>
      </w:pPr>
      <w:r>
        <w:t xml:space="preserve">Em resumo, notou-se que o sistema nacional de inovações brasileiro é marcado, quase que exclusivamente, pela “Aprendizagem à Montante” não apenas de setores “dominados por fornecedores”, mas também de “intensivos em escala”. Esse resultado aponta especialmente para os casos dos setores ‘intensivos em produção’ agrupados como um provável foco específico do elemento de passividade inovativa do sistema nacional de inovações brasileiro, identificado por autores </w:t>
      </w:r>
      <w:r w:rsidRPr="009A0DD9">
        <w:t xml:space="preserve">como Viotti (2002) </w:t>
      </w:r>
      <w:r>
        <w:t xml:space="preserve">caracterizada pela freqüência de práticas de “absorção de tecnologia externa”.  </w:t>
      </w:r>
    </w:p>
    <w:p w:rsidR="00692DF9" w:rsidRDefault="00692DF9" w:rsidP="00692DF9">
      <w:pPr>
        <w:pStyle w:val="PargrafodaLista"/>
        <w:spacing w:line="360" w:lineRule="auto"/>
        <w:ind w:left="0" w:firstLine="709"/>
        <w:contextualSpacing w:val="0"/>
        <w:jc w:val="both"/>
      </w:pPr>
    </w:p>
    <w:p w:rsidR="00692DF9" w:rsidRDefault="00692DF9" w:rsidP="00692DF9">
      <w:pPr>
        <w:pStyle w:val="PargrafodaLista"/>
        <w:spacing w:line="360" w:lineRule="auto"/>
        <w:ind w:left="0" w:firstLine="709"/>
        <w:contextualSpacing w:val="0"/>
        <w:jc w:val="both"/>
      </w:pPr>
    </w:p>
    <w:p w:rsidR="00692DF9" w:rsidRDefault="00692DF9" w:rsidP="00692DF9">
      <w:pPr>
        <w:pStyle w:val="PargrafodaLista"/>
        <w:spacing w:line="360" w:lineRule="auto"/>
        <w:ind w:left="0" w:firstLine="709"/>
        <w:contextualSpacing w:val="0"/>
        <w:jc w:val="both"/>
      </w:pPr>
    </w:p>
    <w:p w:rsidR="00692DF9" w:rsidRDefault="00692DF9" w:rsidP="00692DF9">
      <w:pPr>
        <w:pStyle w:val="PargrafodaLista"/>
        <w:spacing w:line="360" w:lineRule="auto"/>
        <w:ind w:left="0" w:firstLine="709"/>
        <w:contextualSpacing w:val="0"/>
        <w:jc w:val="both"/>
      </w:pPr>
    </w:p>
    <w:p w:rsidR="00692DF9" w:rsidRDefault="00692DF9" w:rsidP="00692DF9">
      <w:pPr>
        <w:pStyle w:val="PargrafodaLista"/>
        <w:spacing w:line="360" w:lineRule="auto"/>
        <w:ind w:left="0" w:firstLine="709"/>
        <w:contextualSpacing w:val="0"/>
        <w:jc w:val="both"/>
      </w:pPr>
    </w:p>
    <w:p w:rsidR="00692DF9" w:rsidRDefault="00692DF9" w:rsidP="00692DF9">
      <w:pPr>
        <w:pStyle w:val="PargrafodaLista"/>
        <w:spacing w:line="360" w:lineRule="auto"/>
        <w:ind w:left="0" w:firstLine="709"/>
        <w:contextualSpacing w:val="0"/>
        <w:jc w:val="both"/>
      </w:pPr>
    </w:p>
    <w:p w:rsidR="00692DF9" w:rsidRDefault="00692DF9" w:rsidP="00692DF9">
      <w:pPr>
        <w:pStyle w:val="PargrafodaLista"/>
        <w:spacing w:line="360" w:lineRule="auto"/>
        <w:ind w:left="0" w:firstLine="709"/>
        <w:contextualSpacing w:val="0"/>
        <w:jc w:val="both"/>
      </w:pPr>
    </w:p>
    <w:p w:rsidR="00692DF9" w:rsidRDefault="00692DF9" w:rsidP="00692DF9">
      <w:pPr>
        <w:pStyle w:val="PargrafodaLista"/>
        <w:spacing w:line="360" w:lineRule="auto"/>
        <w:ind w:left="0" w:firstLine="709"/>
        <w:contextualSpacing w:val="0"/>
        <w:jc w:val="both"/>
      </w:pPr>
    </w:p>
    <w:p w:rsidR="00692DF9" w:rsidRDefault="00692DF9" w:rsidP="00692DF9">
      <w:pPr>
        <w:pStyle w:val="PargrafodaLista"/>
        <w:spacing w:line="360" w:lineRule="auto"/>
        <w:ind w:left="0" w:firstLine="709"/>
        <w:contextualSpacing w:val="0"/>
        <w:jc w:val="both"/>
      </w:pPr>
    </w:p>
    <w:p w:rsidR="00692DF9" w:rsidRDefault="00692DF9" w:rsidP="00692DF9">
      <w:pPr>
        <w:pStyle w:val="PargrafodaLista"/>
        <w:spacing w:line="360" w:lineRule="auto"/>
        <w:ind w:left="0" w:firstLine="709"/>
        <w:contextualSpacing w:val="0"/>
        <w:jc w:val="both"/>
      </w:pPr>
    </w:p>
    <w:p w:rsidR="00692DF9" w:rsidRDefault="00692DF9" w:rsidP="00692DF9">
      <w:pPr>
        <w:pStyle w:val="PargrafodaLista"/>
        <w:spacing w:line="360" w:lineRule="auto"/>
        <w:ind w:left="0" w:firstLine="709"/>
        <w:contextualSpacing w:val="0"/>
        <w:jc w:val="both"/>
      </w:pPr>
    </w:p>
    <w:p w:rsidR="00692DF9" w:rsidRDefault="00692DF9" w:rsidP="00692DF9">
      <w:pPr>
        <w:pStyle w:val="PargrafodaLista"/>
        <w:spacing w:line="360" w:lineRule="auto"/>
        <w:ind w:left="0" w:firstLine="709"/>
        <w:contextualSpacing w:val="0"/>
        <w:jc w:val="both"/>
      </w:pPr>
    </w:p>
    <w:p w:rsidR="00414766" w:rsidRDefault="00414766" w:rsidP="00692DF9">
      <w:pPr>
        <w:pStyle w:val="PargrafodaLista"/>
        <w:spacing w:line="360" w:lineRule="auto"/>
        <w:ind w:left="0" w:firstLine="709"/>
        <w:contextualSpacing w:val="0"/>
        <w:jc w:val="both"/>
      </w:pPr>
    </w:p>
    <w:p w:rsidR="00414766" w:rsidRDefault="00414766" w:rsidP="00692DF9">
      <w:pPr>
        <w:pStyle w:val="PargrafodaLista"/>
        <w:spacing w:line="360" w:lineRule="auto"/>
        <w:ind w:left="0" w:firstLine="709"/>
        <w:contextualSpacing w:val="0"/>
        <w:jc w:val="both"/>
      </w:pPr>
    </w:p>
    <w:p w:rsidR="00414766" w:rsidRDefault="00414766" w:rsidP="00692DF9">
      <w:pPr>
        <w:pStyle w:val="PargrafodaLista"/>
        <w:spacing w:line="360" w:lineRule="auto"/>
        <w:ind w:left="0" w:firstLine="709"/>
        <w:contextualSpacing w:val="0"/>
        <w:jc w:val="both"/>
      </w:pPr>
    </w:p>
    <w:p w:rsidR="00414766" w:rsidRDefault="00414766" w:rsidP="00692DF9">
      <w:pPr>
        <w:pStyle w:val="PargrafodaLista"/>
        <w:spacing w:line="360" w:lineRule="auto"/>
        <w:ind w:left="0" w:firstLine="709"/>
        <w:contextualSpacing w:val="0"/>
        <w:jc w:val="both"/>
      </w:pPr>
    </w:p>
    <w:p w:rsidR="00692DF9" w:rsidRDefault="00692DF9" w:rsidP="00692DF9">
      <w:pPr>
        <w:pStyle w:val="PargrafodaLista"/>
        <w:spacing w:line="360" w:lineRule="auto"/>
        <w:ind w:left="0" w:firstLine="709"/>
        <w:contextualSpacing w:val="0"/>
        <w:jc w:val="both"/>
      </w:pPr>
    </w:p>
    <w:p w:rsidR="00692DF9" w:rsidRDefault="00692DF9" w:rsidP="00692DF9">
      <w:pPr>
        <w:spacing w:line="360" w:lineRule="auto"/>
        <w:ind w:firstLine="709"/>
        <w:jc w:val="both"/>
      </w:pPr>
    </w:p>
    <w:p w:rsidR="00692DF9" w:rsidRPr="00E0507A" w:rsidRDefault="00692DF9" w:rsidP="00692DF9">
      <w:r w:rsidRPr="00E0507A">
        <w:t xml:space="preserve">Tabela </w:t>
      </w:r>
      <w:r>
        <w:t>2</w:t>
      </w:r>
      <w:r w:rsidRPr="00E0507A">
        <w:t>: Setores Intensivos em Aprendizagem à Montante: taxonomia Pavitt</w:t>
      </w:r>
      <w:r>
        <w:t xml:space="preserve"> relacionada</w:t>
      </w:r>
      <w:r w:rsidRPr="00E0507A">
        <w:t>.</w:t>
      </w:r>
    </w:p>
    <w:tbl>
      <w:tblPr>
        <w:tblW w:w="0" w:type="auto"/>
        <w:jc w:val="center"/>
        <w:tblCellMar>
          <w:left w:w="70" w:type="dxa"/>
          <w:right w:w="70" w:type="dxa"/>
        </w:tblCellMar>
        <w:tblLook w:val="04A0"/>
      </w:tblPr>
      <w:tblGrid>
        <w:gridCol w:w="594"/>
        <w:gridCol w:w="2323"/>
        <w:gridCol w:w="1709"/>
        <w:gridCol w:w="594"/>
        <w:gridCol w:w="2906"/>
        <w:gridCol w:w="1652"/>
      </w:tblGrid>
      <w:tr w:rsidR="00EF7ABC" w:rsidRPr="00A90781" w:rsidTr="001A6AC5">
        <w:trPr>
          <w:trHeight w:val="300"/>
          <w:jc w:val="center"/>
        </w:trPr>
        <w:tc>
          <w:tcPr>
            <w:tcW w:w="0" w:type="auto"/>
            <w:vMerge w:val="restart"/>
            <w:tcBorders>
              <w:top w:val="single" w:sz="4" w:space="0" w:color="auto"/>
              <w:left w:val="nil"/>
              <w:bottom w:val="single" w:sz="4" w:space="0" w:color="auto"/>
              <w:right w:val="single" w:sz="4" w:space="0" w:color="auto"/>
            </w:tcBorders>
            <w:shd w:val="clear" w:color="auto" w:fill="auto"/>
            <w:vAlign w:val="center"/>
          </w:tcPr>
          <w:p w:rsidR="00692DF9" w:rsidRPr="00A90781" w:rsidRDefault="00692DF9" w:rsidP="001A6AC5">
            <w:pPr>
              <w:jc w:val="center"/>
              <w:rPr>
                <w:b/>
                <w:color w:val="000000"/>
                <w:sz w:val="16"/>
                <w:szCs w:val="16"/>
              </w:rPr>
            </w:pPr>
            <w:r w:rsidRPr="00A90781">
              <w:rPr>
                <w:b/>
                <w:color w:val="000000"/>
                <w:sz w:val="16"/>
                <w:szCs w:val="16"/>
              </w:rPr>
              <w:t>CNAE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2DF9" w:rsidRPr="00A90781" w:rsidRDefault="00692DF9" w:rsidP="001A6AC5">
            <w:pPr>
              <w:jc w:val="center"/>
              <w:rPr>
                <w:b/>
                <w:color w:val="000000"/>
                <w:sz w:val="16"/>
                <w:szCs w:val="16"/>
              </w:rPr>
            </w:pPr>
            <w:r w:rsidRPr="00A90781">
              <w:rPr>
                <w:b/>
                <w:color w:val="000000"/>
                <w:sz w:val="16"/>
                <w:szCs w:val="16"/>
              </w:rPr>
              <w:t>Atividade Produtiva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2DF9" w:rsidRPr="00A90781" w:rsidRDefault="00692DF9" w:rsidP="001A6AC5">
            <w:pPr>
              <w:jc w:val="center"/>
              <w:rPr>
                <w:b/>
                <w:color w:val="000000"/>
                <w:sz w:val="16"/>
                <w:szCs w:val="16"/>
              </w:rPr>
            </w:pPr>
            <w:r w:rsidRPr="00A90781">
              <w:rPr>
                <w:b/>
                <w:color w:val="000000"/>
                <w:sz w:val="16"/>
                <w:szCs w:val="16"/>
              </w:rPr>
              <w:t>Taxonomia Pavitt</w:t>
            </w:r>
          </w:p>
        </w:tc>
        <w:tc>
          <w:tcPr>
            <w:tcW w:w="0" w:type="auto"/>
            <w:vMerge w:val="restart"/>
            <w:tcBorders>
              <w:top w:val="single" w:sz="4" w:space="0" w:color="auto"/>
              <w:left w:val="single" w:sz="4" w:space="0" w:color="auto"/>
              <w:right w:val="single" w:sz="4" w:space="0" w:color="auto"/>
            </w:tcBorders>
            <w:vAlign w:val="center"/>
          </w:tcPr>
          <w:p w:rsidR="00692DF9" w:rsidRPr="00A90781" w:rsidRDefault="00692DF9" w:rsidP="001A6AC5">
            <w:pPr>
              <w:jc w:val="center"/>
              <w:rPr>
                <w:b/>
                <w:color w:val="000000"/>
                <w:sz w:val="16"/>
                <w:szCs w:val="16"/>
              </w:rPr>
            </w:pPr>
            <w:r w:rsidRPr="00A90781">
              <w:rPr>
                <w:b/>
                <w:color w:val="000000"/>
                <w:sz w:val="16"/>
                <w:szCs w:val="16"/>
              </w:rPr>
              <w:t>CNAE</w:t>
            </w:r>
          </w:p>
        </w:tc>
        <w:tc>
          <w:tcPr>
            <w:tcW w:w="0" w:type="auto"/>
            <w:vMerge w:val="restart"/>
            <w:tcBorders>
              <w:top w:val="single" w:sz="4" w:space="0" w:color="auto"/>
              <w:left w:val="single" w:sz="4" w:space="0" w:color="auto"/>
              <w:right w:val="single" w:sz="4" w:space="0" w:color="auto"/>
            </w:tcBorders>
            <w:vAlign w:val="center"/>
          </w:tcPr>
          <w:p w:rsidR="00692DF9" w:rsidRPr="00A90781" w:rsidRDefault="00692DF9" w:rsidP="001A6AC5">
            <w:pPr>
              <w:jc w:val="center"/>
              <w:rPr>
                <w:b/>
                <w:color w:val="000000"/>
                <w:sz w:val="16"/>
                <w:szCs w:val="16"/>
              </w:rPr>
            </w:pPr>
            <w:r w:rsidRPr="00A90781">
              <w:rPr>
                <w:b/>
                <w:color w:val="000000"/>
                <w:sz w:val="16"/>
                <w:szCs w:val="16"/>
              </w:rPr>
              <w:t>Atividade Produtiva</w:t>
            </w:r>
          </w:p>
        </w:tc>
        <w:tc>
          <w:tcPr>
            <w:tcW w:w="0" w:type="auto"/>
            <w:vMerge w:val="restart"/>
            <w:tcBorders>
              <w:top w:val="single" w:sz="4" w:space="0" w:color="auto"/>
              <w:left w:val="single" w:sz="4" w:space="0" w:color="auto"/>
            </w:tcBorders>
            <w:vAlign w:val="center"/>
          </w:tcPr>
          <w:p w:rsidR="00692DF9" w:rsidRPr="00A90781" w:rsidRDefault="00692DF9" w:rsidP="001A6AC5">
            <w:pPr>
              <w:jc w:val="center"/>
              <w:rPr>
                <w:b/>
                <w:color w:val="000000"/>
                <w:sz w:val="16"/>
                <w:szCs w:val="16"/>
              </w:rPr>
            </w:pPr>
            <w:r w:rsidRPr="00A90781">
              <w:rPr>
                <w:b/>
                <w:color w:val="000000"/>
                <w:sz w:val="16"/>
                <w:szCs w:val="16"/>
              </w:rPr>
              <w:t>Taxonomia Pavitt</w:t>
            </w:r>
          </w:p>
        </w:tc>
      </w:tr>
      <w:tr w:rsidR="00EF7ABC" w:rsidRPr="00684988" w:rsidTr="001A6AC5">
        <w:trPr>
          <w:trHeight w:val="510"/>
          <w:jc w:val="center"/>
        </w:trPr>
        <w:tc>
          <w:tcPr>
            <w:tcW w:w="0" w:type="auto"/>
            <w:vMerge/>
            <w:tcBorders>
              <w:top w:val="single" w:sz="4" w:space="0" w:color="auto"/>
              <w:left w:val="nil"/>
              <w:bottom w:val="single" w:sz="4" w:space="0" w:color="auto"/>
              <w:right w:val="single" w:sz="4" w:space="0" w:color="auto"/>
            </w:tcBorders>
            <w:vAlign w:val="center"/>
          </w:tcPr>
          <w:p w:rsidR="00692DF9" w:rsidRPr="00684988" w:rsidRDefault="00692DF9" w:rsidP="001A6AC5">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2DF9" w:rsidRPr="00684988" w:rsidRDefault="00692DF9" w:rsidP="001A6AC5">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2DF9" w:rsidRPr="00684988" w:rsidRDefault="00692DF9" w:rsidP="001A6AC5">
            <w:pPr>
              <w:rPr>
                <w:color w:val="000000"/>
                <w:sz w:val="16"/>
                <w:szCs w:val="16"/>
              </w:rPr>
            </w:pPr>
          </w:p>
        </w:tc>
        <w:tc>
          <w:tcPr>
            <w:tcW w:w="0" w:type="auto"/>
            <w:vMerge/>
            <w:tcBorders>
              <w:left w:val="single" w:sz="4" w:space="0" w:color="auto"/>
              <w:bottom w:val="single" w:sz="4" w:space="0" w:color="auto"/>
              <w:right w:val="single" w:sz="4" w:space="0" w:color="auto"/>
            </w:tcBorders>
            <w:vAlign w:val="center"/>
          </w:tcPr>
          <w:p w:rsidR="00692DF9" w:rsidRPr="00684988" w:rsidRDefault="00692DF9" w:rsidP="001A6AC5">
            <w:pPr>
              <w:rPr>
                <w:color w:val="000000"/>
                <w:sz w:val="16"/>
                <w:szCs w:val="16"/>
              </w:rPr>
            </w:pPr>
          </w:p>
        </w:tc>
        <w:tc>
          <w:tcPr>
            <w:tcW w:w="0" w:type="auto"/>
            <w:vMerge/>
            <w:tcBorders>
              <w:left w:val="single" w:sz="4" w:space="0" w:color="auto"/>
              <w:bottom w:val="single" w:sz="4" w:space="0" w:color="auto"/>
              <w:right w:val="single" w:sz="4" w:space="0" w:color="auto"/>
            </w:tcBorders>
            <w:vAlign w:val="center"/>
          </w:tcPr>
          <w:p w:rsidR="00692DF9" w:rsidRPr="00684988" w:rsidRDefault="00692DF9" w:rsidP="001A6AC5">
            <w:pPr>
              <w:rPr>
                <w:color w:val="000000"/>
                <w:sz w:val="16"/>
                <w:szCs w:val="16"/>
              </w:rPr>
            </w:pPr>
          </w:p>
        </w:tc>
        <w:tc>
          <w:tcPr>
            <w:tcW w:w="0" w:type="auto"/>
            <w:vMerge/>
            <w:tcBorders>
              <w:left w:val="single" w:sz="4" w:space="0" w:color="auto"/>
              <w:bottom w:val="single" w:sz="4" w:space="0" w:color="auto"/>
            </w:tcBorders>
            <w:vAlign w:val="center"/>
          </w:tcPr>
          <w:p w:rsidR="00692DF9" w:rsidRPr="00684988" w:rsidRDefault="00692DF9" w:rsidP="001A6AC5">
            <w:pPr>
              <w:rPr>
                <w:color w:val="000000"/>
                <w:sz w:val="16"/>
                <w:szCs w:val="16"/>
              </w:rPr>
            </w:pPr>
          </w:p>
        </w:tc>
      </w:tr>
      <w:tr w:rsidR="00EF7ABC" w:rsidRPr="006379B7" w:rsidTr="001A6AC5">
        <w:trPr>
          <w:trHeight w:val="300"/>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color w:val="000000"/>
                <w:sz w:val="16"/>
                <w:szCs w:val="16"/>
              </w:rPr>
            </w:pPr>
            <w:r w:rsidRPr="006379B7">
              <w:rPr>
                <w:color w:val="000000"/>
                <w:sz w:val="16"/>
                <w:szCs w:val="16"/>
              </w:rPr>
              <w:t>141</w:t>
            </w:r>
          </w:p>
        </w:tc>
        <w:tc>
          <w:tcPr>
            <w:tcW w:w="0" w:type="auto"/>
            <w:tcBorders>
              <w:top w:val="nil"/>
              <w:left w:val="nil"/>
              <w:bottom w:val="single" w:sz="4" w:space="0" w:color="auto"/>
              <w:right w:val="single" w:sz="4" w:space="0" w:color="auto"/>
            </w:tcBorders>
            <w:shd w:val="clear" w:color="auto" w:fill="auto"/>
            <w:vAlign w:val="center"/>
          </w:tcPr>
          <w:p w:rsidR="00692DF9" w:rsidRPr="006379B7" w:rsidRDefault="00692DF9" w:rsidP="001A6AC5">
            <w:pPr>
              <w:rPr>
                <w:rFonts w:ascii="Georgia" w:hAnsi="Georgia"/>
                <w:sz w:val="12"/>
                <w:szCs w:val="12"/>
              </w:rPr>
            </w:pPr>
            <w:r w:rsidRPr="006379B7">
              <w:rPr>
                <w:rFonts w:ascii="Georgia" w:hAnsi="Georgia"/>
                <w:sz w:val="12"/>
                <w:szCs w:val="12"/>
              </w:rPr>
              <w:t>Extração de pedra, areia e argila</w:t>
            </w:r>
          </w:p>
        </w:tc>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Dominado por fornecedores </w:t>
            </w:r>
          </w:p>
        </w:tc>
        <w:tc>
          <w:tcPr>
            <w:tcW w:w="0" w:type="auto"/>
            <w:tcBorders>
              <w:top w:val="nil"/>
              <w:left w:val="nil"/>
              <w:bottom w:val="single" w:sz="4" w:space="0" w:color="auto"/>
              <w:right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242</w:t>
            </w:r>
          </w:p>
        </w:tc>
        <w:tc>
          <w:tcPr>
            <w:tcW w:w="0" w:type="auto"/>
            <w:tcBorders>
              <w:top w:val="nil"/>
              <w:left w:val="nil"/>
              <w:bottom w:val="single" w:sz="4" w:space="0" w:color="auto"/>
              <w:right w:val="single" w:sz="4" w:space="0" w:color="auto"/>
            </w:tcBorders>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Produtos químicos orgânicos***           </w:t>
            </w:r>
          </w:p>
        </w:tc>
        <w:tc>
          <w:tcPr>
            <w:tcW w:w="0" w:type="auto"/>
            <w:tcBorders>
              <w:top w:val="nil"/>
              <w:left w:val="nil"/>
              <w:bottom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Baseado em Ciência</w:t>
            </w:r>
          </w:p>
        </w:tc>
      </w:tr>
      <w:tr w:rsidR="00EF7ABC" w:rsidRPr="006379B7" w:rsidTr="001A6AC5">
        <w:trPr>
          <w:trHeight w:val="300"/>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color w:val="000000"/>
                <w:sz w:val="16"/>
                <w:szCs w:val="16"/>
              </w:rPr>
            </w:pPr>
            <w:r w:rsidRPr="006379B7">
              <w:rPr>
                <w:color w:val="000000"/>
                <w:sz w:val="16"/>
                <w:szCs w:val="16"/>
              </w:rPr>
              <w:t>142</w:t>
            </w:r>
          </w:p>
        </w:tc>
        <w:tc>
          <w:tcPr>
            <w:tcW w:w="0" w:type="auto"/>
            <w:tcBorders>
              <w:top w:val="nil"/>
              <w:left w:val="nil"/>
              <w:bottom w:val="single" w:sz="4" w:space="0" w:color="auto"/>
              <w:right w:val="single" w:sz="4" w:space="0" w:color="auto"/>
            </w:tcBorders>
            <w:shd w:val="clear" w:color="auto" w:fill="auto"/>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Extração de outros minerais          </w:t>
            </w:r>
          </w:p>
        </w:tc>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 </w:t>
            </w:r>
          </w:p>
        </w:tc>
        <w:tc>
          <w:tcPr>
            <w:tcW w:w="0" w:type="auto"/>
            <w:tcBorders>
              <w:top w:val="nil"/>
              <w:left w:val="nil"/>
              <w:bottom w:val="single" w:sz="4" w:space="0" w:color="auto"/>
              <w:right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251</w:t>
            </w:r>
          </w:p>
        </w:tc>
        <w:tc>
          <w:tcPr>
            <w:tcW w:w="0" w:type="auto"/>
            <w:tcBorders>
              <w:top w:val="nil"/>
              <w:left w:val="nil"/>
              <w:bottom w:val="single" w:sz="4" w:space="0" w:color="auto"/>
              <w:right w:val="single" w:sz="4" w:space="0" w:color="auto"/>
            </w:tcBorders>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Artigos de borracha            </w:t>
            </w:r>
          </w:p>
        </w:tc>
        <w:tc>
          <w:tcPr>
            <w:tcW w:w="0" w:type="auto"/>
            <w:tcBorders>
              <w:top w:val="nil"/>
              <w:left w:val="nil"/>
              <w:bottom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w:t>
            </w:r>
          </w:p>
        </w:tc>
      </w:tr>
      <w:tr w:rsidR="00EF7ABC" w:rsidRPr="006379B7" w:rsidTr="001A6AC5">
        <w:trPr>
          <w:trHeight w:val="300"/>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color w:val="000000"/>
                <w:sz w:val="16"/>
                <w:szCs w:val="16"/>
              </w:rPr>
            </w:pPr>
            <w:r w:rsidRPr="006379B7">
              <w:rPr>
                <w:color w:val="000000"/>
                <w:sz w:val="16"/>
                <w:szCs w:val="16"/>
              </w:rPr>
              <w:t>155</w:t>
            </w:r>
          </w:p>
        </w:tc>
        <w:tc>
          <w:tcPr>
            <w:tcW w:w="0" w:type="auto"/>
            <w:tcBorders>
              <w:top w:val="nil"/>
              <w:left w:val="nil"/>
              <w:bottom w:val="single" w:sz="4" w:space="0" w:color="auto"/>
              <w:right w:val="single" w:sz="4" w:space="0" w:color="auto"/>
            </w:tcBorders>
            <w:shd w:val="clear" w:color="auto" w:fill="auto"/>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Moagem, fabr. de amiláceos e de rações </w:t>
            </w:r>
          </w:p>
        </w:tc>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 </w:t>
            </w:r>
          </w:p>
        </w:tc>
        <w:tc>
          <w:tcPr>
            <w:tcW w:w="0" w:type="auto"/>
            <w:tcBorders>
              <w:top w:val="nil"/>
              <w:left w:val="nil"/>
              <w:bottom w:val="single" w:sz="4" w:space="0" w:color="auto"/>
              <w:right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252</w:t>
            </w:r>
          </w:p>
        </w:tc>
        <w:tc>
          <w:tcPr>
            <w:tcW w:w="0" w:type="auto"/>
            <w:tcBorders>
              <w:top w:val="nil"/>
              <w:left w:val="nil"/>
              <w:bottom w:val="single" w:sz="4" w:space="0" w:color="auto"/>
              <w:right w:val="single" w:sz="4" w:space="0" w:color="auto"/>
            </w:tcBorders>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Produtos de material plástico            </w:t>
            </w:r>
          </w:p>
        </w:tc>
        <w:tc>
          <w:tcPr>
            <w:tcW w:w="0" w:type="auto"/>
            <w:tcBorders>
              <w:top w:val="nil"/>
              <w:left w:val="nil"/>
              <w:bottom w:val="single" w:sz="4" w:space="0" w:color="auto"/>
            </w:tcBorders>
            <w:vAlign w:val="center"/>
          </w:tcPr>
          <w:p w:rsidR="00692DF9" w:rsidRPr="006379B7" w:rsidRDefault="00692DF9" w:rsidP="001A6AC5">
            <w:pPr>
              <w:jc w:val="center"/>
              <w:rPr>
                <w:rFonts w:ascii="Georgia" w:hAnsi="Georgia"/>
                <w:color w:val="000000"/>
                <w:sz w:val="12"/>
                <w:szCs w:val="12"/>
              </w:rPr>
            </w:pPr>
            <w:r>
              <w:rPr>
                <w:rFonts w:ascii="Georgia" w:hAnsi="Georgia"/>
                <w:color w:val="000000"/>
                <w:sz w:val="12"/>
                <w:szCs w:val="12"/>
              </w:rPr>
              <w:t>Dominados por fornecedores</w:t>
            </w:r>
            <w:r w:rsidRPr="006379B7">
              <w:rPr>
                <w:rFonts w:ascii="Georgia" w:hAnsi="Georgia"/>
                <w:color w:val="000000"/>
                <w:sz w:val="12"/>
                <w:szCs w:val="12"/>
              </w:rPr>
              <w:t> </w:t>
            </w:r>
          </w:p>
        </w:tc>
      </w:tr>
      <w:tr w:rsidR="00EF7ABC" w:rsidRPr="006379B7" w:rsidTr="001A6AC5">
        <w:trPr>
          <w:trHeight w:val="300"/>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color w:val="000000"/>
                <w:sz w:val="16"/>
                <w:szCs w:val="16"/>
              </w:rPr>
            </w:pPr>
            <w:r w:rsidRPr="006379B7">
              <w:rPr>
                <w:color w:val="000000"/>
                <w:sz w:val="16"/>
                <w:szCs w:val="16"/>
              </w:rPr>
              <w:t>158</w:t>
            </w:r>
          </w:p>
        </w:tc>
        <w:tc>
          <w:tcPr>
            <w:tcW w:w="0" w:type="auto"/>
            <w:tcBorders>
              <w:top w:val="nil"/>
              <w:left w:val="nil"/>
              <w:bottom w:val="single" w:sz="4" w:space="0" w:color="auto"/>
              <w:right w:val="single" w:sz="4" w:space="0" w:color="auto"/>
            </w:tcBorders>
            <w:shd w:val="clear" w:color="auto" w:fill="auto"/>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Produtos alimentícios            </w:t>
            </w:r>
          </w:p>
        </w:tc>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 </w:t>
            </w:r>
          </w:p>
        </w:tc>
        <w:tc>
          <w:tcPr>
            <w:tcW w:w="0" w:type="auto"/>
            <w:tcBorders>
              <w:top w:val="nil"/>
              <w:left w:val="nil"/>
              <w:bottom w:val="single" w:sz="4" w:space="0" w:color="auto"/>
              <w:right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261</w:t>
            </w:r>
          </w:p>
        </w:tc>
        <w:tc>
          <w:tcPr>
            <w:tcW w:w="0" w:type="auto"/>
            <w:tcBorders>
              <w:top w:val="nil"/>
              <w:left w:val="nil"/>
              <w:bottom w:val="single" w:sz="4" w:space="0" w:color="auto"/>
              <w:right w:val="single" w:sz="4" w:space="0" w:color="auto"/>
            </w:tcBorders>
            <w:vAlign w:val="center"/>
          </w:tcPr>
          <w:p w:rsidR="00692DF9" w:rsidRPr="00C43646" w:rsidRDefault="00692DF9" w:rsidP="001A6AC5">
            <w:pPr>
              <w:rPr>
                <w:rFonts w:ascii="Georgia" w:hAnsi="Georgia"/>
                <w:sz w:val="12"/>
                <w:szCs w:val="12"/>
              </w:rPr>
            </w:pPr>
            <w:r w:rsidRPr="00C43646">
              <w:rPr>
                <w:rFonts w:ascii="Georgia" w:hAnsi="Georgia"/>
                <w:sz w:val="12"/>
                <w:szCs w:val="12"/>
              </w:rPr>
              <w:t xml:space="preserve">Vidro e produtos do vidro          </w:t>
            </w:r>
          </w:p>
        </w:tc>
        <w:tc>
          <w:tcPr>
            <w:tcW w:w="0" w:type="auto"/>
            <w:tcBorders>
              <w:top w:val="nil"/>
              <w:left w:val="nil"/>
              <w:bottom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w:t>
            </w:r>
          </w:p>
        </w:tc>
      </w:tr>
      <w:tr w:rsidR="00EF7ABC" w:rsidRPr="006379B7" w:rsidTr="001A6AC5">
        <w:trPr>
          <w:trHeight w:val="300"/>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color w:val="000000"/>
                <w:sz w:val="16"/>
                <w:szCs w:val="16"/>
              </w:rPr>
            </w:pPr>
            <w:r w:rsidRPr="006379B7">
              <w:rPr>
                <w:color w:val="000000"/>
                <w:sz w:val="16"/>
                <w:szCs w:val="16"/>
              </w:rPr>
              <w:t>171</w:t>
            </w:r>
          </w:p>
        </w:tc>
        <w:tc>
          <w:tcPr>
            <w:tcW w:w="0" w:type="auto"/>
            <w:tcBorders>
              <w:top w:val="nil"/>
              <w:left w:val="nil"/>
              <w:bottom w:val="single" w:sz="4" w:space="0" w:color="auto"/>
              <w:right w:val="single" w:sz="4" w:space="0" w:color="auto"/>
            </w:tcBorders>
            <w:shd w:val="clear" w:color="auto" w:fill="auto"/>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Fibras têxteis naturais         </w:t>
            </w:r>
          </w:p>
        </w:tc>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 </w:t>
            </w:r>
          </w:p>
        </w:tc>
        <w:tc>
          <w:tcPr>
            <w:tcW w:w="0" w:type="auto"/>
            <w:tcBorders>
              <w:top w:val="nil"/>
              <w:left w:val="nil"/>
              <w:bottom w:val="single" w:sz="4" w:space="0" w:color="auto"/>
              <w:right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263</w:t>
            </w:r>
          </w:p>
        </w:tc>
        <w:tc>
          <w:tcPr>
            <w:tcW w:w="0" w:type="auto"/>
            <w:tcBorders>
              <w:top w:val="nil"/>
              <w:left w:val="nil"/>
              <w:bottom w:val="single" w:sz="4" w:space="0" w:color="auto"/>
              <w:right w:val="single" w:sz="4" w:space="0" w:color="auto"/>
            </w:tcBorders>
            <w:vAlign w:val="center"/>
          </w:tcPr>
          <w:p w:rsidR="00692DF9" w:rsidRPr="00C43646" w:rsidRDefault="00692DF9" w:rsidP="001A6AC5">
            <w:pPr>
              <w:rPr>
                <w:rFonts w:ascii="Georgia" w:hAnsi="Georgia"/>
                <w:sz w:val="12"/>
                <w:szCs w:val="12"/>
              </w:rPr>
            </w:pPr>
            <w:r w:rsidRPr="00C43646">
              <w:rPr>
                <w:rFonts w:ascii="Georgia" w:hAnsi="Georgia"/>
                <w:sz w:val="12"/>
                <w:szCs w:val="12"/>
              </w:rPr>
              <w:t xml:space="preserve">Artefatos de concreto, cimento  e similares            </w:t>
            </w:r>
          </w:p>
        </w:tc>
        <w:tc>
          <w:tcPr>
            <w:tcW w:w="0" w:type="auto"/>
            <w:tcBorders>
              <w:top w:val="nil"/>
              <w:left w:val="nil"/>
              <w:bottom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w:t>
            </w:r>
          </w:p>
        </w:tc>
      </w:tr>
      <w:tr w:rsidR="00EF7ABC" w:rsidRPr="006379B7" w:rsidTr="001A6AC5">
        <w:trPr>
          <w:trHeight w:val="300"/>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color w:val="000000"/>
                <w:sz w:val="16"/>
                <w:szCs w:val="16"/>
              </w:rPr>
            </w:pPr>
            <w:r w:rsidRPr="006379B7">
              <w:rPr>
                <w:color w:val="000000"/>
                <w:sz w:val="16"/>
                <w:szCs w:val="16"/>
              </w:rPr>
              <w:t>175</w:t>
            </w:r>
          </w:p>
        </w:tc>
        <w:tc>
          <w:tcPr>
            <w:tcW w:w="0" w:type="auto"/>
            <w:tcBorders>
              <w:top w:val="nil"/>
              <w:left w:val="nil"/>
              <w:bottom w:val="single" w:sz="4" w:space="0" w:color="auto"/>
              <w:right w:val="single" w:sz="4" w:space="0" w:color="auto"/>
            </w:tcBorders>
            <w:shd w:val="clear" w:color="auto" w:fill="auto"/>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Acabamento em fios e tecidos         </w:t>
            </w:r>
          </w:p>
        </w:tc>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 </w:t>
            </w:r>
          </w:p>
        </w:tc>
        <w:tc>
          <w:tcPr>
            <w:tcW w:w="0" w:type="auto"/>
            <w:tcBorders>
              <w:top w:val="nil"/>
              <w:left w:val="nil"/>
              <w:bottom w:val="single" w:sz="4" w:space="0" w:color="auto"/>
              <w:right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264</w:t>
            </w:r>
          </w:p>
        </w:tc>
        <w:tc>
          <w:tcPr>
            <w:tcW w:w="0" w:type="auto"/>
            <w:tcBorders>
              <w:top w:val="nil"/>
              <w:left w:val="nil"/>
              <w:bottom w:val="single" w:sz="4" w:space="0" w:color="auto"/>
              <w:right w:val="single" w:sz="4" w:space="0" w:color="auto"/>
            </w:tcBorders>
            <w:vAlign w:val="center"/>
          </w:tcPr>
          <w:p w:rsidR="00692DF9" w:rsidRPr="00C43646" w:rsidRDefault="00692DF9" w:rsidP="001A6AC5">
            <w:pPr>
              <w:rPr>
                <w:rFonts w:ascii="Georgia" w:hAnsi="Georgia"/>
                <w:sz w:val="12"/>
                <w:szCs w:val="12"/>
              </w:rPr>
            </w:pPr>
            <w:r w:rsidRPr="00C43646">
              <w:rPr>
                <w:rFonts w:ascii="Georgia" w:hAnsi="Georgia"/>
                <w:sz w:val="12"/>
                <w:szCs w:val="12"/>
              </w:rPr>
              <w:t xml:space="preserve">Produtos cerâmicos            </w:t>
            </w:r>
          </w:p>
        </w:tc>
        <w:tc>
          <w:tcPr>
            <w:tcW w:w="0" w:type="auto"/>
            <w:tcBorders>
              <w:top w:val="nil"/>
              <w:left w:val="nil"/>
              <w:bottom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w:t>
            </w:r>
          </w:p>
        </w:tc>
      </w:tr>
      <w:tr w:rsidR="00EF7ABC" w:rsidRPr="006379B7" w:rsidTr="001A6AC5">
        <w:trPr>
          <w:trHeight w:val="450"/>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color w:val="000000"/>
                <w:sz w:val="16"/>
                <w:szCs w:val="16"/>
              </w:rPr>
            </w:pPr>
            <w:r w:rsidRPr="006379B7">
              <w:rPr>
                <w:color w:val="000000"/>
                <w:sz w:val="16"/>
                <w:szCs w:val="16"/>
              </w:rPr>
              <w:t>176</w:t>
            </w:r>
          </w:p>
        </w:tc>
        <w:tc>
          <w:tcPr>
            <w:tcW w:w="0" w:type="auto"/>
            <w:tcBorders>
              <w:top w:val="nil"/>
              <w:left w:val="nil"/>
              <w:bottom w:val="single" w:sz="4" w:space="0" w:color="auto"/>
              <w:right w:val="single" w:sz="4" w:space="0" w:color="auto"/>
            </w:tcBorders>
            <w:shd w:val="clear" w:color="auto" w:fill="auto"/>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Artefatos de tecidos e de outros têxteis            </w:t>
            </w:r>
          </w:p>
        </w:tc>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 </w:t>
            </w:r>
          </w:p>
        </w:tc>
        <w:tc>
          <w:tcPr>
            <w:tcW w:w="0" w:type="auto"/>
            <w:tcBorders>
              <w:top w:val="nil"/>
              <w:left w:val="nil"/>
              <w:bottom w:val="single" w:sz="4" w:space="0" w:color="auto"/>
              <w:right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269</w:t>
            </w:r>
          </w:p>
        </w:tc>
        <w:tc>
          <w:tcPr>
            <w:tcW w:w="0" w:type="auto"/>
            <w:tcBorders>
              <w:top w:val="nil"/>
              <w:left w:val="nil"/>
              <w:bottom w:val="single" w:sz="4" w:space="0" w:color="auto"/>
              <w:right w:val="single" w:sz="4" w:space="0" w:color="auto"/>
            </w:tcBorders>
            <w:vAlign w:val="center"/>
          </w:tcPr>
          <w:p w:rsidR="00692DF9" w:rsidRPr="00C43646" w:rsidRDefault="00692DF9" w:rsidP="001A6AC5">
            <w:pPr>
              <w:rPr>
                <w:rFonts w:ascii="Georgia" w:hAnsi="Georgia"/>
                <w:sz w:val="12"/>
                <w:szCs w:val="12"/>
              </w:rPr>
            </w:pPr>
            <w:r w:rsidRPr="00C43646">
              <w:rPr>
                <w:rFonts w:ascii="Georgia" w:hAnsi="Georgia"/>
                <w:sz w:val="12"/>
                <w:szCs w:val="12"/>
              </w:rPr>
              <w:t xml:space="preserve">Aparelhamento de pedra, fabr. de cal etc..        </w:t>
            </w:r>
          </w:p>
        </w:tc>
        <w:tc>
          <w:tcPr>
            <w:tcW w:w="0" w:type="auto"/>
            <w:tcBorders>
              <w:top w:val="nil"/>
              <w:left w:val="nil"/>
              <w:bottom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w:t>
            </w:r>
          </w:p>
        </w:tc>
      </w:tr>
      <w:tr w:rsidR="00EF7ABC" w:rsidRPr="006379B7" w:rsidTr="001A6AC5">
        <w:trPr>
          <w:trHeight w:val="300"/>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color w:val="000000"/>
                <w:sz w:val="16"/>
                <w:szCs w:val="16"/>
              </w:rPr>
            </w:pPr>
            <w:r w:rsidRPr="006379B7">
              <w:rPr>
                <w:color w:val="000000"/>
                <w:sz w:val="16"/>
                <w:szCs w:val="16"/>
              </w:rPr>
              <w:t>177</w:t>
            </w:r>
          </w:p>
        </w:tc>
        <w:tc>
          <w:tcPr>
            <w:tcW w:w="0" w:type="auto"/>
            <w:tcBorders>
              <w:top w:val="nil"/>
              <w:left w:val="nil"/>
              <w:bottom w:val="single" w:sz="4" w:space="0" w:color="auto"/>
              <w:right w:val="single" w:sz="4" w:space="0" w:color="auto"/>
            </w:tcBorders>
            <w:shd w:val="clear" w:color="auto" w:fill="auto"/>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Tecidos de malha            </w:t>
            </w:r>
          </w:p>
        </w:tc>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 </w:t>
            </w:r>
          </w:p>
        </w:tc>
        <w:tc>
          <w:tcPr>
            <w:tcW w:w="0" w:type="auto"/>
            <w:tcBorders>
              <w:top w:val="nil"/>
              <w:left w:val="nil"/>
              <w:bottom w:val="single" w:sz="4" w:space="0" w:color="auto"/>
              <w:right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275</w:t>
            </w:r>
          </w:p>
        </w:tc>
        <w:tc>
          <w:tcPr>
            <w:tcW w:w="0" w:type="auto"/>
            <w:tcBorders>
              <w:top w:val="nil"/>
              <w:left w:val="nil"/>
              <w:bottom w:val="single" w:sz="4" w:space="0" w:color="auto"/>
              <w:right w:val="single" w:sz="4" w:space="0" w:color="auto"/>
            </w:tcBorders>
            <w:vAlign w:val="center"/>
          </w:tcPr>
          <w:p w:rsidR="00692DF9" w:rsidRPr="00C43646" w:rsidRDefault="00692DF9" w:rsidP="001A6AC5">
            <w:pPr>
              <w:rPr>
                <w:rFonts w:ascii="Georgia" w:hAnsi="Georgia"/>
                <w:sz w:val="12"/>
                <w:szCs w:val="12"/>
              </w:rPr>
            </w:pPr>
            <w:r w:rsidRPr="00C43646">
              <w:rPr>
                <w:rFonts w:ascii="Georgia" w:hAnsi="Georgia"/>
                <w:sz w:val="12"/>
                <w:szCs w:val="12"/>
              </w:rPr>
              <w:t xml:space="preserve">Fundição**          </w:t>
            </w:r>
          </w:p>
        </w:tc>
        <w:tc>
          <w:tcPr>
            <w:tcW w:w="0" w:type="auto"/>
            <w:tcBorders>
              <w:top w:val="nil"/>
              <w:left w:val="nil"/>
              <w:bottom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Intensivo em Escala</w:t>
            </w:r>
          </w:p>
        </w:tc>
      </w:tr>
      <w:tr w:rsidR="00EF7ABC" w:rsidRPr="006379B7" w:rsidTr="001A6AC5">
        <w:trPr>
          <w:trHeight w:val="450"/>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color w:val="000000"/>
                <w:sz w:val="16"/>
                <w:szCs w:val="16"/>
              </w:rPr>
            </w:pPr>
            <w:r w:rsidRPr="006379B7">
              <w:rPr>
                <w:color w:val="000000"/>
                <w:sz w:val="16"/>
                <w:szCs w:val="16"/>
              </w:rPr>
              <w:t>181</w:t>
            </w:r>
          </w:p>
        </w:tc>
        <w:tc>
          <w:tcPr>
            <w:tcW w:w="0" w:type="auto"/>
            <w:tcBorders>
              <w:top w:val="nil"/>
              <w:left w:val="nil"/>
              <w:bottom w:val="single" w:sz="4" w:space="0" w:color="auto"/>
              <w:right w:val="single" w:sz="4" w:space="0" w:color="auto"/>
            </w:tcBorders>
            <w:shd w:val="clear" w:color="auto" w:fill="auto"/>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Confecção de vestuário e acessórios            </w:t>
            </w:r>
          </w:p>
        </w:tc>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 </w:t>
            </w:r>
          </w:p>
        </w:tc>
        <w:tc>
          <w:tcPr>
            <w:tcW w:w="0" w:type="auto"/>
            <w:tcBorders>
              <w:top w:val="nil"/>
              <w:left w:val="nil"/>
              <w:bottom w:val="single" w:sz="4" w:space="0" w:color="auto"/>
              <w:right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281</w:t>
            </w:r>
          </w:p>
        </w:tc>
        <w:tc>
          <w:tcPr>
            <w:tcW w:w="0" w:type="auto"/>
            <w:tcBorders>
              <w:top w:val="nil"/>
              <w:left w:val="nil"/>
              <w:bottom w:val="single" w:sz="4" w:space="0" w:color="auto"/>
              <w:right w:val="single" w:sz="4" w:space="0" w:color="auto"/>
            </w:tcBorders>
            <w:vAlign w:val="center"/>
          </w:tcPr>
          <w:p w:rsidR="00692DF9" w:rsidRPr="00C43646" w:rsidRDefault="00692DF9" w:rsidP="001A6AC5">
            <w:pPr>
              <w:rPr>
                <w:rFonts w:ascii="Georgia" w:hAnsi="Georgia"/>
                <w:sz w:val="12"/>
                <w:szCs w:val="12"/>
              </w:rPr>
            </w:pPr>
            <w:r w:rsidRPr="00C43646">
              <w:rPr>
                <w:rFonts w:ascii="Georgia" w:hAnsi="Georgia"/>
                <w:sz w:val="12"/>
                <w:szCs w:val="12"/>
              </w:rPr>
              <w:t xml:space="preserve">Estruturas metálicas e obras de calderaria pesada            </w:t>
            </w:r>
          </w:p>
        </w:tc>
        <w:tc>
          <w:tcPr>
            <w:tcW w:w="0" w:type="auto"/>
            <w:tcBorders>
              <w:top w:val="nil"/>
              <w:left w:val="nil"/>
              <w:bottom w:val="single" w:sz="4" w:space="0" w:color="auto"/>
            </w:tcBorders>
            <w:vAlign w:val="center"/>
          </w:tcPr>
          <w:p w:rsidR="00692DF9" w:rsidRPr="006379B7" w:rsidRDefault="00692DF9" w:rsidP="001A6AC5">
            <w:pPr>
              <w:jc w:val="center"/>
              <w:rPr>
                <w:rFonts w:ascii="Georgia" w:hAnsi="Georgia"/>
                <w:color w:val="000000"/>
                <w:sz w:val="12"/>
                <w:szCs w:val="12"/>
              </w:rPr>
            </w:pPr>
            <w:r>
              <w:rPr>
                <w:rFonts w:ascii="Georgia" w:hAnsi="Georgia"/>
                <w:color w:val="000000"/>
                <w:sz w:val="12"/>
                <w:szCs w:val="12"/>
              </w:rPr>
              <w:t>Intensivos em Escala</w:t>
            </w:r>
            <w:r w:rsidRPr="006379B7">
              <w:rPr>
                <w:rFonts w:ascii="Georgia" w:hAnsi="Georgia"/>
                <w:color w:val="000000"/>
                <w:sz w:val="12"/>
                <w:szCs w:val="12"/>
              </w:rPr>
              <w:t> </w:t>
            </w:r>
          </w:p>
        </w:tc>
      </w:tr>
      <w:tr w:rsidR="00EF7ABC" w:rsidRPr="006379B7" w:rsidTr="001A6AC5">
        <w:trPr>
          <w:trHeight w:val="450"/>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color w:val="000000"/>
                <w:sz w:val="16"/>
                <w:szCs w:val="16"/>
              </w:rPr>
            </w:pPr>
            <w:r w:rsidRPr="006379B7">
              <w:rPr>
                <w:color w:val="000000"/>
                <w:sz w:val="16"/>
                <w:szCs w:val="16"/>
              </w:rPr>
              <w:t>182</w:t>
            </w:r>
          </w:p>
        </w:tc>
        <w:tc>
          <w:tcPr>
            <w:tcW w:w="0" w:type="auto"/>
            <w:tcBorders>
              <w:top w:val="nil"/>
              <w:left w:val="nil"/>
              <w:bottom w:val="single" w:sz="4" w:space="0" w:color="auto"/>
              <w:right w:val="single" w:sz="4" w:space="0" w:color="auto"/>
            </w:tcBorders>
            <w:shd w:val="clear" w:color="auto" w:fill="auto"/>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Vestuário de segurança profissional            </w:t>
            </w:r>
          </w:p>
        </w:tc>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xml:space="preserve">Dominado por fornecedores </w:t>
            </w:r>
          </w:p>
        </w:tc>
        <w:tc>
          <w:tcPr>
            <w:tcW w:w="0" w:type="auto"/>
            <w:tcBorders>
              <w:top w:val="nil"/>
              <w:left w:val="nil"/>
              <w:bottom w:val="single" w:sz="4" w:space="0" w:color="auto"/>
              <w:right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282</w:t>
            </w:r>
          </w:p>
        </w:tc>
        <w:tc>
          <w:tcPr>
            <w:tcW w:w="0" w:type="auto"/>
            <w:tcBorders>
              <w:top w:val="nil"/>
              <w:left w:val="nil"/>
              <w:bottom w:val="single" w:sz="4" w:space="0" w:color="auto"/>
              <w:right w:val="single" w:sz="4" w:space="0" w:color="auto"/>
            </w:tcBorders>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Tanques, caldeiras, reservatórios metálicos </w:t>
            </w:r>
          </w:p>
        </w:tc>
        <w:tc>
          <w:tcPr>
            <w:tcW w:w="0" w:type="auto"/>
            <w:tcBorders>
              <w:top w:val="nil"/>
              <w:left w:val="nil"/>
              <w:bottom w:val="single" w:sz="4" w:space="0" w:color="auto"/>
            </w:tcBorders>
            <w:vAlign w:val="center"/>
          </w:tcPr>
          <w:p w:rsidR="00692DF9" w:rsidRPr="006379B7" w:rsidRDefault="00692DF9" w:rsidP="001A6AC5">
            <w:pPr>
              <w:jc w:val="center"/>
              <w:rPr>
                <w:rFonts w:ascii="Georgia" w:hAnsi="Georgia"/>
                <w:b/>
                <w:bCs/>
                <w:color w:val="000000"/>
                <w:sz w:val="12"/>
                <w:szCs w:val="12"/>
              </w:rPr>
            </w:pPr>
            <w:r w:rsidRPr="006379B7">
              <w:rPr>
                <w:rFonts w:ascii="Georgia" w:hAnsi="Georgia"/>
                <w:b/>
                <w:bCs/>
                <w:color w:val="000000"/>
                <w:sz w:val="12"/>
                <w:szCs w:val="12"/>
              </w:rPr>
              <w:t> </w:t>
            </w:r>
            <w:r w:rsidRPr="006379B7">
              <w:rPr>
                <w:rFonts w:ascii="Georgia" w:hAnsi="Georgia"/>
                <w:color w:val="000000"/>
                <w:sz w:val="12"/>
                <w:szCs w:val="12"/>
              </w:rPr>
              <w:t>Dominado por fornecedores</w:t>
            </w:r>
          </w:p>
        </w:tc>
      </w:tr>
      <w:tr w:rsidR="00EF7ABC" w:rsidRPr="006379B7" w:rsidTr="001A6AC5">
        <w:trPr>
          <w:trHeight w:val="300"/>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color w:val="000000"/>
                <w:sz w:val="16"/>
                <w:szCs w:val="16"/>
              </w:rPr>
            </w:pPr>
            <w:r w:rsidRPr="006379B7">
              <w:rPr>
                <w:color w:val="000000"/>
                <w:sz w:val="16"/>
                <w:szCs w:val="16"/>
              </w:rPr>
              <w:t>192</w:t>
            </w:r>
          </w:p>
        </w:tc>
        <w:tc>
          <w:tcPr>
            <w:tcW w:w="0" w:type="auto"/>
            <w:tcBorders>
              <w:top w:val="nil"/>
              <w:left w:val="nil"/>
              <w:bottom w:val="single" w:sz="4" w:space="0" w:color="auto"/>
              <w:right w:val="single" w:sz="4" w:space="0" w:color="auto"/>
            </w:tcBorders>
            <w:shd w:val="clear" w:color="auto" w:fill="auto"/>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Artigos para viagem e de artefatos de couro            </w:t>
            </w:r>
          </w:p>
        </w:tc>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w:t>
            </w:r>
          </w:p>
        </w:tc>
        <w:tc>
          <w:tcPr>
            <w:tcW w:w="0" w:type="auto"/>
            <w:tcBorders>
              <w:top w:val="nil"/>
              <w:left w:val="nil"/>
              <w:bottom w:val="single" w:sz="4" w:space="0" w:color="auto"/>
              <w:right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283</w:t>
            </w:r>
          </w:p>
        </w:tc>
        <w:tc>
          <w:tcPr>
            <w:tcW w:w="0" w:type="auto"/>
            <w:tcBorders>
              <w:top w:val="nil"/>
              <w:left w:val="nil"/>
              <w:bottom w:val="single" w:sz="4" w:space="0" w:color="auto"/>
              <w:right w:val="single" w:sz="4" w:space="0" w:color="auto"/>
            </w:tcBorders>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Serviços de metalurgia do pó e tratamento de metais            </w:t>
            </w:r>
          </w:p>
        </w:tc>
        <w:tc>
          <w:tcPr>
            <w:tcW w:w="0" w:type="auto"/>
            <w:tcBorders>
              <w:top w:val="nil"/>
              <w:left w:val="nil"/>
              <w:bottom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w:t>
            </w:r>
          </w:p>
        </w:tc>
      </w:tr>
      <w:tr w:rsidR="00EF7ABC" w:rsidRPr="006379B7" w:rsidTr="001A6AC5">
        <w:trPr>
          <w:trHeight w:val="300"/>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color w:val="000000"/>
                <w:sz w:val="16"/>
                <w:szCs w:val="16"/>
              </w:rPr>
            </w:pPr>
            <w:r w:rsidRPr="006379B7">
              <w:rPr>
                <w:color w:val="000000"/>
                <w:sz w:val="16"/>
                <w:szCs w:val="16"/>
              </w:rPr>
              <w:t>193</w:t>
            </w:r>
          </w:p>
        </w:tc>
        <w:tc>
          <w:tcPr>
            <w:tcW w:w="0" w:type="auto"/>
            <w:tcBorders>
              <w:top w:val="nil"/>
              <w:left w:val="nil"/>
              <w:bottom w:val="single" w:sz="4" w:space="0" w:color="auto"/>
              <w:right w:val="single" w:sz="4" w:space="0" w:color="auto"/>
            </w:tcBorders>
            <w:shd w:val="clear" w:color="auto" w:fill="auto"/>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Calçados            </w:t>
            </w:r>
          </w:p>
        </w:tc>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w:t>
            </w:r>
          </w:p>
        </w:tc>
        <w:tc>
          <w:tcPr>
            <w:tcW w:w="0" w:type="auto"/>
            <w:tcBorders>
              <w:top w:val="nil"/>
              <w:left w:val="nil"/>
              <w:bottom w:val="single" w:sz="4" w:space="0" w:color="auto"/>
              <w:right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299</w:t>
            </w:r>
          </w:p>
        </w:tc>
        <w:tc>
          <w:tcPr>
            <w:tcW w:w="0" w:type="auto"/>
            <w:tcBorders>
              <w:top w:val="nil"/>
              <w:left w:val="nil"/>
              <w:bottom w:val="single" w:sz="4" w:space="0" w:color="auto"/>
              <w:right w:val="single" w:sz="4" w:space="0" w:color="auto"/>
            </w:tcBorders>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Manutenção e reparação de M&amp;E           </w:t>
            </w:r>
          </w:p>
        </w:tc>
        <w:tc>
          <w:tcPr>
            <w:tcW w:w="0" w:type="auto"/>
            <w:tcBorders>
              <w:top w:val="nil"/>
              <w:left w:val="nil"/>
              <w:bottom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w:t>
            </w:r>
            <w:r>
              <w:rPr>
                <w:rFonts w:ascii="Georgia" w:hAnsi="Georgia"/>
                <w:color w:val="000000"/>
                <w:sz w:val="12"/>
                <w:szCs w:val="12"/>
              </w:rPr>
              <w:t>Fornecedores Especializados</w:t>
            </w:r>
          </w:p>
        </w:tc>
      </w:tr>
      <w:tr w:rsidR="00EF7ABC" w:rsidRPr="006379B7" w:rsidTr="001A6AC5">
        <w:trPr>
          <w:trHeight w:val="300"/>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color w:val="000000"/>
                <w:sz w:val="16"/>
                <w:szCs w:val="16"/>
              </w:rPr>
            </w:pPr>
            <w:r w:rsidRPr="006379B7">
              <w:rPr>
                <w:color w:val="000000"/>
                <w:sz w:val="16"/>
                <w:szCs w:val="16"/>
              </w:rPr>
              <w:t>201</w:t>
            </w:r>
          </w:p>
        </w:tc>
        <w:tc>
          <w:tcPr>
            <w:tcW w:w="0" w:type="auto"/>
            <w:tcBorders>
              <w:top w:val="nil"/>
              <w:left w:val="nil"/>
              <w:bottom w:val="single" w:sz="4" w:space="0" w:color="auto"/>
              <w:right w:val="single" w:sz="4" w:space="0" w:color="auto"/>
            </w:tcBorders>
            <w:shd w:val="clear" w:color="auto" w:fill="auto"/>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Desdobramento de madeira            </w:t>
            </w:r>
          </w:p>
        </w:tc>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w:t>
            </w:r>
          </w:p>
        </w:tc>
        <w:tc>
          <w:tcPr>
            <w:tcW w:w="0" w:type="auto"/>
            <w:tcBorders>
              <w:top w:val="nil"/>
              <w:left w:val="nil"/>
              <w:bottom w:val="single" w:sz="4" w:space="0" w:color="auto"/>
              <w:right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315</w:t>
            </w:r>
          </w:p>
        </w:tc>
        <w:tc>
          <w:tcPr>
            <w:tcW w:w="0" w:type="auto"/>
            <w:tcBorders>
              <w:top w:val="nil"/>
              <w:left w:val="nil"/>
              <w:bottom w:val="single" w:sz="4" w:space="0" w:color="auto"/>
              <w:right w:val="single" w:sz="4" w:space="0" w:color="auto"/>
            </w:tcBorders>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Fabricação de lâmpadas e equipamentos de iluminação            </w:t>
            </w:r>
          </w:p>
        </w:tc>
        <w:tc>
          <w:tcPr>
            <w:tcW w:w="0" w:type="auto"/>
            <w:tcBorders>
              <w:top w:val="nil"/>
              <w:left w:val="nil"/>
              <w:bottom w:val="single" w:sz="4" w:space="0" w:color="auto"/>
            </w:tcBorders>
            <w:vAlign w:val="center"/>
          </w:tcPr>
          <w:p w:rsidR="00692DF9" w:rsidRPr="006379B7" w:rsidRDefault="00692DF9" w:rsidP="001A6AC5">
            <w:pPr>
              <w:jc w:val="center"/>
              <w:rPr>
                <w:rFonts w:ascii="Georgia" w:hAnsi="Georgia"/>
                <w:color w:val="000000"/>
                <w:sz w:val="12"/>
                <w:szCs w:val="12"/>
              </w:rPr>
            </w:pPr>
            <w:r>
              <w:rPr>
                <w:rFonts w:ascii="Georgia" w:hAnsi="Georgia"/>
                <w:color w:val="000000"/>
                <w:sz w:val="12"/>
                <w:szCs w:val="12"/>
              </w:rPr>
              <w:t>Fornecedores Especializados</w:t>
            </w:r>
          </w:p>
        </w:tc>
      </w:tr>
      <w:tr w:rsidR="00EF7ABC" w:rsidRPr="006379B7" w:rsidTr="001A6AC5">
        <w:trPr>
          <w:trHeight w:val="450"/>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color w:val="000000"/>
                <w:sz w:val="16"/>
                <w:szCs w:val="16"/>
              </w:rPr>
            </w:pPr>
            <w:r w:rsidRPr="006379B7">
              <w:rPr>
                <w:color w:val="000000"/>
                <w:sz w:val="16"/>
                <w:szCs w:val="16"/>
              </w:rPr>
              <w:t>202</w:t>
            </w:r>
          </w:p>
        </w:tc>
        <w:tc>
          <w:tcPr>
            <w:tcW w:w="0" w:type="auto"/>
            <w:tcBorders>
              <w:top w:val="nil"/>
              <w:left w:val="nil"/>
              <w:bottom w:val="single" w:sz="4" w:space="0" w:color="auto"/>
              <w:right w:val="single" w:sz="4" w:space="0" w:color="auto"/>
            </w:tcBorders>
            <w:shd w:val="clear" w:color="auto" w:fill="auto"/>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Produtos de madeira e material trançado            </w:t>
            </w:r>
          </w:p>
        </w:tc>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w:t>
            </w:r>
          </w:p>
        </w:tc>
        <w:tc>
          <w:tcPr>
            <w:tcW w:w="0" w:type="auto"/>
            <w:tcBorders>
              <w:top w:val="nil"/>
              <w:left w:val="nil"/>
              <w:bottom w:val="single" w:sz="4" w:space="0" w:color="auto"/>
              <w:right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343</w:t>
            </w:r>
          </w:p>
        </w:tc>
        <w:tc>
          <w:tcPr>
            <w:tcW w:w="0" w:type="auto"/>
            <w:tcBorders>
              <w:top w:val="nil"/>
              <w:left w:val="nil"/>
              <w:bottom w:val="single" w:sz="4" w:space="0" w:color="auto"/>
              <w:right w:val="single" w:sz="4" w:space="0" w:color="auto"/>
            </w:tcBorders>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Cabines, carrocerias* e  recuperação de motores**        </w:t>
            </w:r>
          </w:p>
        </w:tc>
        <w:tc>
          <w:tcPr>
            <w:tcW w:w="0" w:type="auto"/>
            <w:tcBorders>
              <w:top w:val="nil"/>
              <w:left w:val="nil"/>
              <w:bottom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Intensivo em Escala</w:t>
            </w:r>
          </w:p>
        </w:tc>
      </w:tr>
      <w:tr w:rsidR="00EF7ABC" w:rsidRPr="006379B7" w:rsidTr="001A6AC5">
        <w:trPr>
          <w:trHeight w:val="300"/>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color w:val="000000"/>
                <w:sz w:val="16"/>
                <w:szCs w:val="16"/>
              </w:rPr>
            </w:pPr>
            <w:r w:rsidRPr="006379B7">
              <w:rPr>
                <w:color w:val="000000"/>
                <w:sz w:val="16"/>
                <w:szCs w:val="16"/>
              </w:rPr>
              <w:t>213</w:t>
            </w:r>
          </w:p>
        </w:tc>
        <w:tc>
          <w:tcPr>
            <w:tcW w:w="0" w:type="auto"/>
            <w:tcBorders>
              <w:top w:val="nil"/>
              <w:left w:val="nil"/>
              <w:bottom w:val="single" w:sz="4" w:space="0" w:color="auto"/>
              <w:right w:val="single" w:sz="4" w:space="0" w:color="auto"/>
            </w:tcBorders>
            <w:shd w:val="clear" w:color="auto" w:fill="auto"/>
            <w:vAlign w:val="center"/>
          </w:tcPr>
          <w:p w:rsidR="00692DF9" w:rsidRPr="00C43646" w:rsidRDefault="00692DF9" w:rsidP="001A6AC5">
            <w:pPr>
              <w:rPr>
                <w:rFonts w:ascii="Georgia" w:hAnsi="Georgia"/>
                <w:sz w:val="12"/>
                <w:szCs w:val="12"/>
              </w:rPr>
            </w:pPr>
            <w:r w:rsidRPr="00C43646">
              <w:rPr>
                <w:rFonts w:ascii="Georgia" w:hAnsi="Georgia"/>
                <w:sz w:val="12"/>
                <w:szCs w:val="12"/>
              </w:rPr>
              <w:t xml:space="preserve">Embalagens de papel ou papelão            </w:t>
            </w:r>
          </w:p>
        </w:tc>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rFonts w:ascii="Georgia" w:hAnsi="Georgia"/>
                <w:color w:val="000000"/>
                <w:sz w:val="12"/>
                <w:szCs w:val="12"/>
              </w:rPr>
            </w:pPr>
            <w:r>
              <w:rPr>
                <w:rFonts w:ascii="Georgia" w:hAnsi="Georgia"/>
                <w:color w:val="000000"/>
                <w:sz w:val="12"/>
                <w:szCs w:val="12"/>
              </w:rPr>
              <w:t>Dominados por fornecedores</w:t>
            </w:r>
          </w:p>
        </w:tc>
        <w:tc>
          <w:tcPr>
            <w:tcW w:w="0" w:type="auto"/>
            <w:tcBorders>
              <w:top w:val="nil"/>
              <w:left w:val="nil"/>
              <w:bottom w:val="single" w:sz="4" w:space="0" w:color="auto"/>
              <w:right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361</w:t>
            </w:r>
          </w:p>
        </w:tc>
        <w:tc>
          <w:tcPr>
            <w:tcW w:w="0" w:type="auto"/>
            <w:tcBorders>
              <w:top w:val="nil"/>
              <w:left w:val="nil"/>
              <w:bottom w:val="single" w:sz="4" w:space="0" w:color="auto"/>
              <w:right w:val="single" w:sz="4" w:space="0" w:color="auto"/>
            </w:tcBorders>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Artigos do mobiliário            </w:t>
            </w:r>
          </w:p>
        </w:tc>
        <w:tc>
          <w:tcPr>
            <w:tcW w:w="0" w:type="auto"/>
            <w:tcBorders>
              <w:top w:val="nil"/>
              <w:left w:val="nil"/>
              <w:bottom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w:t>
            </w:r>
          </w:p>
        </w:tc>
      </w:tr>
      <w:tr w:rsidR="00EF7ABC" w:rsidRPr="006379B7" w:rsidTr="001A6AC5">
        <w:trPr>
          <w:trHeight w:val="300"/>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color w:val="000000"/>
                <w:sz w:val="16"/>
                <w:szCs w:val="16"/>
              </w:rPr>
            </w:pPr>
            <w:r w:rsidRPr="006379B7">
              <w:rPr>
                <w:color w:val="000000"/>
                <w:sz w:val="16"/>
                <w:szCs w:val="16"/>
              </w:rPr>
              <w:t>214</w:t>
            </w:r>
          </w:p>
        </w:tc>
        <w:tc>
          <w:tcPr>
            <w:tcW w:w="0" w:type="auto"/>
            <w:tcBorders>
              <w:top w:val="nil"/>
              <w:left w:val="nil"/>
              <w:bottom w:val="single" w:sz="4" w:space="0" w:color="auto"/>
              <w:right w:val="single" w:sz="4" w:space="0" w:color="auto"/>
            </w:tcBorders>
            <w:shd w:val="clear" w:color="auto" w:fill="auto"/>
            <w:vAlign w:val="center"/>
          </w:tcPr>
          <w:p w:rsidR="00692DF9" w:rsidRPr="00C43646" w:rsidRDefault="00692DF9" w:rsidP="001A6AC5">
            <w:pPr>
              <w:rPr>
                <w:rFonts w:ascii="Georgia" w:hAnsi="Georgia"/>
                <w:sz w:val="12"/>
                <w:szCs w:val="12"/>
              </w:rPr>
            </w:pPr>
            <w:r w:rsidRPr="00C43646">
              <w:rPr>
                <w:rFonts w:ascii="Georgia" w:hAnsi="Georgia"/>
                <w:sz w:val="12"/>
                <w:szCs w:val="12"/>
              </w:rPr>
              <w:t>Pap</w:t>
            </w:r>
            <w:r>
              <w:rPr>
                <w:rFonts w:ascii="Georgia" w:hAnsi="Georgia"/>
                <w:sz w:val="12"/>
                <w:szCs w:val="12"/>
              </w:rPr>
              <w:t>el, papelão, cartolina e cartão</w:t>
            </w:r>
            <w:r w:rsidRPr="00C43646">
              <w:rPr>
                <w:rFonts w:ascii="Georgia" w:hAnsi="Georgia"/>
                <w:sz w:val="12"/>
                <w:szCs w:val="1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w:t>
            </w:r>
            <w:r>
              <w:rPr>
                <w:rFonts w:ascii="Georgia" w:hAnsi="Georgia"/>
                <w:color w:val="000000"/>
                <w:sz w:val="12"/>
                <w:szCs w:val="12"/>
              </w:rPr>
              <w:t>Dominados por fornecedores</w:t>
            </w:r>
          </w:p>
        </w:tc>
        <w:tc>
          <w:tcPr>
            <w:tcW w:w="0" w:type="auto"/>
            <w:tcBorders>
              <w:top w:val="nil"/>
              <w:left w:val="nil"/>
              <w:bottom w:val="single" w:sz="4" w:space="0" w:color="auto"/>
              <w:right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369</w:t>
            </w:r>
          </w:p>
        </w:tc>
        <w:tc>
          <w:tcPr>
            <w:tcW w:w="0" w:type="auto"/>
            <w:tcBorders>
              <w:top w:val="nil"/>
              <w:left w:val="nil"/>
              <w:bottom w:val="single" w:sz="4" w:space="0" w:color="auto"/>
              <w:right w:val="single" w:sz="4" w:space="0" w:color="auto"/>
            </w:tcBorders>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Produtos diversos            </w:t>
            </w:r>
          </w:p>
        </w:tc>
        <w:tc>
          <w:tcPr>
            <w:tcW w:w="0" w:type="auto"/>
            <w:tcBorders>
              <w:top w:val="nil"/>
              <w:left w:val="nil"/>
              <w:bottom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w:t>
            </w:r>
          </w:p>
        </w:tc>
      </w:tr>
      <w:tr w:rsidR="00EF7ABC" w:rsidRPr="006379B7" w:rsidTr="001A6AC5">
        <w:trPr>
          <w:trHeight w:val="450"/>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color w:val="000000"/>
                <w:sz w:val="16"/>
                <w:szCs w:val="16"/>
              </w:rPr>
            </w:pPr>
            <w:r w:rsidRPr="006379B7">
              <w:rPr>
                <w:color w:val="000000"/>
                <w:sz w:val="16"/>
                <w:szCs w:val="16"/>
              </w:rPr>
              <w:t>221</w:t>
            </w:r>
          </w:p>
        </w:tc>
        <w:tc>
          <w:tcPr>
            <w:tcW w:w="0" w:type="auto"/>
            <w:tcBorders>
              <w:top w:val="nil"/>
              <w:left w:val="nil"/>
              <w:bottom w:val="single" w:sz="4" w:space="0" w:color="auto"/>
              <w:right w:val="single" w:sz="4" w:space="0" w:color="auto"/>
            </w:tcBorders>
            <w:shd w:val="clear" w:color="auto" w:fill="auto"/>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Edição, impressão e reprodução            </w:t>
            </w:r>
          </w:p>
        </w:tc>
        <w:tc>
          <w:tcPr>
            <w:tcW w:w="0" w:type="auto"/>
            <w:tcBorders>
              <w:top w:val="nil"/>
              <w:left w:val="nil"/>
              <w:bottom w:val="single" w:sz="4" w:space="0" w:color="auto"/>
              <w:right w:val="single" w:sz="4" w:space="0" w:color="auto"/>
            </w:tcBorders>
            <w:shd w:val="clear" w:color="auto" w:fill="auto"/>
            <w:noWrap/>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w:t>
            </w:r>
          </w:p>
        </w:tc>
        <w:tc>
          <w:tcPr>
            <w:tcW w:w="0" w:type="auto"/>
            <w:tcBorders>
              <w:top w:val="nil"/>
              <w:left w:val="nil"/>
              <w:bottom w:val="single" w:sz="4" w:space="0" w:color="auto"/>
              <w:right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371</w:t>
            </w:r>
          </w:p>
        </w:tc>
        <w:tc>
          <w:tcPr>
            <w:tcW w:w="0" w:type="auto"/>
            <w:tcBorders>
              <w:top w:val="nil"/>
              <w:left w:val="nil"/>
              <w:bottom w:val="single" w:sz="4" w:space="0" w:color="auto"/>
              <w:right w:val="single" w:sz="4" w:space="0" w:color="auto"/>
            </w:tcBorders>
            <w:vAlign w:val="center"/>
          </w:tcPr>
          <w:p w:rsidR="00692DF9" w:rsidRPr="006379B7" w:rsidRDefault="00692DF9" w:rsidP="001A6AC5">
            <w:pPr>
              <w:rPr>
                <w:rFonts w:ascii="Georgia" w:hAnsi="Georgia"/>
                <w:sz w:val="12"/>
                <w:szCs w:val="12"/>
              </w:rPr>
            </w:pPr>
            <w:r w:rsidRPr="006379B7">
              <w:rPr>
                <w:rFonts w:ascii="Georgia" w:hAnsi="Georgia"/>
                <w:sz w:val="12"/>
                <w:szCs w:val="12"/>
              </w:rPr>
              <w:t xml:space="preserve">Reciclagem            </w:t>
            </w:r>
          </w:p>
        </w:tc>
        <w:tc>
          <w:tcPr>
            <w:tcW w:w="0" w:type="auto"/>
            <w:tcBorders>
              <w:top w:val="nil"/>
              <w:left w:val="nil"/>
              <w:bottom w:val="single" w:sz="4" w:space="0" w:color="auto"/>
            </w:tcBorders>
            <w:vAlign w:val="center"/>
          </w:tcPr>
          <w:p w:rsidR="00692DF9" w:rsidRPr="006379B7" w:rsidRDefault="00692DF9" w:rsidP="001A6AC5">
            <w:pPr>
              <w:jc w:val="center"/>
              <w:rPr>
                <w:rFonts w:ascii="Georgia" w:hAnsi="Georgia"/>
                <w:color w:val="000000"/>
                <w:sz w:val="12"/>
                <w:szCs w:val="12"/>
              </w:rPr>
            </w:pPr>
            <w:r w:rsidRPr="006379B7">
              <w:rPr>
                <w:rFonts w:ascii="Georgia" w:hAnsi="Georgia"/>
                <w:color w:val="000000"/>
                <w:sz w:val="12"/>
                <w:szCs w:val="12"/>
              </w:rPr>
              <w:t> Dominado por fornecedores</w:t>
            </w:r>
          </w:p>
        </w:tc>
      </w:tr>
    </w:tbl>
    <w:p w:rsidR="00692DF9" w:rsidRPr="00DF0435" w:rsidRDefault="00692DF9" w:rsidP="00692DF9">
      <w:pPr>
        <w:rPr>
          <w:sz w:val="16"/>
          <w:szCs w:val="16"/>
        </w:rPr>
      </w:pPr>
      <w:r w:rsidRPr="00DF0435">
        <w:rPr>
          <w:sz w:val="16"/>
          <w:szCs w:val="16"/>
        </w:rPr>
        <w:t>Fonte: Elaboração própria com base em Pavitt (1984) e Campos (2005)</w:t>
      </w:r>
    </w:p>
    <w:p w:rsidR="00692DF9" w:rsidRPr="0096351F" w:rsidRDefault="00692DF9" w:rsidP="00692DF9">
      <w:pPr>
        <w:rPr>
          <w:sz w:val="16"/>
          <w:szCs w:val="16"/>
          <w:lang w:val="en-US"/>
        </w:rPr>
      </w:pPr>
      <w:r w:rsidRPr="006379B7">
        <w:rPr>
          <w:sz w:val="16"/>
          <w:szCs w:val="16"/>
          <w:lang w:val="en-US"/>
        </w:rPr>
        <w:t>*Low Technology</w:t>
      </w:r>
    </w:p>
    <w:p w:rsidR="00692DF9" w:rsidRPr="0096351F" w:rsidRDefault="00692DF9" w:rsidP="00692DF9">
      <w:pPr>
        <w:rPr>
          <w:sz w:val="16"/>
          <w:szCs w:val="16"/>
          <w:lang w:val="en-US"/>
        </w:rPr>
      </w:pPr>
      <w:r w:rsidRPr="0096351F">
        <w:rPr>
          <w:sz w:val="16"/>
          <w:szCs w:val="16"/>
          <w:lang w:val="en-US"/>
        </w:rPr>
        <w:t xml:space="preserve">**Medium-low </w:t>
      </w:r>
      <w:r>
        <w:rPr>
          <w:sz w:val="16"/>
          <w:szCs w:val="16"/>
          <w:lang w:val="en-US"/>
        </w:rPr>
        <w:t xml:space="preserve"> </w:t>
      </w:r>
      <w:r w:rsidRPr="0096351F">
        <w:rPr>
          <w:sz w:val="16"/>
          <w:szCs w:val="16"/>
          <w:lang w:val="en-US"/>
        </w:rPr>
        <w:t>technology</w:t>
      </w:r>
    </w:p>
    <w:p w:rsidR="00692DF9" w:rsidRDefault="00692DF9" w:rsidP="00692DF9">
      <w:pPr>
        <w:rPr>
          <w:sz w:val="16"/>
          <w:szCs w:val="16"/>
          <w:lang w:val="en-US"/>
        </w:rPr>
      </w:pPr>
      <w:r w:rsidRPr="0096351F">
        <w:rPr>
          <w:sz w:val="16"/>
          <w:szCs w:val="16"/>
          <w:lang w:val="en-US"/>
        </w:rPr>
        <w:t>***Medium-high technology</w:t>
      </w:r>
    </w:p>
    <w:p w:rsidR="00692DF9" w:rsidRPr="00492FB7" w:rsidRDefault="00692DF9" w:rsidP="00692DF9">
      <w:pPr>
        <w:spacing w:line="360" w:lineRule="auto"/>
        <w:rPr>
          <w:lang w:val="en-US"/>
        </w:rPr>
      </w:pPr>
    </w:p>
    <w:p w:rsidR="00692DF9" w:rsidRDefault="00692DF9" w:rsidP="00692DF9">
      <w:pPr>
        <w:pStyle w:val="PargrafodaLista"/>
        <w:numPr>
          <w:ilvl w:val="1"/>
          <w:numId w:val="1"/>
        </w:numPr>
        <w:spacing w:line="360" w:lineRule="auto"/>
        <w:jc w:val="both"/>
        <w:rPr>
          <w:b/>
        </w:rPr>
      </w:pPr>
      <w:r w:rsidRPr="002A66E6">
        <w:rPr>
          <w:b/>
        </w:rPr>
        <w:t>Padrão 3</w:t>
      </w:r>
      <w:r>
        <w:rPr>
          <w:b/>
        </w:rPr>
        <w:t xml:space="preserve"> </w:t>
      </w:r>
      <w:r w:rsidRPr="002A66E6">
        <w:rPr>
          <w:b/>
        </w:rPr>
        <w:t>- Múltiplas Formas de Aprendizagem</w:t>
      </w:r>
    </w:p>
    <w:p w:rsidR="00692DF9" w:rsidRDefault="00692DF9" w:rsidP="00692DF9"/>
    <w:p w:rsidR="00692DF9" w:rsidRDefault="00692DF9" w:rsidP="001A6AC5">
      <w:pPr>
        <w:ind w:firstLine="709"/>
        <w:jc w:val="both"/>
      </w:pPr>
      <w:r>
        <w:t>Esse padrão agrupou setores que desenvolvem suas atividades tecnológicas por meio de processos altamente dinâmicos que combinam intensidade e complementaridade no uso das diversas formas de aprendizagem, como mostram os gráficos da figura 3.  Habilidades para acessar conhecimentos das universidades podem ser necessários, mas não são suficientes para o desenvolvimento do conjunto de  soluções que marcam os processos produtivos e inovativos do seleto grupo de setores que compõe esse padrão.</w:t>
      </w:r>
    </w:p>
    <w:p w:rsidR="00692DF9" w:rsidRDefault="00692DF9" w:rsidP="001A6AC5">
      <w:pPr>
        <w:ind w:firstLine="709"/>
        <w:jc w:val="both"/>
      </w:pPr>
      <w:r>
        <w:t>A diversidade e a complexidade dos conhecimentos úteis a esses setores tornam importantes a presença nas firmas de capacitações que definem os quatro tipos de saber (Foray e Lundval, 1999). Ainda que, o aprendizado à montante tenha-se revelado como o de menor intensidade relativa, considerando sua média geral e as magnitudes muito próximas à essa média no padrão, pode-se dizer que os setores agrupados utilizam-se das diversas formas internas e externas de aprendizagem para acessar uma ampla gama de conhecimentos de caráter tácito e codificado, como forma de manterem e ampliarem lucratividade e participação de mercado.</w:t>
      </w:r>
    </w:p>
    <w:p w:rsidR="00692DF9" w:rsidRDefault="00692DF9" w:rsidP="001A6AC5">
      <w:pPr>
        <w:ind w:firstLine="709"/>
        <w:jc w:val="both"/>
      </w:pPr>
      <w:r>
        <w:rPr>
          <w:noProof/>
        </w:rPr>
        <w:drawing>
          <wp:anchor distT="0" distB="0" distL="114300" distR="114300" simplePos="0" relativeHeight="251661312" behindDoc="0" locked="0" layoutInCell="1" allowOverlap="1">
            <wp:simplePos x="0" y="0"/>
            <wp:positionH relativeFrom="margin">
              <wp:posOffset>22860</wp:posOffset>
            </wp:positionH>
            <wp:positionV relativeFrom="margin">
              <wp:posOffset>80010</wp:posOffset>
            </wp:positionV>
            <wp:extent cx="1714500" cy="6162675"/>
            <wp:effectExtent l="19050" t="0" r="0" b="0"/>
            <wp:wrapSquare wrapText="bothSides"/>
            <wp:docPr id="4" name="Imagem 4" descr="Figura 3 - 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a 3 - P3"/>
                    <pic:cNvPicPr>
                      <a:picLocks noChangeAspect="1" noChangeArrowheads="1"/>
                    </pic:cNvPicPr>
                  </pic:nvPicPr>
                  <pic:blipFill>
                    <a:blip r:embed="rId10" cstate="print"/>
                    <a:srcRect/>
                    <a:stretch>
                      <a:fillRect/>
                    </a:stretch>
                  </pic:blipFill>
                  <pic:spPr bwMode="auto">
                    <a:xfrm>
                      <a:off x="0" y="0"/>
                      <a:ext cx="1714500" cy="6162675"/>
                    </a:xfrm>
                    <a:prstGeom prst="rect">
                      <a:avLst/>
                    </a:prstGeom>
                    <a:noFill/>
                    <a:ln w="9525">
                      <a:noFill/>
                      <a:miter lim="800000"/>
                      <a:headEnd/>
                      <a:tailEnd/>
                    </a:ln>
                  </pic:spPr>
                </pic:pic>
              </a:graphicData>
            </a:graphic>
          </wp:anchor>
        </w:drawing>
      </w:r>
      <w:r>
        <w:t xml:space="preserve"> Apenas 11 setores foram agrupados nesse padrão, sendo 8 deles classificados como “baseados em ciência’, 2 deles como “intensivos em escala” e 1 “dominado por fornecedores”. Pavitt (1984), mostrou que setores baseados em ciência utilizam os departamentos de P&amp;D das firmas como fontes tecnológicas, os quais, estão baseados no rápido desenvolvimento das ciências subjacentes nas universidades e em outros estabelecimentos.</w:t>
      </w:r>
    </w:p>
    <w:p w:rsidR="00692DF9" w:rsidRDefault="00692DF9" w:rsidP="001A6AC5">
      <w:pPr>
        <w:ind w:firstLine="709"/>
        <w:jc w:val="both"/>
      </w:pPr>
      <w:r>
        <w:t>Nesse sentido, apoiado em Cohen e Levintal (1990) e Patel e Pavitt (1995) pode-se dizer que a intensidade nas atividades de P&amp;D das firmas é um elemento capaz de ampliar o potencial de acessibilidade dos conhecimentos gerados em fontes externas, como as universidades. Disso se deriva a intensidade do uso dessas duas formas por esses setores.</w:t>
      </w:r>
    </w:p>
    <w:p w:rsidR="00692DF9" w:rsidRDefault="00692DF9" w:rsidP="001A6AC5">
      <w:pPr>
        <w:ind w:firstLine="709"/>
        <w:jc w:val="both"/>
      </w:pPr>
      <w:r>
        <w:t xml:space="preserve">Em resumo, se trata de um conjunto de setores marcados por alto dinamismo tecnológico, nos quais, a manutenção e ampliação dos lucros e participação de mercado se explicam pela intensa atividade de aprendizagem tecnológica. </w:t>
      </w:r>
    </w:p>
    <w:p w:rsidR="00692DF9" w:rsidRDefault="00692DF9" w:rsidP="001A6AC5">
      <w:pPr>
        <w:ind w:firstLine="709"/>
        <w:jc w:val="both"/>
      </w:pPr>
      <w:r>
        <w:t>Entre os setores intensivos em escala agrupados nesse padrão entende-se que a multiplicidade de formas de aprendizagem pelas quais as atividades tecnológicas desses setores se definiram é explicada pelo volume e a variedade de recursos disponíveis nas grandes empresas, os quais permitem a essas acessar conhecimentos gerados em diversas fontes.</w:t>
      </w:r>
    </w:p>
    <w:p w:rsidR="00692DF9" w:rsidRDefault="00692DF9" w:rsidP="00692DF9">
      <w:pPr>
        <w:spacing w:line="360" w:lineRule="auto"/>
        <w:ind w:firstLine="709"/>
        <w:jc w:val="both"/>
      </w:pPr>
    </w:p>
    <w:p w:rsidR="00692DF9" w:rsidRDefault="00692DF9" w:rsidP="00692DF9">
      <w:pPr>
        <w:spacing w:line="360" w:lineRule="auto"/>
        <w:ind w:firstLine="709"/>
        <w:jc w:val="both"/>
      </w:pPr>
    </w:p>
    <w:p w:rsidR="00692DF9" w:rsidRDefault="00692DF9" w:rsidP="00692DF9">
      <w:pPr>
        <w:spacing w:line="360" w:lineRule="auto"/>
        <w:ind w:firstLine="709"/>
        <w:jc w:val="both"/>
      </w:pPr>
    </w:p>
    <w:p w:rsidR="00692DF9" w:rsidRDefault="00692DF9" w:rsidP="00692DF9">
      <w:pPr>
        <w:spacing w:line="360" w:lineRule="auto"/>
        <w:ind w:firstLine="709"/>
        <w:jc w:val="both"/>
      </w:pPr>
    </w:p>
    <w:p w:rsidR="00692DF9" w:rsidRDefault="00692DF9" w:rsidP="00692DF9">
      <w:pPr>
        <w:spacing w:line="360" w:lineRule="auto"/>
        <w:ind w:firstLine="709"/>
        <w:jc w:val="both"/>
      </w:pPr>
    </w:p>
    <w:p w:rsidR="00692DF9" w:rsidRDefault="00692DF9" w:rsidP="00692DF9">
      <w:pPr>
        <w:spacing w:line="360" w:lineRule="auto"/>
        <w:ind w:firstLine="709"/>
        <w:jc w:val="both"/>
      </w:pPr>
    </w:p>
    <w:p w:rsidR="00692DF9" w:rsidRDefault="00692DF9" w:rsidP="00692DF9">
      <w:pPr>
        <w:spacing w:line="360" w:lineRule="auto"/>
        <w:ind w:firstLine="709"/>
        <w:jc w:val="both"/>
      </w:pPr>
    </w:p>
    <w:p w:rsidR="00692DF9" w:rsidRDefault="00692DF9" w:rsidP="00692DF9">
      <w:pPr>
        <w:spacing w:line="360" w:lineRule="auto"/>
        <w:ind w:firstLine="709"/>
        <w:jc w:val="both"/>
      </w:pPr>
    </w:p>
    <w:p w:rsidR="00692DF9" w:rsidRDefault="00692DF9" w:rsidP="00692DF9">
      <w:pPr>
        <w:spacing w:line="360" w:lineRule="auto"/>
        <w:ind w:firstLine="709"/>
        <w:jc w:val="both"/>
      </w:pPr>
    </w:p>
    <w:p w:rsidR="00414766" w:rsidRDefault="00414766" w:rsidP="00692DF9">
      <w:pPr>
        <w:spacing w:line="360" w:lineRule="auto"/>
        <w:ind w:firstLine="709"/>
        <w:jc w:val="both"/>
      </w:pPr>
    </w:p>
    <w:p w:rsidR="00414766" w:rsidRDefault="00414766" w:rsidP="00692DF9">
      <w:pPr>
        <w:spacing w:line="360" w:lineRule="auto"/>
        <w:ind w:firstLine="709"/>
        <w:jc w:val="both"/>
      </w:pPr>
    </w:p>
    <w:p w:rsidR="00414766" w:rsidRDefault="00414766" w:rsidP="00692DF9">
      <w:pPr>
        <w:spacing w:line="360" w:lineRule="auto"/>
        <w:ind w:firstLine="709"/>
        <w:jc w:val="both"/>
      </w:pPr>
    </w:p>
    <w:p w:rsidR="00414766" w:rsidRDefault="00414766" w:rsidP="00692DF9">
      <w:pPr>
        <w:spacing w:line="360" w:lineRule="auto"/>
        <w:ind w:firstLine="709"/>
        <w:jc w:val="both"/>
      </w:pPr>
    </w:p>
    <w:p w:rsidR="00414766" w:rsidRDefault="00414766" w:rsidP="00692DF9">
      <w:pPr>
        <w:spacing w:line="360" w:lineRule="auto"/>
        <w:ind w:firstLine="709"/>
        <w:jc w:val="both"/>
      </w:pPr>
    </w:p>
    <w:p w:rsidR="00414766" w:rsidRDefault="00414766" w:rsidP="00692DF9">
      <w:pPr>
        <w:spacing w:line="360" w:lineRule="auto"/>
        <w:ind w:firstLine="709"/>
        <w:jc w:val="both"/>
      </w:pPr>
    </w:p>
    <w:p w:rsidR="00414766" w:rsidRDefault="00414766" w:rsidP="00692DF9">
      <w:pPr>
        <w:spacing w:line="360" w:lineRule="auto"/>
        <w:ind w:firstLine="709"/>
        <w:jc w:val="both"/>
      </w:pPr>
    </w:p>
    <w:p w:rsidR="00414766" w:rsidRDefault="00414766" w:rsidP="00692DF9">
      <w:pPr>
        <w:spacing w:line="360" w:lineRule="auto"/>
        <w:ind w:firstLine="709"/>
        <w:jc w:val="both"/>
      </w:pPr>
    </w:p>
    <w:p w:rsidR="00414766" w:rsidRDefault="00414766" w:rsidP="00692DF9">
      <w:pPr>
        <w:spacing w:line="360" w:lineRule="auto"/>
        <w:ind w:firstLine="709"/>
        <w:jc w:val="both"/>
      </w:pPr>
    </w:p>
    <w:p w:rsidR="00414766" w:rsidRDefault="00414766" w:rsidP="00692DF9">
      <w:pPr>
        <w:spacing w:line="360" w:lineRule="auto"/>
        <w:ind w:firstLine="709"/>
        <w:jc w:val="both"/>
      </w:pPr>
    </w:p>
    <w:p w:rsidR="00414766" w:rsidRDefault="00414766" w:rsidP="00692DF9">
      <w:pPr>
        <w:spacing w:line="360" w:lineRule="auto"/>
        <w:ind w:firstLine="709"/>
        <w:jc w:val="both"/>
      </w:pPr>
    </w:p>
    <w:p w:rsidR="00692DF9" w:rsidRDefault="00414766" w:rsidP="00414766">
      <w:pPr>
        <w:jc w:val="both"/>
      </w:pPr>
      <w:r>
        <w:t>T</w:t>
      </w:r>
      <w:r w:rsidRPr="00E0507A">
        <w:t xml:space="preserve">abela </w:t>
      </w:r>
      <w:r>
        <w:t>3</w:t>
      </w:r>
      <w:r w:rsidRPr="00E0507A">
        <w:t xml:space="preserve">: Setores Intensivos em </w:t>
      </w:r>
      <w:r>
        <w:t>Múltiplas formas de Aprendizagem</w:t>
      </w:r>
      <w:r w:rsidRPr="00E0507A">
        <w:t>: taxonomia Pavitt</w:t>
      </w:r>
      <w:r>
        <w:t xml:space="preserve"> </w:t>
      </w:r>
    </w:p>
    <w:p w:rsidR="00692DF9" w:rsidRDefault="00692DF9" w:rsidP="00692DF9">
      <w:r>
        <w:t>relacionada</w:t>
      </w:r>
      <w:r w:rsidRPr="00E0507A">
        <w:t>.</w:t>
      </w:r>
    </w:p>
    <w:tbl>
      <w:tblPr>
        <w:tblpPr w:leftFromText="141" w:rightFromText="141" w:vertAnchor="text" w:horzAnchor="margin" w:tblpY="74"/>
        <w:tblW w:w="0" w:type="auto"/>
        <w:tblCellMar>
          <w:left w:w="70" w:type="dxa"/>
          <w:right w:w="70" w:type="dxa"/>
        </w:tblCellMar>
        <w:tblLook w:val="04A0"/>
      </w:tblPr>
      <w:tblGrid>
        <w:gridCol w:w="576"/>
        <w:gridCol w:w="2440"/>
        <w:gridCol w:w="1487"/>
        <w:gridCol w:w="576"/>
        <w:gridCol w:w="2231"/>
        <w:gridCol w:w="1334"/>
      </w:tblGrid>
      <w:tr w:rsidR="00414766" w:rsidRPr="00684988" w:rsidTr="00414766">
        <w:trPr>
          <w:trHeight w:val="300"/>
        </w:trPr>
        <w:tc>
          <w:tcPr>
            <w:tcW w:w="576" w:type="dxa"/>
            <w:vMerge w:val="restart"/>
            <w:tcBorders>
              <w:top w:val="single" w:sz="4" w:space="0" w:color="auto"/>
              <w:left w:val="nil"/>
              <w:bottom w:val="single" w:sz="4" w:space="0" w:color="auto"/>
              <w:right w:val="single" w:sz="4" w:space="0" w:color="auto"/>
            </w:tcBorders>
            <w:shd w:val="clear" w:color="auto" w:fill="auto"/>
            <w:vAlign w:val="center"/>
          </w:tcPr>
          <w:p w:rsidR="00414766" w:rsidRPr="00684988" w:rsidRDefault="00414766" w:rsidP="00414766">
            <w:pPr>
              <w:jc w:val="center"/>
              <w:rPr>
                <w:color w:val="000000"/>
                <w:sz w:val="16"/>
                <w:szCs w:val="16"/>
              </w:rPr>
            </w:pPr>
            <w:r w:rsidRPr="00684988">
              <w:rPr>
                <w:color w:val="000000"/>
                <w:sz w:val="16"/>
                <w:szCs w:val="16"/>
              </w:rPr>
              <w:t>CNAE</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4766" w:rsidRPr="00684988" w:rsidRDefault="00414766" w:rsidP="00414766">
            <w:pPr>
              <w:jc w:val="center"/>
              <w:rPr>
                <w:color w:val="000000"/>
                <w:sz w:val="16"/>
                <w:szCs w:val="16"/>
              </w:rPr>
            </w:pPr>
            <w:r w:rsidRPr="00684988">
              <w:rPr>
                <w:color w:val="000000"/>
                <w:sz w:val="16"/>
                <w:szCs w:val="16"/>
              </w:rPr>
              <w:t>Atividade Produtiva</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4766" w:rsidRPr="00684988" w:rsidRDefault="00414766" w:rsidP="00414766">
            <w:pPr>
              <w:jc w:val="center"/>
              <w:rPr>
                <w:color w:val="000000"/>
                <w:sz w:val="16"/>
                <w:szCs w:val="16"/>
              </w:rPr>
            </w:pPr>
            <w:r w:rsidRPr="00684988">
              <w:rPr>
                <w:color w:val="000000"/>
                <w:sz w:val="16"/>
                <w:szCs w:val="16"/>
              </w:rPr>
              <w:t>Taxonomia Pavitt</w:t>
            </w:r>
          </w:p>
        </w:tc>
        <w:tc>
          <w:tcPr>
            <w:tcW w:w="576" w:type="dxa"/>
            <w:vMerge w:val="restart"/>
            <w:tcBorders>
              <w:top w:val="single" w:sz="4" w:space="0" w:color="auto"/>
              <w:left w:val="single" w:sz="4" w:space="0" w:color="auto"/>
              <w:right w:val="single" w:sz="4" w:space="0" w:color="auto"/>
            </w:tcBorders>
            <w:vAlign w:val="center"/>
          </w:tcPr>
          <w:p w:rsidR="00414766" w:rsidRPr="00684988" w:rsidRDefault="00414766" w:rsidP="00414766">
            <w:pPr>
              <w:jc w:val="center"/>
              <w:rPr>
                <w:color w:val="000000"/>
                <w:sz w:val="16"/>
                <w:szCs w:val="16"/>
              </w:rPr>
            </w:pPr>
            <w:r w:rsidRPr="00684988">
              <w:rPr>
                <w:color w:val="000000"/>
                <w:sz w:val="16"/>
                <w:szCs w:val="16"/>
              </w:rPr>
              <w:t>CNAE</w:t>
            </w:r>
          </w:p>
        </w:tc>
        <w:tc>
          <w:tcPr>
            <w:tcW w:w="2231" w:type="dxa"/>
            <w:vMerge w:val="restart"/>
            <w:tcBorders>
              <w:top w:val="single" w:sz="4" w:space="0" w:color="auto"/>
              <w:left w:val="single" w:sz="4" w:space="0" w:color="auto"/>
              <w:right w:val="single" w:sz="4" w:space="0" w:color="auto"/>
            </w:tcBorders>
            <w:vAlign w:val="center"/>
          </w:tcPr>
          <w:p w:rsidR="00414766" w:rsidRPr="00684988" w:rsidRDefault="00414766" w:rsidP="00414766">
            <w:pPr>
              <w:jc w:val="center"/>
              <w:rPr>
                <w:color w:val="000000"/>
                <w:sz w:val="16"/>
                <w:szCs w:val="16"/>
              </w:rPr>
            </w:pPr>
            <w:r w:rsidRPr="00684988">
              <w:rPr>
                <w:color w:val="000000"/>
                <w:sz w:val="16"/>
                <w:szCs w:val="16"/>
              </w:rPr>
              <w:t>Atividade Produtiva</w:t>
            </w:r>
          </w:p>
        </w:tc>
        <w:tc>
          <w:tcPr>
            <w:tcW w:w="1334" w:type="dxa"/>
            <w:vMerge w:val="restart"/>
            <w:tcBorders>
              <w:top w:val="single" w:sz="4" w:space="0" w:color="auto"/>
              <w:left w:val="single" w:sz="4" w:space="0" w:color="auto"/>
            </w:tcBorders>
            <w:vAlign w:val="center"/>
          </w:tcPr>
          <w:p w:rsidR="00414766" w:rsidRPr="00684988" w:rsidRDefault="00414766" w:rsidP="00414766">
            <w:pPr>
              <w:jc w:val="center"/>
              <w:rPr>
                <w:color w:val="000000"/>
                <w:sz w:val="16"/>
                <w:szCs w:val="16"/>
              </w:rPr>
            </w:pPr>
            <w:r w:rsidRPr="00684988">
              <w:rPr>
                <w:color w:val="000000"/>
                <w:sz w:val="16"/>
                <w:szCs w:val="16"/>
              </w:rPr>
              <w:t>Taxonomia Pavitt</w:t>
            </w:r>
          </w:p>
        </w:tc>
      </w:tr>
      <w:tr w:rsidR="00414766" w:rsidRPr="00684988" w:rsidTr="00414766">
        <w:trPr>
          <w:trHeight w:val="510"/>
        </w:trPr>
        <w:tc>
          <w:tcPr>
            <w:tcW w:w="576" w:type="dxa"/>
            <w:vMerge/>
            <w:tcBorders>
              <w:top w:val="single" w:sz="4" w:space="0" w:color="auto"/>
              <w:left w:val="nil"/>
              <w:bottom w:val="single" w:sz="4" w:space="0" w:color="auto"/>
              <w:right w:val="single" w:sz="4" w:space="0" w:color="auto"/>
            </w:tcBorders>
            <w:vAlign w:val="center"/>
          </w:tcPr>
          <w:p w:rsidR="00414766" w:rsidRPr="00684988" w:rsidRDefault="00414766" w:rsidP="00414766">
            <w:pPr>
              <w:rPr>
                <w:color w:val="000000"/>
                <w:sz w:val="16"/>
                <w:szCs w:val="16"/>
              </w:rPr>
            </w:pPr>
          </w:p>
        </w:tc>
        <w:tc>
          <w:tcPr>
            <w:tcW w:w="2440" w:type="dxa"/>
            <w:vMerge/>
            <w:tcBorders>
              <w:top w:val="single" w:sz="4" w:space="0" w:color="auto"/>
              <w:left w:val="single" w:sz="4" w:space="0" w:color="auto"/>
              <w:bottom w:val="single" w:sz="4" w:space="0" w:color="auto"/>
              <w:right w:val="single" w:sz="4" w:space="0" w:color="auto"/>
            </w:tcBorders>
            <w:vAlign w:val="center"/>
          </w:tcPr>
          <w:p w:rsidR="00414766" w:rsidRPr="00684988" w:rsidRDefault="00414766" w:rsidP="00414766">
            <w:pPr>
              <w:rPr>
                <w:color w:val="000000"/>
                <w:sz w:val="16"/>
                <w:szCs w:val="16"/>
              </w:rPr>
            </w:pPr>
          </w:p>
        </w:tc>
        <w:tc>
          <w:tcPr>
            <w:tcW w:w="1487" w:type="dxa"/>
            <w:vMerge/>
            <w:tcBorders>
              <w:top w:val="single" w:sz="4" w:space="0" w:color="auto"/>
              <w:left w:val="single" w:sz="4" w:space="0" w:color="auto"/>
              <w:bottom w:val="single" w:sz="4" w:space="0" w:color="auto"/>
              <w:right w:val="single" w:sz="4" w:space="0" w:color="auto"/>
            </w:tcBorders>
            <w:vAlign w:val="center"/>
          </w:tcPr>
          <w:p w:rsidR="00414766" w:rsidRPr="00684988" w:rsidRDefault="00414766" w:rsidP="00414766">
            <w:pPr>
              <w:rPr>
                <w:color w:val="000000"/>
                <w:sz w:val="16"/>
                <w:szCs w:val="16"/>
              </w:rPr>
            </w:pPr>
          </w:p>
        </w:tc>
        <w:tc>
          <w:tcPr>
            <w:tcW w:w="576" w:type="dxa"/>
            <w:vMerge/>
            <w:tcBorders>
              <w:left w:val="single" w:sz="4" w:space="0" w:color="auto"/>
              <w:bottom w:val="single" w:sz="4" w:space="0" w:color="auto"/>
              <w:right w:val="single" w:sz="4" w:space="0" w:color="auto"/>
            </w:tcBorders>
            <w:vAlign w:val="center"/>
          </w:tcPr>
          <w:p w:rsidR="00414766" w:rsidRPr="00684988" w:rsidRDefault="00414766" w:rsidP="00414766">
            <w:pPr>
              <w:rPr>
                <w:color w:val="000000"/>
                <w:sz w:val="16"/>
                <w:szCs w:val="16"/>
              </w:rPr>
            </w:pPr>
          </w:p>
        </w:tc>
        <w:tc>
          <w:tcPr>
            <w:tcW w:w="2231" w:type="dxa"/>
            <w:vMerge/>
            <w:tcBorders>
              <w:left w:val="single" w:sz="4" w:space="0" w:color="auto"/>
              <w:bottom w:val="single" w:sz="4" w:space="0" w:color="auto"/>
              <w:right w:val="single" w:sz="4" w:space="0" w:color="auto"/>
            </w:tcBorders>
            <w:vAlign w:val="center"/>
          </w:tcPr>
          <w:p w:rsidR="00414766" w:rsidRPr="00684988" w:rsidRDefault="00414766" w:rsidP="00414766">
            <w:pPr>
              <w:rPr>
                <w:color w:val="000000"/>
                <w:sz w:val="16"/>
                <w:szCs w:val="16"/>
              </w:rPr>
            </w:pPr>
          </w:p>
        </w:tc>
        <w:tc>
          <w:tcPr>
            <w:tcW w:w="1334" w:type="dxa"/>
            <w:vMerge/>
            <w:tcBorders>
              <w:left w:val="single" w:sz="4" w:space="0" w:color="auto"/>
              <w:bottom w:val="single" w:sz="4" w:space="0" w:color="auto"/>
            </w:tcBorders>
            <w:vAlign w:val="center"/>
          </w:tcPr>
          <w:p w:rsidR="00414766" w:rsidRPr="00684988" w:rsidRDefault="00414766" w:rsidP="00414766">
            <w:pPr>
              <w:rPr>
                <w:color w:val="000000"/>
                <w:sz w:val="16"/>
                <w:szCs w:val="16"/>
              </w:rPr>
            </w:pPr>
          </w:p>
        </w:tc>
      </w:tr>
      <w:tr w:rsidR="00414766" w:rsidRPr="00684988" w:rsidTr="00414766">
        <w:trPr>
          <w:trHeight w:val="300"/>
        </w:trPr>
        <w:tc>
          <w:tcPr>
            <w:tcW w:w="576" w:type="dxa"/>
            <w:tcBorders>
              <w:top w:val="nil"/>
              <w:left w:val="nil"/>
              <w:bottom w:val="single" w:sz="4" w:space="0" w:color="auto"/>
              <w:right w:val="single" w:sz="4" w:space="0" w:color="auto"/>
            </w:tcBorders>
            <w:shd w:val="clear" w:color="auto" w:fill="auto"/>
            <w:noWrap/>
            <w:vAlign w:val="center"/>
          </w:tcPr>
          <w:p w:rsidR="00414766" w:rsidRPr="00684988" w:rsidRDefault="00414766" w:rsidP="00414766">
            <w:pPr>
              <w:jc w:val="center"/>
              <w:rPr>
                <w:color w:val="000000"/>
                <w:sz w:val="16"/>
                <w:szCs w:val="16"/>
              </w:rPr>
            </w:pPr>
            <w:r w:rsidRPr="00684988">
              <w:rPr>
                <w:color w:val="000000"/>
                <w:sz w:val="16"/>
                <w:szCs w:val="16"/>
              </w:rPr>
              <w:t>245</w:t>
            </w:r>
          </w:p>
        </w:tc>
        <w:tc>
          <w:tcPr>
            <w:tcW w:w="2440" w:type="dxa"/>
            <w:tcBorders>
              <w:top w:val="nil"/>
              <w:left w:val="nil"/>
              <w:bottom w:val="single" w:sz="4" w:space="0" w:color="auto"/>
              <w:right w:val="single" w:sz="4" w:space="0" w:color="auto"/>
            </w:tcBorders>
            <w:shd w:val="clear" w:color="auto" w:fill="auto"/>
            <w:vAlign w:val="center"/>
          </w:tcPr>
          <w:p w:rsidR="00414766" w:rsidRPr="00684988" w:rsidRDefault="00414766" w:rsidP="00414766">
            <w:pPr>
              <w:rPr>
                <w:sz w:val="14"/>
                <w:szCs w:val="14"/>
              </w:rPr>
            </w:pPr>
            <w:r w:rsidRPr="00684988">
              <w:rPr>
                <w:sz w:val="14"/>
                <w:szCs w:val="14"/>
              </w:rPr>
              <w:t xml:space="preserve">Produtos farmacêuticos            </w:t>
            </w:r>
          </w:p>
        </w:tc>
        <w:tc>
          <w:tcPr>
            <w:tcW w:w="1487" w:type="dxa"/>
            <w:tcBorders>
              <w:top w:val="nil"/>
              <w:left w:val="nil"/>
              <w:bottom w:val="single" w:sz="4" w:space="0" w:color="auto"/>
              <w:right w:val="single" w:sz="4" w:space="0" w:color="auto"/>
            </w:tcBorders>
            <w:shd w:val="clear" w:color="auto" w:fill="auto"/>
            <w:noWrap/>
            <w:vAlign w:val="center"/>
          </w:tcPr>
          <w:p w:rsidR="00414766" w:rsidRPr="00684988" w:rsidRDefault="00414766" w:rsidP="00414766">
            <w:pPr>
              <w:jc w:val="center"/>
              <w:rPr>
                <w:color w:val="000000"/>
                <w:sz w:val="16"/>
                <w:szCs w:val="16"/>
              </w:rPr>
            </w:pPr>
            <w:r w:rsidRPr="00684988">
              <w:rPr>
                <w:color w:val="000000"/>
                <w:sz w:val="16"/>
                <w:szCs w:val="16"/>
              </w:rPr>
              <w:t> </w:t>
            </w:r>
            <w:r>
              <w:rPr>
                <w:color w:val="000000"/>
                <w:sz w:val="16"/>
                <w:szCs w:val="16"/>
              </w:rPr>
              <w:t>Baseado em Ciência</w:t>
            </w:r>
          </w:p>
        </w:tc>
        <w:tc>
          <w:tcPr>
            <w:tcW w:w="576" w:type="dxa"/>
            <w:tcBorders>
              <w:top w:val="nil"/>
              <w:left w:val="nil"/>
              <w:bottom w:val="single" w:sz="4" w:space="0" w:color="auto"/>
              <w:right w:val="single" w:sz="4" w:space="0" w:color="auto"/>
            </w:tcBorders>
            <w:vAlign w:val="center"/>
          </w:tcPr>
          <w:p w:rsidR="00414766" w:rsidRPr="00684988" w:rsidRDefault="00414766" w:rsidP="00414766">
            <w:pPr>
              <w:jc w:val="center"/>
              <w:rPr>
                <w:color w:val="000000"/>
                <w:sz w:val="16"/>
                <w:szCs w:val="16"/>
              </w:rPr>
            </w:pPr>
            <w:r w:rsidRPr="00684988">
              <w:rPr>
                <w:color w:val="000000"/>
                <w:sz w:val="16"/>
                <w:szCs w:val="16"/>
              </w:rPr>
              <w:t>332</w:t>
            </w:r>
          </w:p>
        </w:tc>
        <w:tc>
          <w:tcPr>
            <w:tcW w:w="2231" w:type="dxa"/>
            <w:tcBorders>
              <w:top w:val="nil"/>
              <w:left w:val="nil"/>
              <w:bottom w:val="single" w:sz="4" w:space="0" w:color="auto"/>
              <w:right w:val="single" w:sz="4" w:space="0" w:color="auto"/>
            </w:tcBorders>
            <w:vAlign w:val="center"/>
          </w:tcPr>
          <w:p w:rsidR="00414766" w:rsidRPr="00684988" w:rsidRDefault="00414766" w:rsidP="00414766">
            <w:pPr>
              <w:rPr>
                <w:sz w:val="14"/>
                <w:szCs w:val="14"/>
              </w:rPr>
            </w:pPr>
            <w:r w:rsidRPr="00684988">
              <w:rPr>
                <w:sz w:val="14"/>
                <w:szCs w:val="14"/>
              </w:rPr>
              <w:t xml:space="preserve">Aparelhos e instrumentos de medida, teste e controle            </w:t>
            </w:r>
          </w:p>
        </w:tc>
        <w:tc>
          <w:tcPr>
            <w:tcW w:w="1334" w:type="dxa"/>
            <w:tcBorders>
              <w:top w:val="nil"/>
              <w:left w:val="nil"/>
              <w:bottom w:val="single" w:sz="4" w:space="0" w:color="auto"/>
            </w:tcBorders>
            <w:vAlign w:val="center"/>
          </w:tcPr>
          <w:p w:rsidR="00414766" w:rsidRPr="00684988" w:rsidRDefault="00414766" w:rsidP="00414766">
            <w:pPr>
              <w:jc w:val="center"/>
              <w:rPr>
                <w:color w:val="000000"/>
                <w:sz w:val="16"/>
                <w:szCs w:val="16"/>
              </w:rPr>
            </w:pPr>
            <w:r>
              <w:rPr>
                <w:color w:val="000000"/>
                <w:sz w:val="16"/>
                <w:szCs w:val="16"/>
              </w:rPr>
              <w:t>Baseado em Ciência</w:t>
            </w:r>
            <w:r w:rsidRPr="00684988">
              <w:rPr>
                <w:color w:val="000000"/>
                <w:sz w:val="16"/>
                <w:szCs w:val="16"/>
              </w:rPr>
              <w:t> </w:t>
            </w:r>
          </w:p>
        </w:tc>
      </w:tr>
      <w:tr w:rsidR="00414766" w:rsidRPr="00684988" w:rsidTr="00414766">
        <w:trPr>
          <w:trHeight w:val="300"/>
        </w:trPr>
        <w:tc>
          <w:tcPr>
            <w:tcW w:w="576" w:type="dxa"/>
            <w:tcBorders>
              <w:top w:val="nil"/>
              <w:left w:val="nil"/>
              <w:bottom w:val="single" w:sz="4" w:space="0" w:color="auto"/>
              <w:right w:val="single" w:sz="4" w:space="0" w:color="auto"/>
            </w:tcBorders>
            <w:shd w:val="clear" w:color="auto" w:fill="auto"/>
            <w:noWrap/>
            <w:vAlign w:val="center"/>
          </w:tcPr>
          <w:p w:rsidR="00414766" w:rsidRPr="00684988" w:rsidRDefault="00414766" w:rsidP="00414766">
            <w:pPr>
              <w:jc w:val="center"/>
              <w:rPr>
                <w:color w:val="000000"/>
                <w:sz w:val="16"/>
                <w:szCs w:val="16"/>
              </w:rPr>
            </w:pPr>
            <w:r w:rsidRPr="00684988">
              <w:rPr>
                <w:color w:val="000000"/>
                <w:sz w:val="16"/>
                <w:szCs w:val="16"/>
              </w:rPr>
              <w:t>246</w:t>
            </w:r>
          </w:p>
        </w:tc>
        <w:tc>
          <w:tcPr>
            <w:tcW w:w="2440" w:type="dxa"/>
            <w:tcBorders>
              <w:top w:val="nil"/>
              <w:left w:val="nil"/>
              <w:bottom w:val="single" w:sz="4" w:space="0" w:color="auto"/>
              <w:right w:val="single" w:sz="4" w:space="0" w:color="auto"/>
            </w:tcBorders>
            <w:shd w:val="clear" w:color="auto" w:fill="auto"/>
            <w:vAlign w:val="center"/>
          </w:tcPr>
          <w:p w:rsidR="00414766" w:rsidRPr="00684988" w:rsidRDefault="00414766" w:rsidP="00414766">
            <w:pPr>
              <w:rPr>
                <w:sz w:val="14"/>
                <w:szCs w:val="14"/>
              </w:rPr>
            </w:pPr>
            <w:r w:rsidRPr="00684988">
              <w:rPr>
                <w:sz w:val="14"/>
                <w:szCs w:val="14"/>
              </w:rPr>
              <w:t xml:space="preserve">Defensivos agrícolas            </w:t>
            </w:r>
          </w:p>
        </w:tc>
        <w:tc>
          <w:tcPr>
            <w:tcW w:w="1487" w:type="dxa"/>
            <w:tcBorders>
              <w:top w:val="nil"/>
              <w:left w:val="nil"/>
              <w:bottom w:val="single" w:sz="4" w:space="0" w:color="auto"/>
              <w:right w:val="single" w:sz="4" w:space="0" w:color="auto"/>
            </w:tcBorders>
            <w:shd w:val="clear" w:color="auto" w:fill="auto"/>
            <w:noWrap/>
            <w:vAlign w:val="center"/>
          </w:tcPr>
          <w:p w:rsidR="00414766" w:rsidRPr="00684988" w:rsidRDefault="00414766" w:rsidP="00414766">
            <w:pPr>
              <w:jc w:val="center"/>
              <w:rPr>
                <w:color w:val="000000"/>
                <w:sz w:val="16"/>
                <w:szCs w:val="16"/>
              </w:rPr>
            </w:pPr>
            <w:r w:rsidRPr="00684988">
              <w:rPr>
                <w:color w:val="000000"/>
                <w:sz w:val="16"/>
                <w:szCs w:val="16"/>
              </w:rPr>
              <w:t> </w:t>
            </w:r>
            <w:r>
              <w:rPr>
                <w:color w:val="000000"/>
                <w:sz w:val="16"/>
                <w:szCs w:val="16"/>
              </w:rPr>
              <w:t>Baseado em Ciência</w:t>
            </w:r>
          </w:p>
        </w:tc>
        <w:tc>
          <w:tcPr>
            <w:tcW w:w="576" w:type="dxa"/>
            <w:tcBorders>
              <w:top w:val="nil"/>
              <w:left w:val="nil"/>
              <w:bottom w:val="single" w:sz="4" w:space="0" w:color="auto"/>
              <w:right w:val="single" w:sz="4" w:space="0" w:color="auto"/>
            </w:tcBorders>
            <w:vAlign w:val="center"/>
          </w:tcPr>
          <w:p w:rsidR="00414766" w:rsidRPr="00684988" w:rsidRDefault="00414766" w:rsidP="00414766">
            <w:pPr>
              <w:jc w:val="center"/>
              <w:rPr>
                <w:color w:val="000000"/>
                <w:sz w:val="16"/>
                <w:szCs w:val="16"/>
              </w:rPr>
            </w:pPr>
            <w:r w:rsidRPr="00684988">
              <w:rPr>
                <w:color w:val="000000"/>
                <w:sz w:val="16"/>
                <w:szCs w:val="16"/>
              </w:rPr>
              <w:t>341</w:t>
            </w:r>
          </w:p>
        </w:tc>
        <w:tc>
          <w:tcPr>
            <w:tcW w:w="2231" w:type="dxa"/>
            <w:tcBorders>
              <w:top w:val="nil"/>
              <w:left w:val="nil"/>
              <w:bottom w:val="single" w:sz="4" w:space="0" w:color="auto"/>
              <w:right w:val="single" w:sz="4" w:space="0" w:color="auto"/>
            </w:tcBorders>
            <w:vAlign w:val="center"/>
          </w:tcPr>
          <w:p w:rsidR="00414766" w:rsidRPr="00684988" w:rsidRDefault="00414766" w:rsidP="00414766">
            <w:pPr>
              <w:rPr>
                <w:sz w:val="14"/>
                <w:szCs w:val="14"/>
              </w:rPr>
            </w:pPr>
            <w:r w:rsidRPr="00684988">
              <w:rPr>
                <w:sz w:val="14"/>
                <w:szCs w:val="14"/>
              </w:rPr>
              <w:t xml:space="preserve">Aparelhos, instrumentos e materiais ópticos, fotográficos e cinematográficos            </w:t>
            </w:r>
          </w:p>
        </w:tc>
        <w:tc>
          <w:tcPr>
            <w:tcW w:w="1334" w:type="dxa"/>
            <w:tcBorders>
              <w:top w:val="nil"/>
              <w:left w:val="nil"/>
              <w:bottom w:val="single" w:sz="4" w:space="0" w:color="auto"/>
            </w:tcBorders>
            <w:vAlign w:val="center"/>
          </w:tcPr>
          <w:p w:rsidR="00414766" w:rsidRPr="00684988" w:rsidRDefault="00414766" w:rsidP="00414766">
            <w:pPr>
              <w:jc w:val="center"/>
              <w:rPr>
                <w:color w:val="000000"/>
                <w:sz w:val="16"/>
                <w:szCs w:val="16"/>
              </w:rPr>
            </w:pPr>
            <w:r w:rsidRPr="00684988">
              <w:rPr>
                <w:color w:val="000000"/>
                <w:sz w:val="16"/>
                <w:szCs w:val="16"/>
              </w:rPr>
              <w:t> </w:t>
            </w:r>
            <w:r>
              <w:rPr>
                <w:color w:val="000000"/>
                <w:sz w:val="16"/>
                <w:szCs w:val="16"/>
              </w:rPr>
              <w:t>Baseado em Ciência</w:t>
            </w:r>
          </w:p>
        </w:tc>
      </w:tr>
      <w:tr w:rsidR="00414766" w:rsidRPr="00684988" w:rsidTr="00414766">
        <w:trPr>
          <w:trHeight w:val="300"/>
        </w:trPr>
        <w:tc>
          <w:tcPr>
            <w:tcW w:w="576" w:type="dxa"/>
            <w:tcBorders>
              <w:top w:val="nil"/>
              <w:left w:val="nil"/>
              <w:bottom w:val="single" w:sz="4" w:space="0" w:color="auto"/>
              <w:right w:val="single" w:sz="4" w:space="0" w:color="auto"/>
            </w:tcBorders>
            <w:shd w:val="clear" w:color="auto" w:fill="auto"/>
            <w:noWrap/>
            <w:vAlign w:val="center"/>
          </w:tcPr>
          <w:p w:rsidR="00414766" w:rsidRPr="00684988" w:rsidRDefault="00414766" w:rsidP="00414766">
            <w:pPr>
              <w:jc w:val="center"/>
              <w:rPr>
                <w:color w:val="000000"/>
                <w:sz w:val="16"/>
                <w:szCs w:val="16"/>
              </w:rPr>
            </w:pPr>
            <w:r w:rsidRPr="00684988">
              <w:rPr>
                <w:color w:val="000000"/>
                <w:sz w:val="16"/>
                <w:szCs w:val="16"/>
              </w:rPr>
              <w:t>301</w:t>
            </w:r>
          </w:p>
        </w:tc>
        <w:tc>
          <w:tcPr>
            <w:tcW w:w="2440" w:type="dxa"/>
            <w:tcBorders>
              <w:top w:val="nil"/>
              <w:left w:val="nil"/>
              <w:bottom w:val="single" w:sz="4" w:space="0" w:color="auto"/>
              <w:right w:val="single" w:sz="4" w:space="0" w:color="auto"/>
            </w:tcBorders>
            <w:shd w:val="clear" w:color="auto" w:fill="auto"/>
            <w:vAlign w:val="center"/>
          </w:tcPr>
          <w:p w:rsidR="00414766" w:rsidRPr="00684988" w:rsidRDefault="00414766" w:rsidP="00414766">
            <w:pPr>
              <w:rPr>
                <w:sz w:val="14"/>
                <w:szCs w:val="14"/>
              </w:rPr>
            </w:pPr>
            <w:r>
              <w:rPr>
                <w:sz w:val="14"/>
                <w:szCs w:val="14"/>
              </w:rPr>
              <w:t>M&amp;E para informática e escritório</w:t>
            </w:r>
            <w:r w:rsidRPr="00684988">
              <w:rPr>
                <w:sz w:val="14"/>
                <w:szCs w:val="14"/>
              </w:rPr>
              <w:t xml:space="preserve">            </w:t>
            </w:r>
          </w:p>
        </w:tc>
        <w:tc>
          <w:tcPr>
            <w:tcW w:w="1487" w:type="dxa"/>
            <w:tcBorders>
              <w:top w:val="nil"/>
              <w:left w:val="nil"/>
              <w:bottom w:val="single" w:sz="4" w:space="0" w:color="auto"/>
              <w:right w:val="single" w:sz="4" w:space="0" w:color="auto"/>
            </w:tcBorders>
            <w:shd w:val="clear" w:color="auto" w:fill="auto"/>
            <w:noWrap/>
            <w:vAlign w:val="center"/>
          </w:tcPr>
          <w:p w:rsidR="00414766" w:rsidRPr="00684988" w:rsidRDefault="00414766" w:rsidP="00414766">
            <w:pPr>
              <w:jc w:val="center"/>
              <w:rPr>
                <w:color w:val="000000"/>
                <w:sz w:val="16"/>
                <w:szCs w:val="16"/>
              </w:rPr>
            </w:pPr>
            <w:r>
              <w:rPr>
                <w:color w:val="000000"/>
                <w:sz w:val="16"/>
                <w:szCs w:val="16"/>
              </w:rPr>
              <w:t>Baseado em Ciência</w:t>
            </w:r>
            <w:r w:rsidRPr="00684988">
              <w:rPr>
                <w:color w:val="000000"/>
                <w:sz w:val="16"/>
                <w:szCs w:val="16"/>
              </w:rPr>
              <w:t> </w:t>
            </w:r>
          </w:p>
        </w:tc>
        <w:tc>
          <w:tcPr>
            <w:tcW w:w="576" w:type="dxa"/>
            <w:tcBorders>
              <w:top w:val="nil"/>
              <w:left w:val="nil"/>
              <w:bottom w:val="single" w:sz="4" w:space="0" w:color="auto"/>
              <w:right w:val="single" w:sz="4" w:space="0" w:color="auto"/>
            </w:tcBorders>
            <w:vAlign w:val="center"/>
          </w:tcPr>
          <w:p w:rsidR="00414766" w:rsidRPr="00684988" w:rsidRDefault="00414766" w:rsidP="00414766">
            <w:pPr>
              <w:jc w:val="center"/>
              <w:rPr>
                <w:color w:val="000000"/>
                <w:sz w:val="16"/>
                <w:szCs w:val="16"/>
              </w:rPr>
            </w:pPr>
            <w:r w:rsidRPr="00684988">
              <w:rPr>
                <w:color w:val="000000"/>
                <w:sz w:val="16"/>
                <w:szCs w:val="16"/>
              </w:rPr>
              <w:t>342</w:t>
            </w:r>
          </w:p>
        </w:tc>
        <w:tc>
          <w:tcPr>
            <w:tcW w:w="2231" w:type="dxa"/>
            <w:tcBorders>
              <w:top w:val="nil"/>
              <w:left w:val="nil"/>
              <w:bottom w:val="single" w:sz="4" w:space="0" w:color="auto"/>
              <w:right w:val="single" w:sz="4" w:space="0" w:color="auto"/>
            </w:tcBorders>
            <w:vAlign w:val="center"/>
          </w:tcPr>
          <w:p w:rsidR="00414766" w:rsidRPr="00684988" w:rsidRDefault="00414766" w:rsidP="00414766">
            <w:pPr>
              <w:rPr>
                <w:sz w:val="14"/>
                <w:szCs w:val="14"/>
              </w:rPr>
            </w:pPr>
            <w:r w:rsidRPr="00684988">
              <w:rPr>
                <w:sz w:val="14"/>
                <w:szCs w:val="14"/>
              </w:rPr>
              <w:t xml:space="preserve">Automóveis, camionetas e utilitários            </w:t>
            </w:r>
          </w:p>
        </w:tc>
        <w:tc>
          <w:tcPr>
            <w:tcW w:w="1334" w:type="dxa"/>
            <w:tcBorders>
              <w:top w:val="nil"/>
              <w:left w:val="nil"/>
              <w:bottom w:val="single" w:sz="4" w:space="0" w:color="auto"/>
            </w:tcBorders>
            <w:vAlign w:val="center"/>
          </w:tcPr>
          <w:p w:rsidR="00414766" w:rsidRPr="00684988" w:rsidRDefault="00414766" w:rsidP="00414766">
            <w:pPr>
              <w:jc w:val="center"/>
              <w:rPr>
                <w:color w:val="000000"/>
                <w:sz w:val="16"/>
                <w:szCs w:val="16"/>
              </w:rPr>
            </w:pPr>
            <w:r w:rsidRPr="00684988">
              <w:rPr>
                <w:color w:val="000000"/>
                <w:sz w:val="16"/>
                <w:szCs w:val="16"/>
              </w:rPr>
              <w:t> </w:t>
            </w:r>
            <w:r>
              <w:rPr>
                <w:color w:val="000000"/>
                <w:sz w:val="16"/>
                <w:szCs w:val="16"/>
              </w:rPr>
              <w:t>Intensivo em Escala</w:t>
            </w:r>
          </w:p>
        </w:tc>
      </w:tr>
      <w:tr w:rsidR="00414766" w:rsidRPr="00684988" w:rsidTr="00414766">
        <w:trPr>
          <w:trHeight w:val="300"/>
        </w:trPr>
        <w:tc>
          <w:tcPr>
            <w:tcW w:w="576" w:type="dxa"/>
            <w:tcBorders>
              <w:top w:val="nil"/>
              <w:left w:val="nil"/>
              <w:bottom w:val="single" w:sz="4" w:space="0" w:color="auto"/>
              <w:right w:val="single" w:sz="4" w:space="0" w:color="auto"/>
            </w:tcBorders>
            <w:shd w:val="clear" w:color="auto" w:fill="auto"/>
            <w:noWrap/>
            <w:vAlign w:val="center"/>
          </w:tcPr>
          <w:p w:rsidR="00414766" w:rsidRPr="00684988" w:rsidRDefault="00414766" w:rsidP="00414766">
            <w:pPr>
              <w:jc w:val="center"/>
              <w:rPr>
                <w:color w:val="000000"/>
                <w:sz w:val="16"/>
                <w:szCs w:val="16"/>
              </w:rPr>
            </w:pPr>
            <w:r w:rsidRPr="00684988">
              <w:rPr>
                <w:color w:val="000000"/>
                <w:sz w:val="16"/>
                <w:szCs w:val="16"/>
              </w:rPr>
              <w:t>313</w:t>
            </w:r>
          </w:p>
        </w:tc>
        <w:tc>
          <w:tcPr>
            <w:tcW w:w="2440" w:type="dxa"/>
            <w:tcBorders>
              <w:top w:val="nil"/>
              <w:left w:val="nil"/>
              <w:bottom w:val="single" w:sz="4" w:space="0" w:color="auto"/>
              <w:right w:val="single" w:sz="4" w:space="0" w:color="auto"/>
            </w:tcBorders>
            <w:shd w:val="clear" w:color="auto" w:fill="auto"/>
            <w:vAlign w:val="center"/>
          </w:tcPr>
          <w:p w:rsidR="00414766" w:rsidRPr="00684988" w:rsidRDefault="00414766" w:rsidP="00414766">
            <w:pPr>
              <w:rPr>
                <w:sz w:val="14"/>
                <w:szCs w:val="14"/>
              </w:rPr>
            </w:pPr>
            <w:r w:rsidRPr="00684988">
              <w:rPr>
                <w:sz w:val="14"/>
                <w:szCs w:val="14"/>
              </w:rPr>
              <w:t xml:space="preserve">Fios, cabos e condutores elétricos isolados            </w:t>
            </w:r>
          </w:p>
        </w:tc>
        <w:tc>
          <w:tcPr>
            <w:tcW w:w="1487" w:type="dxa"/>
            <w:tcBorders>
              <w:top w:val="nil"/>
              <w:left w:val="nil"/>
              <w:bottom w:val="single" w:sz="4" w:space="0" w:color="auto"/>
              <w:right w:val="single" w:sz="4" w:space="0" w:color="auto"/>
            </w:tcBorders>
            <w:shd w:val="clear" w:color="auto" w:fill="auto"/>
            <w:noWrap/>
            <w:vAlign w:val="center"/>
          </w:tcPr>
          <w:p w:rsidR="00414766" w:rsidRPr="00684988" w:rsidRDefault="00414766" w:rsidP="00414766">
            <w:pPr>
              <w:jc w:val="center"/>
              <w:rPr>
                <w:color w:val="000000"/>
                <w:sz w:val="16"/>
                <w:szCs w:val="16"/>
              </w:rPr>
            </w:pPr>
            <w:r>
              <w:rPr>
                <w:color w:val="000000"/>
                <w:sz w:val="16"/>
                <w:szCs w:val="16"/>
              </w:rPr>
              <w:t>Baseado em Ciência</w:t>
            </w:r>
            <w:r w:rsidRPr="00684988">
              <w:rPr>
                <w:color w:val="000000"/>
                <w:sz w:val="16"/>
                <w:szCs w:val="16"/>
              </w:rPr>
              <w:t> </w:t>
            </w:r>
          </w:p>
        </w:tc>
        <w:tc>
          <w:tcPr>
            <w:tcW w:w="576" w:type="dxa"/>
            <w:tcBorders>
              <w:top w:val="nil"/>
              <w:left w:val="nil"/>
              <w:bottom w:val="single" w:sz="4" w:space="0" w:color="auto"/>
              <w:right w:val="single" w:sz="4" w:space="0" w:color="auto"/>
            </w:tcBorders>
            <w:vAlign w:val="center"/>
          </w:tcPr>
          <w:p w:rsidR="00414766" w:rsidRPr="00684988" w:rsidRDefault="00414766" w:rsidP="00414766">
            <w:pPr>
              <w:jc w:val="center"/>
              <w:rPr>
                <w:color w:val="000000"/>
                <w:sz w:val="16"/>
                <w:szCs w:val="16"/>
              </w:rPr>
            </w:pPr>
            <w:r w:rsidRPr="00684988">
              <w:rPr>
                <w:color w:val="000000"/>
                <w:sz w:val="16"/>
                <w:szCs w:val="16"/>
              </w:rPr>
              <w:t>160</w:t>
            </w:r>
          </w:p>
        </w:tc>
        <w:tc>
          <w:tcPr>
            <w:tcW w:w="2231" w:type="dxa"/>
            <w:tcBorders>
              <w:top w:val="nil"/>
              <w:left w:val="nil"/>
              <w:bottom w:val="single" w:sz="4" w:space="0" w:color="auto"/>
              <w:right w:val="single" w:sz="4" w:space="0" w:color="auto"/>
            </w:tcBorders>
            <w:vAlign w:val="center"/>
          </w:tcPr>
          <w:p w:rsidR="00414766" w:rsidRPr="00684988" w:rsidRDefault="00414766" w:rsidP="00414766">
            <w:pPr>
              <w:rPr>
                <w:sz w:val="14"/>
                <w:szCs w:val="14"/>
              </w:rPr>
            </w:pPr>
            <w:r w:rsidRPr="00684988">
              <w:rPr>
                <w:sz w:val="14"/>
                <w:szCs w:val="14"/>
              </w:rPr>
              <w:t xml:space="preserve">Caminhões e ônibus            </w:t>
            </w:r>
          </w:p>
        </w:tc>
        <w:tc>
          <w:tcPr>
            <w:tcW w:w="1334" w:type="dxa"/>
            <w:tcBorders>
              <w:top w:val="nil"/>
              <w:left w:val="nil"/>
              <w:bottom w:val="single" w:sz="4" w:space="0" w:color="auto"/>
            </w:tcBorders>
            <w:vAlign w:val="center"/>
          </w:tcPr>
          <w:p w:rsidR="00414766" w:rsidRPr="00684988" w:rsidRDefault="00414766" w:rsidP="00414766">
            <w:pPr>
              <w:jc w:val="center"/>
              <w:rPr>
                <w:color w:val="000000"/>
                <w:sz w:val="16"/>
                <w:szCs w:val="16"/>
              </w:rPr>
            </w:pPr>
            <w:r w:rsidRPr="00684988">
              <w:rPr>
                <w:color w:val="000000"/>
                <w:sz w:val="16"/>
                <w:szCs w:val="16"/>
              </w:rPr>
              <w:t> </w:t>
            </w:r>
            <w:r>
              <w:rPr>
                <w:color w:val="000000"/>
                <w:sz w:val="16"/>
                <w:szCs w:val="16"/>
              </w:rPr>
              <w:t>Intensivo em Escala</w:t>
            </w:r>
          </w:p>
        </w:tc>
      </w:tr>
      <w:tr w:rsidR="00414766" w:rsidRPr="00684988" w:rsidTr="00414766">
        <w:trPr>
          <w:trHeight w:val="300"/>
        </w:trPr>
        <w:tc>
          <w:tcPr>
            <w:tcW w:w="576" w:type="dxa"/>
            <w:tcBorders>
              <w:top w:val="nil"/>
              <w:left w:val="nil"/>
              <w:bottom w:val="single" w:sz="4" w:space="0" w:color="auto"/>
              <w:right w:val="single" w:sz="4" w:space="0" w:color="auto"/>
            </w:tcBorders>
            <w:shd w:val="clear" w:color="auto" w:fill="auto"/>
            <w:noWrap/>
            <w:vAlign w:val="center"/>
          </w:tcPr>
          <w:p w:rsidR="00414766" w:rsidRPr="00684988" w:rsidRDefault="00414766" w:rsidP="00414766">
            <w:pPr>
              <w:jc w:val="center"/>
              <w:rPr>
                <w:color w:val="000000"/>
                <w:sz w:val="16"/>
                <w:szCs w:val="16"/>
              </w:rPr>
            </w:pPr>
            <w:r w:rsidRPr="00684988">
              <w:rPr>
                <w:color w:val="000000"/>
                <w:sz w:val="16"/>
                <w:szCs w:val="16"/>
              </w:rPr>
              <w:t>314</w:t>
            </w:r>
          </w:p>
        </w:tc>
        <w:tc>
          <w:tcPr>
            <w:tcW w:w="2440" w:type="dxa"/>
            <w:tcBorders>
              <w:top w:val="nil"/>
              <w:left w:val="nil"/>
              <w:bottom w:val="single" w:sz="4" w:space="0" w:color="auto"/>
              <w:right w:val="single" w:sz="4" w:space="0" w:color="auto"/>
            </w:tcBorders>
            <w:shd w:val="clear" w:color="auto" w:fill="auto"/>
            <w:vAlign w:val="center"/>
          </w:tcPr>
          <w:p w:rsidR="00414766" w:rsidRPr="00684988" w:rsidRDefault="00414766" w:rsidP="00414766">
            <w:pPr>
              <w:rPr>
                <w:sz w:val="14"/>
                <w:szCs w:val="14"/>
              </w:rPr>
            </w:pPr>
            <w:r w:rsidRPr="00684988">
              <w:rPr>
                <w:sz w:val="14"/>
                <w:szCs w:val="14"/>
              </w:rPr>
              <w:t xml:space="preserve">Pilhas, baterias e acumuladores elétricos            </w:t>
            </w:r>
          </w:p>
        </w:tc>
        <w:tc>
          <w:tcPr>
            <w:tcW w:w="1487" w:type="dxa"/>
            <w:tcBorders>
              <w:top w:val="nil"/>
              <w:left w:val="nil"/>
              <w:bottom w:val="single" w:sz="4" w:space="0" w:color="auto"/>
              <w:right w:val="single" w:sz="4" w:space="0" w:color="auto"/>
            </w:tcBorders>
            <w:shd w:val="clear" w:color="auto" w:fill="auto"/>
            <w:noWrap/>
            <w:vAlign w:val="center"/>
          </w:tcPr>
          <w:p w:rsidR="00414766" w:rsidRPr="00684988" w:rsidRDefault="00414766" w:rsidP="00414766">
            <w:pPr>
              <w:jc w:val="center"/>
              <w:rPr>
                <w:color w:val="000000"/>
                <w:sz w:val="16"/>
                <w:szCs w:val="16"/>
              </w:rPr>
            </w:pPr>
            <w:r w:rsidRPr="00684988">
              <w:rPr>
                <w:color w:val="000000"/>
                <w:sz w:val="16"/>
                <w:szCs w:val="16"/>
              </w:rPr>
              <w:t> </w:t>
            </w:r>
            <w:r>
              <w:rPr>
                <w:color w:val="000000"/>
                <w:sz w:val="16"/>
                <w:szCs w:val="16"/>
              </w:rPr>
              <w:t>Baseado em Ciência</w:t>
            </w:r>
          </w:p>
        </w:tc>
        <w:tc>
          <w:tcPr>
            <w:tcW w:w="576" w:type="dxa"/>
            <w:tcBorders>
              <w:top w:val="nil"/>
              <w:left w:val="nil"/>
              <w:bottom w:val="single" w:sz="4" w:space="0" w:color="auto"/>
              <w:right w:val="single" w:sz="4" w:space="0" w:color="auto"/>
            </w:tcBorders>
          </w:tcPr>
          <w:p w:rsidR="00414766" w:rsidRPr="00684988" w:rsidRDefault="00414766" w:rsidP="00414766">
            <w:pPr>
              <w:jc w:val="center"/>
              <w:rPr>
                <w:color w:val="000000"/>
                <w:sz w:val="16"/>
                <w:szCs w:val="16"/>
              </w:rPr>
            </w:pPr>
            <w:r>
              <w:rPr>
                <w:color w:val="000000"/>
                <w:sz w:val="16"/>
                <w:szCs w:val="16"/>
              </w:rPr>
              <w:t>334</w:t>
            </w:r>
          </w:p>
        </w:tc>
        <w:tc>
          <w:tcPr>
            <w:tcW w:w="2231" w:type="dxa"/>
            <w:tcBorders>
              <w:top w:val="nil"/>
              <w:left w:val="nil"/>
              <w:bottom w:val="single" w:sz="4" w:space="0" w:color="auto"/>
              <w:right w:val="single" w:sz="4" w:space="0" w:color="auto"/>
            </w:tcBorders>
            <w:vAlign w:val="center"/>
          </w:tcPr>
          <w:p w:rsidR="00414766" w:rsidRPr="00684988" w:rsidRDefault="00414766" w:rsidP="00414766">
            <w:pPr>
              <w:rPr>
                <w:sz w:val="14"/>
                <w:szCs w:val="14"/>
              </w:rPr>
            </w:pPr>
            <w:r w:rsidRPr="00684988">
              <w:rPr>
                <w:sz w:val="14"/>
                <w:szCs w:val="14"/>
              </w:rPr>
              <w:t xml:space="preserve">Produtos do fumo            </w:t>
            </w:r>
          </w:p>
        </w:tc>
        <w:tc>
          <w:tcPr>
            <w:tcW w:w="1334" w:type="dxa"/>
            <w:tcBorders>
              <w:top w:val="nil"/>
              <w:left w:val="nil"/>
              <w:bottom w:val="single" w:sz="4" w:space="0" w:color="auto"/>
            </w:tcBorders>
            <w:vAlign w:val="center"/>
          </w:tcPr>
          <w:p w:rsidR="00414766" w:rsidRPr="00684988" w:rsidRDefault="00414766" w:rsidP="00414766">
            <w:pPr>
              <w:jc w:val="center"/>
              <w:rPr>
                <w:color w:val="000000"/>
                <w:sz w:val="16"/>
                <w:szCs w:val="16"/>
              </w:rPr>
            </w:pPr>
            <w:r>
              <w:rPr>
                <w:color w:val="000000"/>
                <w:sz w:val="16"/>
                <w:szCs w:val="16"/>
              </w:rPr>
              <w:t>Dominado por fornecedores</w:t>
            </w:r>
            <w:r w:rsidRPr="00684988">
              <w:rPr>
                <w:color w:val="000000"/>
                <w:sz w:val="16"/>
                <w:szCs w:val="16"/>
              </w:rPr>
              <w:t> </w:t>
            </w:r>
          </w:p>
        </w:tc>
      </w:tr>
      <w:tr w:rsidR="00414766" w:rsidRPr="00684988" w:rsidTr="00414766">
        <w:trPr>
          <w:trHeight w:val="300"/>
        </w:trPr>
        <w:tc>
          <w:tcPr>
            <w:tcW w:w="576" w:type="dxa"/>
            <w:tcBorders>
              <w:top w:val="nil"/>
              <w:left w:val="nil"/>
              <w:bottom w:val="single" w:sz="4" w:space="0" w:color="auto"/>
              <w:right w:val="single" w:sz="4" w:space="0" w:color="auto"/>
            </w:tcBorders>
            <w:shd w:val="clear" w:color="auto" w:fill="auto"/>
            <w:noWrap/>
            <w:vAlign w:val="center"/>
          </w:tcPr>
          <w:p w:rsidR="00414766" w:rsidRPr="00684988" w:rsidRDefault="00414766" w:rsidP="00414766">
            <w:pPr>
              <w:jc w:val="center"/>
              <w:rPr>
                <w:color w:val="000000"/>
                <w:sz w:val="16"/>
                <w:szCs w:val="16"/>
              </w:rPr>
            </w:pPr>
            <w:r w:rsidRPr="00684988">
              <w:rPr>
                <w:color w:val="000000"/>
                <w:sz w:val="16"/>
                <w:szCs w:val="16"/>
              </w:rPr>
              <w:t>329</w:t>
            </w:r>
          </w:p>
        </w:tc>
        <w:tc>
          <w:tcPr>
            <w:tcW w:w="2440" w:type="dxa"/>
            <w:tcBorders>
              <w:top w:val="nil"/>
              <w:left w:val="nil"/>
              <w:bottom w:val="single" w:sz="4" w:space="0" w:color="auto"/>
              <w:right w:val="single" w:sz="4" w:space="0" w:color="auto"/>
            </w:tcBorders>
            <w:shd w:val="clear" w:color="auto" w:fill="auto"/>
            <w:vAlign w:val="center"/>
          </w:tcPr>
          <w:p w:rsidR="00414766" w:rsidRPr="00684988" w:rsidRDefault="00414766" w:rsidP="00414766">
            <w:pPr>
              <w:rPr>
                <w:sz w:val="14"/>
                <w:szCs w:val="14"/>
              </w:rPr>
            </w:pPr>
            <w:r w:rsidRPr="00684988">
              <w:rPr>
                <w:sz w:val="14"/>
                <w:szCs w:val="14"/>
              </w:rPr>
              <w:t xml:space="preserve">Aparelhos e equipamentos de telefonia e radiotelefonia e de transmissores de televisão e rádio            </w:t>
            </w:r>
          </w:p>
        </w:tc>
        <w:tc>
          <w:tcPr>
            <w:tcW w:w="1487" w:type="dxa"/>
            <w:tcBorders>
              <w:top w:val="nil"/>
              <w:left w:val="nil"/>
              <w:bottom w:val="single" w:sz="4" w:space="0" w:color="auto"/>
              <w:right w:val="single" w:sz="4" w:space="0" w:color="auto"/>
            </w:tcBorders>
            <w:shd w:val="clear" w:color="auto" w:fill="auto"/>
            <w:noWrap/>
            <w:vAlign w:val="center"/>
          </w:tcPr>
          <w:p w:rsidR="00414766" w:rsidRPr="00684988" w:rsidRDefault="00414766" w:rsidP="00414766">
            <w:pPr>
              <w:jc w:val="center"/>
              <w:rPr>
                <w:color w:val="000000"/>
                <w:sz w:val="16"/>
                <w:szCs w:val="16"/>
              </w:rPr>
            </w:pPr>
            <w:r w:rsidRPr="00684988">
              <w:rPr>
                <w:color w:val="000000"/>
                <w:sz w:val="16"/>
                <w:szCs w:val="16"/>
              </w:rPr>
              <w:t> </w:t>
            </w:r>
            <w:r>
              <w:rPr>
                <w:color w:val="000000"/>
                <w:sz w:val="16"/>
                <w:szCs w:val="16"/>
              </w:rPr>
              <w:t>Baseado em Ciência</w:t>
            </w:r>
          </w:p>
        </w:tc>
        <w:tc>
          <w:tcPr>
            <w:tcW w:w="576" w:type="dxa"/>
            <w:tcBorders>
              <w:top w:val="nil"/>
              <w:left w:val="nil"/>
              <w:bottom w:val="single" w:sz="4" w:space="0" w:color="auto"/>
              <w:right w:val="single" w:sz="4" w:space="0" w:color="auto"/>
            </w:tcBorders>
          </w:tcPr>
          <w:p w:rsidR="00414766" w:rsidRPr="00684988" w:rsidRDefault="00414766" w:rsidP="00414766">
            <w:pPr>
              <w:jc w:val="center"/>
              <w:rPr>
                <w:color w:val="000000"/>
                <w:sz w:val="16"/>
                <w:szCs w:val="16"/>
              </w:rPr>
            </w:pPr>
            <w:r>
              <w:rPr>
                <w:color w:val="000000"/>
                <w:sz w:val="16"/>
                <w:szCs w:val="16"/>
              </w:rPr>
              <w:t>-</w:t>
            </w:r>
          </w:p>
        </w:tc>
        <w:tc>
          <w:tcPr>
            <w:tcW w:w="2231" w:type="dxa"/>
            <w:tcBorders>
              <w:top w:val="nil"/>
              <w:left w:val="nil"/>
              <w:bottom w:val="single" w:sz="4" w:space="0" w:color="auto"/>
              <w:right w:val="single" w:sz="4" w:space="0" w:color="auto"/>
            </w:tcBorders>
          </w:tcPr>
          <w:p w:rsidR="00414766" w:rsidRPr="00684988" w:rsidRDefault="00414766" w:rsidP="00414766">
            <w:pPr>
              <w:jc w:val="center"/>
              <w:rPr>
                <w:color w:val="000000"/>
                <w:sz w:val="16"/>
                <w:szCs w:val="16"/>
              </w:rPr>
            </w:pPr>
            <w:r>
              <w:rPr>
                <w:color w:val="000000"/>
                <w:sz w:val="16"/>
                <w:szCs w:val="16"/>
              </w:rPr>
              <w:t>-</w:t>
            </w:r>
          </w:p>
        </w:tc>
        <w:tc>
          <w:tcPr>
            <w:tcW w:w="1334" w:type="dxa"/>
            <w:tcBorders>
              <w:top w:val="nil"/>
              <w:left w:val="nil"/>
              <w:bottom w:val="single" w:sz="4" w:space="0" w:color="auto"/>
            </w:tcBorders>
          </w:tcPr>
          <w:p w:rsidR="00414766" w:rsidRPr="00684988" w:rsidRDefault="00414766" w:rsidP="00414766">
            <w:pPr>
              <w:jc w:val="center"/>
              <w:rPr>
                <w:color w:val="000000"/>
                <w:sz w:val="16"/>
                <w:szCs w:val="16"/>
              </w:rPr>
            </w:pPr>
            <w:r>
              <w:rPr>
                <w:color w:val="000000"/>
                <w:sz w:val="16"/>
                <w:szCs w:val="16"/>
              </w:rPr>
              <w:t>-</w:t>
            </w:r>
          </w:p>
        </w:tc>
      </w:tr>
    </w:tbl>
    <w:p w:rsidR="00414766" w:rsidRDefault="00414766" w:rsidP="00692DF9"/>
    <w:p w:rsidR="00414766" w:rsidRDefault="00414766" w:rsidP="00692DF9"/>
    <w:p w:rsidR="00414766" w:rsidRDefault="00414766" w:rsidP="00692DF9"/>
    <w:p w:rsidR="00414766" w:rsidRDefault="00414766" w:rsidP="00692DF9"/>
    <w:p w:rsidR="00414766" w:rsidRDefault="00414766" w:rsidP="00692DF9"/>
    <w:p w:rsidR="00414766" w:rsidRDefault="00414766" w:rsidP="00692DF9"/>
    <w:p w:rsidR="00414766" w:rsidRDefault="00414766" w:rsidP="00692DF9"/>
    <w:p w:rsidR="00414766" w:rsidRDefault="00414766" w:rsidP="00692DF9"/>
    <w:p w:rsidR="00414766" w:rsidRDefault="00414766" w:rsidP="00692DF9"/>
    <w:p w:rsidR="00414766" w:rsidRDefault="00414766" w:rsidP="00692DF9"/>
    <w:p w:rsidR="00414766" w:rsidRDefault="00414766" w:rsidP="00692DF9"/>
    <w:p w:rsidR="00414766" w:rsidRDefault="00414766" w:rsidP="00692DF9"/>
    <w:p w:rsidR="00414766" w:rsidRDefault="00414766" w:rsidP="00692DF9"/>
    <w:p w:rsidR="00692DF9" w:rsidRPr="00DF0435" w:rsidRDefault="00692DF9" w:rsidP="00692DF9">
      <w:pPr>
        <w:rPr>
          <w:sz w:val="16"/>
          <w:szCs w:val="16"/>
        </w:rPr>
      </w:pPr>
      <w:r w:rsidRPr="00DF0435">
        <w:rPr>
          <w:sz w:val="16"/>
          <w:szCs w:val="16"/>
        </w:rPr>
        <w:t>Fonte: Elaboração própria com base em Pavitt (1984) e Campos (2005)</w:t>
      </w:r>
    </w:p>
    <w:p w:rsidR="00692DF9" w:rsidRDefault="00692DF9" w:rsidP="00692DF9">
      <w:pPr>
        <w:spacing w:line="360" w:lineRule="auto"/>
        <w:jc w:val="both"/>
      </w:pPr>
    </w:p>
    <w:p w:rsidR="00692DF9" w:rsidRPr="003A0980" w:rsidRDefault="00692DF9" w:rsidP="00692DF9">
      <w:pPr>
        <w:pStyle w:val="PargrafodaLista"/>
        <w:numPr>
          <w:ilvl w:val="1"/>
          <w:numId w:val="1"/>
        </w:numPr>
        <w:spacing w:line="360" w:lineRule="auto"/>
        <w:jc w:val="both"/>
        <w:rPr>
          <w:b/>
        </w:rPr>
      </w:pPr>
      <w:r w:rsidRPr="003A0980">
        <w:rPr>
          <w:b/>
        </w:rPr>
        <w:t xml:space="preserve">Padrão 4 - Setores Intensivos </w:t>
      </w:r>
      <w:smartTag w:uri="urn:schemas-microsoft-com:office:smarttags" w:element="PersonName">
        <w:smartTagPr>
          <w:attr w:name="ProductID" w:val="em Aprendizagem Interna"/>
        </w:smartTagPr>
        <w:r w:rsidRPr="003A0980">
          <w:rPr>
            <w:b/>
          </w:rPr>
          <w:t>em Aprendizagem Interna</w:t>
        </w:r>
      </w:smartTag>
      <w:r w:rsidRPr="003A0980">
        <w:rPr>
          <w:b/>
        </w:rPr>
        <w:t xml:space="preserve"> e à Jusante.</w:t>
      </w:r>
    </w:p>
    <w:p w:rsidR="00692DF9" w:rsidRDefault="00692DF9" w:rsidP="00692DF9">
      <w:pPr>
        <w:spacing w:line="360" w:lineRule="auto"/>
        <w:jc w:val="both"/>
      </w:pPr>
    </w:p>
    <w:p w:rsidR="00692DF9" w:rsidRDefault="00692DF9" w:rsidP="001A6AC5">
      <w:pPr>
        <w:ind w:firstLine="709"/>
        <w:jc w:val="both"/>
      </w:pPr>
      <w:r>
        <w:t>Como mostram os gráficos da figura 4, os setores agrupados nesse padrão possuem aprendizado centrado em suas fontes internas, complementados pelas interações à jusante, ou seja, com clientes. Tanto os departamentos de P&amp;D, nos quais as informações encontram-se mais codificadas como em outros departamentos como o chão de fábrica onde o conhecimento acumulado é estritamente de caráter tácito, caracterizam a aprendizagem interna. Enquanto que o uso intensivo dos clientes como fonte de aprendizagem apontam o foco das inovações.</w:t>
      </w:r>
    </w:p>
    <w:p w:rsidR="00692DF9" w:rsidRDefault="00692DF9" w:rsidP="001A6AC5">
      <w:pPr>
        <w:ind w:firstLine="709"/>
        <w:jc w:val="both"/>
      </w:pPr>
      <w:r>
        <w:t>Dos indicadores com magnitude negativa, nota-se que o que aponta a interação com fontes avançadas de C&amp;T é o mais próximo da média nacional. As interações podem ser explicadas pela própria procedência universitária dos profissionais voltados as atividades de P&amp;D das firmas, assim como pela potencial relação que associa intensidade de P&amp;D na firma com interação com universidades. Em grande medida os quadros de funcionários dos departamentos de P&amp;D dessas empresas são formados por engenheiros graduados, e pós-graduados. Considerando-se que as próprias práticas de ensino na área de conhecimento de engenharia são intensamente voltadas ao desenvolvimento tecnológico compreende-se que vínculos informais passados são elementos decisivos ao estabelecimento de canais de comunicação entre as partes.</w:t>
      </w:r>
    </w:p>
    <w:p w:rsidR="00692DF9" w:rsidRDefault="00692DF9" w:rsidP="001A6AC5">
      <w:pPr>
        <w:ind w:firstLine="709"/>
        <w:jc w:val="both"/>
      </w:pPr>
      <w:r>
        <w:t>Dos 17 setores agrupados, 9 são classificados como fornecedores especializados, 4 são intensivos em escala e 4 baseados em ciência. Seguindo Pavitt (1984), setores fornecedores especializados suprem diversos ramos industriais com conhecimento resultantes de suas especializações e experiências, sendo o objeto de seus esforços a concepção e construção de produtos para os sistemas produtivos de seus clientes. Processo estimulador natural de interações à jusante.</w:t>
      </w:r>
    </w:p>
    <w:p w:rsidR="00692DF9" w:rsidRDefault="00692DF9" w:rsidP="001A6AC5">
      <w:pPr>
        <w:ind w:firstLine="709"/>
        <w:jc w:val="both"/>
      </w:pPr>
      <w:r>
        <w:rPr>
          <w:noProof/>
        </w:rPr>
        <w:drawing>
          <wp:anchor distT="0" distB="0" distL="114300" distR="114300" simplePos="0" relativeHeight="251662336" behindDoc="0" locked="0" layoutInCell="1" allowOverlap="1">
            <wp:simplePos x="0" y="0"/>
            <wp:positionH relativeFrom="margin">
              <wp:posOffset>-34290</wp:posOffset>
            </wp:positionH>
            <wp:positionV relativeFrom="margin">
              <wp:posOffset>80010</wp:posOffset>
            </wp:positionV>
            <wp:extent cx="1647825" cy="6200775"/>
            <wp:effectExtent l="19050" t="0" r="9525" b="0"/>
            <wp:wrapSquare wrapText="bothSides"/>
            <wp:docPr id="5" name="Imagem 5" descr="Figura 4 - 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a 4 - P4"/>
                    <pic:cNvPicPr>
                      <a:picLocks noChangeAspect="1" noChangeArrowheads="1"/>
                    </pic:cNvPicPr>
                  </pic:nvPicPr>
                  <pic:blipFill>
                    <a:blip r:embed="rId11" cstate="print"/>
                    <a:srcRect/>
                    <a:stretch>
                      <a:fillRect/>
                    </a:stretch>
                  </pic:blipFill>
                  <pic:spPr bwMode="auto">
                    <a:xfrm>
                      <a:off x="0" y="0"/>
                      <a:ext cx="1647825" cy="6200775"/>
                    </a:xfrm>
                    <a:prstGeom prst="rect">
                      <a:avLst/>
                    </a:prstGeom>
                    <a:noFill/>
                    <a:ln w="9525">
                      <a:noFill/>
                      <a:miter lim="800000"/>
                      <a:headEnd/>
                      <a:tailEnd/>
                    </a:ln>
                  </pic:spPr>
                </pic:pic>
              </a:graphicData>
            </a:graphic>
          </wp:anchor>
        </w:drawing>
      </w:r>
      <w:r>
        <w:t>Com relação ao comportamento de aprendizagem das atividades industriais não classificadas como “fornecedoras especializadas”, nota-se que os quatro segmentos do setor químico – resinas, elastômeros, fibras, filamentos artificiais e sintéticos; tintas, vernizes, esmaltes e produtos afins; produtos químicos diversos e químicos inorgânicos -, classificado como “baseados em ciência” na taxonomia Pavitt, de fato, apresentam características de produção que se assemelham as dos “fornecedores especializados”, particularmente, a produção e a inovação voltadas ao consumo industrial.</w:t>
      </w:r>
    </w:p>
    <w:p w:rsidR="00692DF9" w:rsidRDefault="00692DF9" w:rsidP="001A6AC5">
      <w:pPr>
        <w:ind w:firstLine="709"/>
        <w:jc w:val="both"/>
      </w:pPr>
      <w:r>
        <w:t xml:space="preserve"> Entre os setores intensivos em escala, excluindo-se em parte, o de “Construção e reparação de embarcações e veículos ferroviários” nota-se também uma característica similar entre eles, seja, o fato de terem sido foco de política industrial nas décadas e de 1950 e 1960. Três grandes estatais resultaram da política. A Petrobrás voltada à produção de derivados de petróleo, a Engesa, voltada a produção de equipamentos militares e a Embraer, voltada a construção e montagem de Aeronaves. No lugar da falida Engesa, o exército brasileiro tem firmado acordos recentes com empresas privadas para o reaparelhamento de sua frota de equipamentos militares</w:t>
      </w:r>
      <w:r>
        <w:rPr>
          <w:rStyle w:val="Refdenotaderodap"/>
        </w:rPr>
        <w:footnoteReference w:id="21"/>
      </w:r>
      <w:r>
        <w:t xml:space="preserve">. Como se sabe, atividades voltadas ao desenvolvimento de tecnologias na área militar envolvem segredo industrial, dificuldades de aquisição de tecnologias e consequentemente intensidade de no uso de fontes tecnológicas internas, especialmente de P&amp;D. Uma vez que o exército é o principal cliente, a necessidade do atendimento as exigências dessa demanda se tornam essenciais à produção, o que explica a alta intensidade do indicador (clientes). </w:t>
      </w:r>
    </w:p>
    <w:p w:rsidR="00692DF9" w:rsidRDefault="00692DF9" w:rsidP="001A6AC5">
      <w:pPr>
        <w:ind w:firstLine="709"/>
        <w:jc w:val="both"/>
      </w:pPr>
      <w:r>
        <w:t>O caso da Embraer e da Petrobrás são emblemáticos do resultado positivo das políticas, ainda que a primeira tenha sido privatizada. Trata-se, de duas das maiores empresas brasileiras, e de líderes mundiais em seus segmentos tecnológicos. Naturalmente, pode-se esperar que essas firmas utilizem intensamente outras fontes tecnológicas representadas pelos indicadores de aprendizagem. Contudo, outras empresas fazem parte do setor, as quais, provavelmente utilizem com menor intensidade o conjunto das outras formas de aprendizagem que não aquelas que caracterizam esse padrão</w:t>
      </w:r>
      <w:r>
        <w:rPr>
          <w:rStyle w:val="Refdenotaderodap"/>
        </w:rPr>
        <w:footnoteReference w:id="22"/>
      </w:r>
      <w:r>
        <w:t xml:space="preserve">.   </w:t>
      </w:r>
    </w:p>
    <w:p w:rsidR="00692DF9" w:rsidRDefault="00692DF9" w:rsidP="00692DF9"/>
    <w:p w:rsidR="00414766" w:rsidRDefault="00414766" w:rsidP="00692DF9"/>
    <w:p w:rsidR="00414766" w:rsidRDefault="00414766" w:rsidP="00692DF9"/>
    <w:p w:rsidR="00414766" w:rsidRDefault="00414766" w:rsidP="00692DF9"/>
    <w:p w:rsidR="00414766" w:rsidRDefault="00414766" w:rsidP="00692DF9"/>
    <w:p w:rsidR="00414766" w:rsidRDefault="00414766" w:rsidP="00692DF9"/>
    <w:p w:rsidR="00414766" w:rsidRDefault="00414766" w:rsidP="00692DF9"/>
    <w:p w:rsidR="00414766" w:rsidRDefault="00414766" w:rsidP="00692DF9"/>
    <w:p w:rsidR="00414766" w:rsidRDefault="00414766" w:rsidP="00692DF9"/>
    <w:p w:rsidR="00414766" w:rsidRDefault="00414766" w:rsidP="00692DF9"/>
    <w:p w:rsidR="00692DF9" w:rsidRPr="00E0507A" w:rsidRDefault="00692DF9" w:rsidP="00692DF9">
      <w:r w:rsidRPr="00E0507A">
        <w:t xml:space="preserve">Tabela </w:t>
      </w:r>
      <w:r>
        <w:t>4</w:t>
      </w:r>
      <w:r w:rsidRPr="00E0507A">
        <w:t>: Setores Intensivos em Aprendizagem Interna e à Jusante: taxonomia Pavitt</w:t>
      </w:r>
      <w:r>
        <w:t xml:space="preserve"> relacionada</w:t>
      </w:r>
      <w:r w:rsidRPr="00E0507A">
        <w:t>.</w:t>
      </w:r>
    </w:p>
    <w:tbl>
      <w:tblPr>
        <w:tblW w:w="0" w:type="auto"/>
        <w:jc w:val="center"/>
        <w:tblCellMar>
          <w:left w:w="70" w:type="dxa"/>
          <w:right w:w="70" w:type="dxa"/>
        </w:tblCellMar>
        <w:tblLook w:val="04A0"/>
      </w:tblPr>
      <w:tblGrid>
        <w:gridCol w:w="594"/>
        <w:gridCol w:w="2726"/>
        <w:gridCol w:w="1625"/>
        <w:gridCol w:w="594"/>
        <w:gridCol w:w="2864"/>
        <w:gridCol w:w="1375"/>
      </w:tblGrid>
      <w:tr w:rsidR="00692DF9" w:rsidRPr="00684988" w:rsidTr="001A6AC5">
        <w:trPr>
          <w:trHeight w:val="383"/>
          <w:jc w:val="center"/>
        </w:trPr>
        <w:tc>
          <w:tcPr>
            <w:tcW w:w="0" w:type="auto"/>
            <w:vMerge w:val="restart"/>
            <w:tcBorders>
              <w:top w:val="single" w:sz="4" w:space="0" w:color="auto"/>
              <w:left w:val="nil"/>
              <w:bottom w:val="single" w:sz="4" w:space="0" w:color="auto"/>
              <w:right w:val="single" w:sz="4" w:space="0" w:color="auto"/>
            </w:tcBorders>
            <w:shd w:val="clear" w:color="auto" w:fill="auto"/>
            <w:vAlign w:val="center"/>
          </w:tcPr>
          <w:p w:rsidR="00692DF9" w:rsidRPr="00E0507A" w:rsidRDefault="00692DF9" w:rsidP="001A6AC5">
            <w:pPr>
              <w:jc w:val="center"/>
              <w:rPr>
                <w:b/>
                <w:color w:val="000000"/>
                <w:sz w:val="16"/>
                <w:szCs w:val="16"/>
              </w:rPr>
            </w:pPr>
            <w:r w:rsidRPr="00E0507A">
              <w:rPr>
                <w:b/>
                <w:color w:val="000000"/>
                <w:sz w:val="16"/>
                <w:szCs w:val="16"/>
              </w:rPr>
              <w:t>CNAE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2DF9" w:rsidRPr="00E0507A" w:rsidRDefault="00692DF9" w:rsidP="001A6AC5">
            <w:pPr>
              <w:jc w:val="center"/>
              <w:rPr>
                <w:b/>
                <w:color w:val="000000"/>
                <w:sz w:val="16"/>
                <w:szCs w:val="16"/>
              </w:rPr>
            </w:pPr>
            <w:r w:rsidRPr="00E0507A">
              <w:rPr>
                <w:b/>
                <w:color w:val="000000"/>
                <w:sz w:val="16"/>
                <w:szCs w:val="16"/>
              </w:rPr>
              <w:t>Atividade Produtiva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2DF9" w:rsidRDefault="00692DF9" w:rsidP="001A6AC5">
            <w:pPr>
              <w:jc w:val="center"/>
              <w:rPr>
                <w:b/>
                <w:color w:val="000000"/>
                <w:sz w:val="16"/>
                <w:szCs w:val="16"/>
              </w:rPr>
            </w:pPr>
            <w:r w:rsidRPr="00E0507A">
              <w:rPr>
                <w:b/>
                <w:color w:val="000000"/>
                <w:sz w:val="16"/>
                <w:szCs w:val="16"/>
              </w:rPr>
              <w:t>Taxonomia</w:t>
            </w:r>
          </w:p>
          <w:p w:rsidR="00692DF9" w:rsidRPr="00E0507A" w:rsidRDefault="00692DF9" w:rsidP="001A6AC5">
            <w:pPr>
              <w:jc w:val="center"/>
              <w:rPr>
                <w:b/>
                <w:color w:val="000000"/>
                <w:sz w:val="16"/>
                <w:szCs w:val="16"/>
              </w:rPr>
            </w:pPr>
            <w:r w:rsidRPr="00E0507A">
              <w:rPr>
                <w:b/>
                <w:color w:val="000000"/>
                <w:sz w:val="16"/>
                <w:szCs w:val="16"/>
              </w:rPr>
              <w:t xml:space="preserve"> Pavitt</w:t>
            </w:r>
          </w:p>
        </w:tc>
        <w:tc>
          <w:tcPr>
            <w:tcW w:w="0" w:type="auto"/>
            <w:vMerge w:val="restart"/>
            <w:tcBorders>
              <w:top w:val="single" w:sz="4" w:space="0" w:color="auto"/>
              <w:left w:val="single" w:sz="4" w:space="0" w:color="auto"/>
              <w:right w:val="single" w:sz="4" w:space="0" w:color="auto"/>
            </w:tcBorders>
            <w:vAlign w:val="center"/>
          </w:tcPr>
          <w:p w:rsidR="00692DF9" w:rsidRPr="00E0507A" w:rsidRDefault="00692DF9" w:rsidP="001A6AC5">
            <w:pPr>
              <w:jc w:val="center"/>
              <w:rPr>
                <w:b/>
                <w:color w:val="000000"/>
                <w:sz w:val="16"/>
                <w:szCs w:val="16"/>
              </w:rPr>
            </w:pPr>
            <w:r w:rsidRPr="00E0507A">
              <w:rPr>
                <w:b/>
                <w:color w:val="000000"/>
                <w:sz w:val="16"/>
                <w:szCs w:val="16"/>
              </w:rPr>
              <w:t>CNAE</w:t>
            </w:r>
          </w:p>
        </w:tc>
        <w:tc>
          <w:tcPr>
            <w:tcW w:w="0" w:type="auto"/>
            <w:vMerge w:val="restart"/>
            <w:tcBorders>
              <w:top w:val="single" w:sz="4" w:space="0" w:color="auto"/>
              <w:left w:val="single" w:sz="4" w:space="0" w:color="auto"/>
              <w:right w:val="single" w:sz="4" w:space="0" w:color="auto"/>
            </w:tcBorders>
            <w:vAlign w:val="center"/>
          </w:tcPr>
          <w:p w:rsidR="00692DF9" w:rsidRPr="00E0507A" w:rsidRDefault="00692DF9" w:rsidP="001A6AC5">
            <w:pPr>
              <w:jc w:val="center"/>
              <w:rPr>
                <w:b/>
                <w:color w:val="000000"/>
                <w:sz w:val="16"/>
                <w:szCs w:val="16"/>
              </w:rPr>
            </w:pPr>
            <w:r w:rsidRPr="00E0507A">
              <w:rPr>
                <w:b/>
                <w:color w:val="000000"/>
                <w:sz w:val="16"/>
                <w:szCs w:val="16"/>
              </w:rPr>
              <w:t>Atividade Produtiva</w:t>
            </w:r>
          </w:p>
        </w:tc>
        <w:tc>
          <w:tcPr>
            <w:tcW w:w="0" w:type="auto"/>
            <w:vMerge w:val="restart"/>
            <w:tcBorders>
              <w:top w:val="single" w:sz="4" w:space="0" w:color="auto"/>
              <w:left w:val="single" w:sz="4" w:space="0" w:color="auto"/>
            </w:tcBorders>
            <w:vAlign w:val="center"/>
          </w:tcPr>
          <w:p w:rsidR="00692DF9" w:rsidRPr="00E0507A" w:rsidRDefault="00692DF9" w:rsidP="001A6AC5">
            <w:pPr>
              <w:jc w:val="center"/>
              <w:rPr>
                <w:b/>
                <w:color w:val="000000"/>
                <w:sz w:val="16"/>
                <w:szCs w:val="16"/>
              </w:rPr>
            </w:pPr>
            <w:r w:rsidRPr="00E0507A">
              <w:rPr>
                <w:b/>
                <w:color w:val="000000"/>
                <w:sz w:val="16"/>
                <w:szCs w:val="16"/>
              </w:rPr>
              <w:t>Taxonomia Pavitt</w:t>
            </w:r>
          </w:p>
        </w:tc>
      </w:tr>
      <w:tr w:rsidR="00692DF9" w:rsidRPr="00684988" w:rsidTr="001A6AC5">
        <w:trPr>
          <w:trHeight w:val="383"/>
          <w:jc w:val="center"/>
        </w:trPr>
        <w:tc>
          <w:tcPr>
            <w:tcW w:w="0" w:type="auto"/>
            <w:vMerge/>
            <w:tcBorders>
              <w:top w:val="single" w:sz="4" w:space="0" w:color="auto"/>
              <w:left w:val="nil"/>
              <w:bottom w:val="single" w:sz="4" w:space="0" w:color="auto"/>
              <w:right w:val="single" w:sz="4" w:space="0" w:color="auto"/>
            </w:tcBorders>
            <w:vAlign w:val="center"/>
          </w:tcPr>
          <w:p w:rsidR="00692DF9" w:rsidRPr="00E0507A" w:rsidRDefault="00692DF9" w:rsidP="001A6AC5">
            <w:pPr>
              <w:rPr>
                <w:b/>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2DF9" w:rsidRPr="00E0507A" w:rsidRDefault="00692DF9" w:rsidP="001A6AC5">
            <w:pPr>
              <w:rPr>
                <w:b/>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2DF9" w:rsidRPr="00E0507A" w:rsidRDefault="00692DF9" w:rsidP="001A6AC5">
            <w:pPr>
              <w:rPr>
                <w:b/>
                <w:color w:val="000000"/>
                <w:sz w:val="16"/>
                <w:szCs w:val="16"/>
              </w:rPr>
            </w:pPr>
          </w:p>
        </w:tc>
        <w:tc>
          <w:tcPr>
            <w:tcW w:w="0" w:type="auto"/>
            <w:vMerge/>
            <w:tcBorders>
              <w:left w:val="single" w:sz="4" w:space="0" w:color="auto"/>
              <w:bottom w:val="single" w:sz="4" w:space="0" w:color="auto"/>
              <w:right w:val="single" w:sz="4" w:space="0" w:color="auto"/>
            </w:tcBorders>
            <w:vAlign w:val="center"/>
          </w:tcPr>
          <w:p w:rsidR="00692DF9" w:rsidRPr="00E0507A" w:rsidRDefault="00692DF9" w:rsidP="001A6AC5">
            <w:pPr>
              <w:rPr>
                <w:b/>
                <w:color w:val="000000"/>
                <w:sz w:val="16"/>
                <w:szCs w:val="16"/>
              </w:rPr>
            </w:pPr>
          </w:p>
        </w:tc>
        <w:tc>
          <w:tcPr>
            <w:tcW w:w="0" w:type="auto"/>
            <w:vMerge/>
            <w:tcBorders>
              <w:left w:val="single" w:sz="4" w:space="0" w:color="auto"/>
              <w:bottom w:val="single" w:sz="4" w:space="0" w:color="auto"/>
              <w:right w:val="single" w:sz="4" w:space="0" w:color="auto"/>
            </w:tcBorders>
            <w:vAlign w:val="center"/>
          </w:tcPr>
          <w:p w:rsidR="00692DF9" w:rsidRPr="00E0507A" w:rsidRDefault="00692DF9" w:rsidP="001A6AC5">
            <w:pPr>
              <w:rPr>
                <w:b/>
                <w:color w:val="000000"/>
                <w:sz w:val="16"/>
                <w:szCs w:val="16"/>
              </w:rPr>
            </w:pPr>
          </w:p>
        </w:tc>
        <w:tc>
          <w:tcPr>
            <w:tcW w:w="0" w:type="auto"/>
            <w:vMerge/>
            <w:tcBorders>
              <w:left w:val="single" w:sz="4" w:space="0" w:color="auto"/>
              <w:bottom w:val="single" w:sz="4" w:space="0" w:color="auto"/>
            </w:tcBorders>
            <w:vAlign w:val="center"/>
          </w:tcPr>
          <w:p w:rsidR="00692DF9" w:rsidRPr="00E0507A" w:rsidRDefault="00692DF9" w:rsidP="001A6AC5">
            <w:pPr>
              <w:rPr>
                <w:b/>
                <w:color w:val="000000"/>
                <w:sz w:val="16"/>
                <w:szCs w:val="16"/>
              </w:rPr>
            </w:pPr>
          </w:p>
        </w:tc>
      </w:tr>
      <w:tr w:rsidR="00692DF9" w:rsidRPr="00684988" w:rsidTr="001A6AC5">
        <w:trPr>
          <w:trHeight w:val="383"/>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sidRPr="003167C0">
              <w:rPr>
                <w:color w:val="000000"/>
                <w:sz w:val="14"/>
                <w:szCs w:val="14"/>
              </w:rPr>
              <w:t>241</w:t>
            </w:r>
          </w:p>
        </w:tc>
        <w:tc>
          <w:tcPr>
            <w:tcW w:w="0" w:type="auto"/>
            <w:tcBorders>
              <w:top w:val="nil"/>
              <w:left w:val="nil"/>
              <w:bottom w:val="single" w:sz="4" w:space="0" w:color="auto"/>
              <w:right w:val="single" w:sz="4" w:space="0" w:color="auto"/>
            </w:tcBorders>
            <w:shd w:val="clear" w:color="auto" w:fill="auto"/>
            <w:vAlign w:val="center"/>
          </w:tcPr>
          <w:p w:rsidR="00692DF9" w:rsidRPr="003167C0" w:rsidRDefault="00692DF9" w:rsidP="001A6AC5">
            <w:pPr>
              <w:rPr>
                <w:sz w:val="14"/>
                <w:szCs w:val="14"/>
              </w:rPr>
            </w:pPr>
            <w:r>
              <w:rPr>
                <w:sz w:val="14"/>
                <w:szCs w:val="14"/>
              </w:rPr>
              <w:t>Q</w:t>
            </w:r>
            <w:r w:rsidRPr="003167C0">
              <w:rPr>
                <w:sz w:val="14"/>
                <w:szCs w:val="14"/>
              </w:rPr>
              <w:t xml:space="preserve">uímicos inorgânicos            </w:t>
            </w:r>
          </w:p>
        </w:tc>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Pr>
                <w:color w:val="000000"/>
                <w:sz w:val="14"/>
                <w:szCs w:val="14"/>
              </w:rPr>
              <w:t>Baseados em Ciência</w:t>
            </w:r>
          </w:p>
        </w:tc>
        <w:tc>
          <w:tcPr>
            <w:tcW w:w="0" w:type="auto"/>
            <w:tcBorders>
              <w:top w:val="nil"/>
              <w:left w:val="nil"/>
              <w:bottom w:val="single" w:sz="4" w:space="0" w:color="auto"/>
              <w:right w:val="single" w:sz="4" w:space="0" w:color="auto"/>
            </w:tcBorders>
            <w:vAlign w:val="center"/>
          </w:tcPr>
          <w:p w:rsidR="00692DF9" w:rsidRPr="003167C0" w:rsidRDefault="00692DF9" w:rsidP="001A6AC5">
            <w:pPr>
              <w:jc w:val="center"/>
              <w:rPr>
                <w:color w:val="000000"/>
                <w:sz w:val="14"/>
                <w:szCs w:val="14"/>
              </w:rPr>
            </w:pPr>
            <w:r w:rsidRPr="003167C0">
              <w:rPr>
                <w:color w:val="000000"/>
                <w:sz w:val="14"/>
                <w:szCs w:val="14"/>
              </w:rPr>
              <w:t>316</w:t>
            </w:r>
          </w:p>
        </w:tc>
        <w:tc>
          <w:tcPr>
            <w:tcW w:w="0" w:type="auto"/>
            <w:tcBorders>
              <w:top w:val="nil"/>
              <w:left w:val="nil"/>
              <w:bottom w:val="single" w:sz="4" w:space="0" w:color="auto"/>
              <w:right w:val="single" w:sz="4" w:space="0" w:color="auto"/>
            </w:tcBorders>
            <w:vAlign w:val="center"/>
          </w:tcPr>
          <w:p w:rsidR="00692DF9" w:rsidRPr="003167C0" w:rsidRDefault="00692DF9" w:rsidP="001A6AC5">
            <w:pPr>
              <w:rPr>
                <w:sz w:val="14"/>
                <w:szCs w:val="14"/>
              </w:rPr>
            </w:pPr>
            <w:r w:rsidRPr="003167C0">
              <w:rPr>
                <w:sz w:val="14"/>
                <w:szCs w:val="14"/>
              </w:rPr>
              <w:t xml:space="preserve">Material elétrico para veículos            </w:t>
            </w:r>
          </w:p>
        </w:tc>
        <w:tc>
          <w:tcPr>
            <w:tcW w:w="0" w:type="auto"/>
            <w:tcBorders>
              <w:top w:val="nil"/>
              <w:left w:val="nil"/>
              <w:bottom w:val="single" w:sz="4" w:space="0" w:color="auto"/>
            </w:tcBorders>
            <w:vAlign w:val="center"/>
          </w:tcPr>
          <w:p w:rsidR="00692DF9" w:rsidRPr="003167C0" w:rsidRDefault="00692DF9" w:rsidP="001A6AC5">
            <w:pPr>
              <w:jc w:val="center"/>
              <w:rPr>
                <w:color w:val="000000"/>
                <w:sz w:val="14"/>
                <w:szCs w:val="14"/>
              </w:rPr>
            </w:pPr>
            <w:r w:rsidRPr="003167C0">
              <w:rPr>
                <w:color w:val="000000"/>
                <w:sz w:val="14"/>
                <w:szCs w:val="14"/>
              </w:rPr>
              <w:t> Fornecedor Especializado</w:t>
            </w:r>
          </w:p>
        </w:tc>
      </w:tr>
      <w:tr w:rsidR="00692DF9" w:rsidRPr="00684988" w:rsidTr="001A6AC5">
        <w:trPr>
          <w:trHeight w:val="383"/>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sidRPr="003167C0">
              <w:rPr>
                <w:color w:val="000000"/>
                <w:sz w:val="14"/>
                <w:szCs w:val="14"/>
              </w:rPr>
              <w:t>243</w:t>
            </w:r>
          </w:p>
        </w:tc>
        <w:tc>
          <w:tcPr>
            <w:tcW w:w="0" w:type="auto"/>
            <w:tcBorders>
              <w:top w:val="nil"/>
              <w:left w:val="nil"/>
              <w:bottom w:val="single" w:sz="4" w:space="0" w:color="auto"/>
              <w:right w:val="single" w:sz="4" w:space="0" w:color="auto"/>
            </w:tcBorders>
            <w:shd w:val="clear" w:color="auto" w:fill="auto"/>
            <w:vAlign w:val="center"/>
          </w:tcPr>
          <w:p w:rsidR="00692DF9" w:rsidRPr="003167C0" w:rsidRDefault="00692DF9" w:rsidP="001A6AC5">
            <w:pPr>
              <w:rPr>
                <w:sz w:val="14"/>
                <w:szCs w:val="14"/>
              </w:rPr>
            </w:pPr>
            <w:r w:rsidRPr="003167C0">
              <w:rPr>
                <w:sz w:val="14"/>
                <w:szCs w:val="14"/>
              </w:rPr>
              <w:t xml:space="preserve">Resinas, elastômeros, fibras, </w:t>
            </w:r>
            <w:r>
              <w:rPr>
                <w:sz w:val="14"/>
                <w:szCs w:val="14"/>
              </w:rPr>
              <w:t xml:space="preserve">filamentos </w:t>
            </w:r>
            <w:r w:rsidRPr="003167C0">
              <w:rPr>
                <w:sz w:val="14"/>
                <w:szCs w:val="14"/>
              </w:rPr>
              <w:t xml:space="preserve">artificiais e sintéticos            </w:t>
            </w:r>
          </w:p>
        </w:tc>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Pr>
                <w:color w:val="000000"/>
                <w:sz w:val="14"/>
                <w:szCs w:val="14"/>
              </w:rPr>
              <w:t>Baseados em Ciência</w:t>
            </w:r>
          </w:p>
        </w:tc>
        <w:tc>
          <w:tcPr>
            <w:tcW w:w="0" w:type="auto"/>
            <w:tcBorders>
              <w:top w:val="nil"/>
              <w:left w:val="nil"/>
              <w:bottom w:val="single" w:sz="4" w:space="0" w:color="auto"/>
              <w:right w:val="single" w:sz="4" w:space="0" w:color="auto"/>
            </w:tcBorders>
            <w:vAlign w:val="center"/>
          </w:tcPr>
          <w:p w:rsidR="00692DF9" w:rsidRPr="003167C0" w:rsidRDefault="00692DF9" w:rsidP="001A6AC5">
            <w:pPr>
              <w:jc w:val="center"/>
              <w:rPr>
                <w:color w:val="000000"/>
                <w:sz w:val="14"/>
                <w:szCs w:val="14"/>
              </w:rPr>
            </w:pPr>
            <w:r w:rsidRPr="003167C0">
              <w:rPr>
                <w:color w:val="000000"/>
                <w:sz w:val="14"/>
                <w:szCs w:val="14"/>
              </w:rPr>
              <w:t>318</w:t>
            </w:r>
          </w:p>
        </w:tc>
        <w:tc>
          <w:tcPr>
            <w:tcW w:w="0" w:type="auto"/>
            <w:tcBorders>
              <w:top w:val="nil"/>
              <w:left w:val="nil"/>
              <w:bottom w:val="single" w:sz="4" w:space="0" w:color="auto"/>
              <w:right w:val="single" w:sz="4" w:space="0" w:color="auto"/>
            </w:tcBorders>
            <w:vAlign w:val="center"/>
          </w:tcPr>
          <w:p w:rsidR="00692DF9" w:rsidRPr="003167C0" w:rsidRDefault="00692DF9" w:rsidP="001A6AC5">
            <w:pPr>
              <w:rPr>
                <w:sz w:val="14"/>
                <w:szCs w:val="14"/>
              </w:rPr>
            </w:pPr>
            <w:r w:rsidRPr="003167C0">
              <w:rPr>
                <w:sz w:val="14"/>
                <w:szCs w:val="14"/>
              </w:rPr>
              <w:t>Fabricação</w:t>
            </w:r>
            <w:r>
              <w:rPr>
                <w:sz w:val="14"/>
                <w:szCs w:val="14"/>
              </w:rPr>
              <w:t xml:space="preserve"> </w:t>
            </w:r>
            <w:r w:rsidRPr="003167C0">
              <w:rPr>
                <w:sz w:val="14"/>
                <w:szCs w:val="14"/>
              </w:rPr>
              <w:t xml:space="preserve">e reparação de máquinas, aparelhos e materiais elétricos     </w:t>
            </w:r>
          </w:p>
        </w:tc>
        <w:tc>
          <w:tcPr>
            <w:tcW w:w="0" w:type="auto"/>
            <w:tcBorders>
              <w:top w:val="nil"/>
              <w:left w:val="nil"/>
              <w:bottom w:val="single" w:sz="4" w:space="0" w:color="auto"/>
            </w:tcBorders>
            <w:vAlign w:val="center"/>
          </w:tcPr>
          <w:p w:rsidR="00692DF9" w:rsidRPr="003167C0" w:rsidRDefault="00692DF9" w:rsidP="001A6AC5">
            <w:pPr>
              <w:jc w:val="center"/>
              <w:rPr>
                <w:color w:val="000000"/>
                <w:sz w:val="14"/>
                <w:szCs w:val="14"/>
              </w:rPr>
            </w:pPr>
            <w:r w:rsidRPr="003167C0">
              <w:rPr>
                <w:color w:val="000000"/>
                <w:sz w:val="14"/>
                <w:szCs w:val="14"/>
              </w:rPr>
              <w:t> Fornecedor Especializado</w:t>
            </w:r>
          </w:p>
        </w:tc>
      </w:tr>
      <w:tr w:rsidR="00692DF9" w:rsidRPr="00684988" w:rsidTr="001A6AC5">
        <w:trPr>
          <w:trHeight w:val="383"/>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sidRPr="003167C0">
              <w:rPr>
                <w:color w:val="000000"/>
                <w:sz w:val="14"/>
                <w:szCs w:val="14"/>
              </w:rPr>
              <w:t>248</w:t>
            </w:r>
          </w:p>
        </w:tc>
        <w:tc>
          <w:tcPr>
            <w:tcW w:w="0" w:type="auto"/>
            <w:tcBorders>
              <w:top w:val="nil"/>
              <w:left w:val="nil"/>
              <w:bottom w:val="single" w:sz="4" w:space="0" w:color="auto"/>
              <w:right w:val="single" w:sz="4" w:space="0" w:color="auto"/>
            </w:tcBorders>
            <w:shd w:val="clear" w:color="auto" w:fill="auto"/>
            <w:vAlign w:val="center"/>
          </w:tcPr>
          <w:p w:rsidR="00692DF9" w:rsidRPr="003167C0" w:rsidRDefault="00692DF9" w:rsidP="001A6AC5">
            <w:pPr>
              <w:rPr>
                <w:sz w:val="14"/>
                <w:szCs w:val="14"/>
              </w:rPr>
            </w:pPr>
            <w:r w:rsidRPr="003167C0">
              <w:rPr>
                <w:sz w:val="14"/>
                <w:szCs w:val="14"/>
              </w:rPr>
              <w:t xml:space="preserve">Tintas, vernizes, esmaltes, lacas e produtos afins            </w:t>
            </w:r>
          </w:p>
        </w:tc>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sidRPr="003167C0">
              <w:rPr>
                <w:color w:val="000000"/>
                <w:sz w:val="14"/>
                <w:szCs w:val="14"/>
              </w:rPr>
              <w:t> </w:t>
            </w:r>
            <w:r>
              <w:rPr>
                <w:color w:val="000000"/>
                <w:sz w:val="14"/>
                <w:szCs w:val="14"/>
              </w:rPr>
              <w:t>Baseados em Ciência</w:t>
            </w:r>
          </w:p>
        </w:tc>
        <w:tc>
          <w:tcPr>
            <w:tcW w:w="0" w:type="auto"/>
            <w:tcBorders>
              <w:top w:val="nil"/>
              <w:left w:val="nil"/>
              <w:bottom w:val="single" w:sz="4" w:space="0" w:color="auto"/>
              <w:right w:val="single" w:sz="4" w:space="0" w:color="auto"/>
            </w:tcBorders>
            <w:vAlign w:val="center"/>
          </w:tcPr>
          <w:p w:rsidR="00692DF9" w:rsidRPr="003167C0" w:rsidRDefault="00692DF9" w:rsidP="001A6AC5">
            <w:pPr>
              <w:jc w:val="center"/>
              <w:rPr>
                <w:color w:val="000000"/>
                <w:sz w:val="14"/>
                <w:szCs w:val="14"/>
              </w:rPr>
            </w:pPr>
            <w:r w:rsidRPr="003167C0">
              <w:rPr>
                <w:color w:val="000000"/>
                <w:sz w:val="14"/>
                <w:szCs w:val="14"/>
              </w:rPr>
              <w:t>321</w:t>
            </w:r>
          </w:p>
        </w:tc>
        <w:tc>
          <w:tcPr>
            <w:tcW w:w="0" w:type="auto"/>
            <w:tcBorders>
              <w:top w:val="nil"/>
              <w:left w:val="nil"/>
              <w:bottom w:val="single" w:sz="4" w:space="0" w:color="auto"/>
              <w:right w:val="single" w:sz="4" w:space="0" w:color="auto"/>
            </w:tcBorders>
            <w:vAlign w:val="center"/>
          </w:tcPr>
          <w:p w:rsidR="00692DF9" w:rsidRPr="003167C0" w:rsidRDefault="00692DF9" w:rsidP="001A6AC5">
            <w:pPr>
              <w:rPr>
                <w:sz w:val="14"/>
                <w:szCs w:val="14"/>
              </w:rPr>
            </w:pPr>
            <w:r w:rsidRPr="003167C0">
              <w:rPr>
                <w:sz w:val="14"/>
                <w:szCs w:val="14"/>
              </w:rPr>
              <w:t xml:space="preserve">Material eletrônico básico            </w:t>
            </w:r>
          </w:p>
        </w:tc>
        <w:tc>
          <w:tcPr>
            <w:tcW w:w="0" w:type="auto"/>
            <w:tcBorders>
              <w:top w:val="nil"/>
              <w:left w:val="nil"/>
              <w:bottom w:val="single" w:sz="4" w:space="0" w:color="auto"/>
            </w:tcBorders>
            <w:vAlign w:val="center"/>
          </w:tcPr>
          <w:p w:rsidR="00692DF9" w:rsidRPr="003167C0" w:rsidRDefault="00692DF9" w:rsidP="001A6AC5">
            <w:pPr>
              <w:jc w:val="center"/>
              <w:rPr>
                <w:color w:val="000000"/>
                <w:sz w:val="14"/>
                <w:szCs w:val="14"/>
              </w:rPr>
            </w:pPr>
            <w:r w:rsidRPr="003167C0">
              <w:rPr>
                <w:color w:val="000000"/>
                <w:sz w:val="14"/>
                <w:szCs w:val="14"/>
              </w:rPr>
              <w:t> Fornecedor Especializado</w:t>
            </w:r>
          </w:p>
        </w:tc>
      </w:tr>
      <w:tr w:rsidR="00692DF9" w:rsidRPr="00684988" w:rsidTr="001A6AC5">
        <w:trPr>
          <w:trHeight w:val="383"/>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sidRPr="003167C0">
              <w:rPr>
                <w:color w:val="000000"/>
                <w:sz w:val="14"/>
                <w:szCs w:val="14"/>
              </w:rPr>
              <w:t>249</w:t>
            </w:r>
          </w:p>
        </w:tc>
        <w:tc>
          <w:tcPr>
            <w:tcW w:w="0" w:type="auto"/>
            <w:tcBorders>
              <w:top w:val="nil"/>
              <w:left w:val="nil"/>
              <w:bottom w:val="single" w:sz="4" w:space="0" w:color="auto"/>
              <w:right w:val="single" w:sz="4" w:space="0" w:color="auto"/>
            </w:tcBorders>
            <w:shd w:val="clear" w:color="auto" w:fill="auto"/>
            <w:vAlign w:val="center"/>
          </w:tcPr>
          <w:p w:rsidR="00692DF9" w:rsidRPr="003167C0" w:rsidRDefault="00692DF9" w:rsidP="001A6AC5">
            <w:pPr>
              <w:rPr>
                <w:sz w:val="14"/>
                <w:szCs w:val="14"/>
              </w:rPr>
            </w:pPr>
            <w:r w:rsidRPr="003167C0">
              <w:rPr>
                <w:sz w:val="14"/>
                <w:szCs w:val="14"/>
              </w:rPr>
              <w:t xml:space="preserve">Produtos e preparados químicos diversos            </w:t>
            </w:r>
          </w:p>
        </w:tc>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sidRPr="003167C0">
              <w:rPr>
                <w:color w:val="000000"/>
                <w:sz w:val="14"/>
                <w:szCs w:val="14"/>
              </w:rPr>
              <w:t> </w:t>
            </w:r>
            <w:r>
              <w:rPr>
                <w:color w:val="000000"/>
                <w:sz w:val="14"/>
                <w:szCs w:val="14"/>
              </w:rPr>
              <w:t>Baseados em Ciência</w:t>
            </w:r>
          </w:p>
        </w:tc>
        <w:tc>
          <w:tcPr>
            <w:tcW w:w="0" w:type="auto"/>
            <w:tcBorders>
              <w:top w:val="nil"/>
              <w:left w:val="nil"/>
              <w:bottom w:val="single" w:sz="4" w:space="0" w:color="auto"/>
              <w:right w:val="single" w:sz="4" w:space="0" w:color="auto"/>
            </w:tcBorders>
            <w:vAlign w:val="center"/>
          </w:tcPr>
          <w:p w:rsidR="00692DF9" w:rsidRPr="003167C0" w:rsidRDefault="00692DF9" w:rsidP="001A6AC5">
            <w:pPr>
              <w:jc w:val="center"/>
              <w:rPr>
                <w:color w:val="000000"/>
                <w:sz w:val="14"/>
                <w:szCs w:val="14"/>
              </w:rPr>
            </w:pPr>
            <w:r w:rsidRPr="003167C0">
              <w:rPr>
                <w:color w:val="000000"/>
                <w:sz w:val="14"/>
                <w:szCs w:val="14"/>
              </w:rPr>
              <w:t>359</w:t>
            </w:r>
          </w:p>
        </w:tc>
        <w:tc>
          <w:tcPr>
            <w:tcW w:w="0" w:type="auto"/>
            <w:tcBorders>
              <w:top w:val="nil"/>
              <w:left w:val="nil"/>
              <w:bottom w:val="single" w:sz="4" w:space="0" w:color="auto"/>
              <w:right w:val="single" w:sz="4" w:space="0" w:color="auto"/>
            </w:tcBorders>
            <w:vAlign w:val="center"/>
          </w:tcPr>
          <w:p w:rsidR="00692DF9" w:rsidRPr="003167C0" w:rsidRDefault="00692DF9" w:rsidP="001A6AC5">
            <w:pPr>
              <w:rPr>
                <w:sz w:val="14"/>
                <w:szCs w:val="14"/>
              </w:rPr>
            </w:pPr>
            <w:r w:rsidRPr="003167C0">
              <w:rPr>
                <w:sz w:val="14"/>
                <w:szCs w:val="14"/>
              </w:rPr>
              <w:t xml:space="preserve">Outros equipamentos de transporte            </w:t>
            </w:r>
          </w:p>
        </w:tc>
        <w:tc>
          <w:tcPr>
            <w:tcW w:w="0" w:type="auto"/>
            <w:tcBorders>
              <w:top w:val="nil"/>
              <w:left w:val="nil"/>
              <w:bottom w:val="single" w:sz="4" w:space="0" w:color="auto"/>
            </w:tcBorders>
            <w:vAlign w:val="center"/>
          </w:tcPr>
          <w:p w:rsidR="00692DF9" w:rsidRPr="003167C0" w:rsidRDefault="00692DF9" w:rsidP="001A6AC5">
            <w:pPr>
              <w:jc w:val="center"/>
              <w:rPr>
                <w:color w:val="000000"/>
                <w:sz w:val="14"/>
                <w:szCs w:val="14"/>
              </w:rPr>
            </w:pPr>
            <w:r w:rsidRPr="003167C0">
              <w:rPr>
                <w:color w:val="000000"/>
                <w:sz w:val="14"/>
                <w:szCs w:val="14"/>
              </w:rPr>
              <w:t> Fornecedor Especializado</w:t>
            </w:r>
          </w:p>
        </w:tc>
      </w:tr>
      <w:tr w:rsidR="00692DF9" w:rsidRPr="00684988" w:rsidTr="001A6AC5">
        <w:trPr>
          <w:trHeight w:val="383"/>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sidRPr="003167C0">
              <w:rPr>
                <w:color w:val="000000"/>
                <w:sz w:val="14"/>
                <w:szCs w:val="14"/>
              </w:rPr>
              <w:t>284</w:t>
            </w:r>
          </w:p>
        </w:tc>
        <w:tc>
          <w:tcPr>
            <w:tcW w:w="0" w:type="auto"/>
            <w:tcBorders>
              <w:top w:val="nil"/>
              <w:left w:val="nil"/>
              <w:bottom w:val="single" w:sz="4" w:space="0" w:color="auto"/>
              <w:right w:val="single" w:sz="4" w:space="0" w:color="auto"/>
            </w:tcBorders>
            <w:shd w:val="clear" w:color="auto" w:fill="auto"/>
            <w:vAlign w:val="center"/>
          </w:tcPr>
          <w:p w:rsidR="00692DF9" w:rsidRPr="003167C0" w:rsidRDefault="00692DF9" w:rsidP="001A6AC5">
            <w:pPr>
              <w:rPr>
                <w:sz w:val="14"/>
                <w:szCs w:val="14"/>
              </w:rPr>
            </w:pPr>
            <w:r w:rsidRPr="003167C0">
              <w:rPr>
                <w:sz w:val="14"/>
                <w:szCs w:val="14"/>
              </w:rPr>
              <w:t xml:space="preserve">Artigos de cutelaria, de serralheria e ferramentas manuais            </w:t>
            </w:r>
          </w:p>
        </w:tc>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sidRPr="003167C0">
              <w:rPr>
                <w:color w:val="000000"/>
                <w:sz w:val="14"/>
                <w:szCs w:val="14"/>
              </w:rPr>
              <w:t> Fornecedor Especializado</w:t>
            </w:r>
          </w:p>
        </w:tc>
        <w:tc>
          <w:tcPr>
            <w:tcW w:w="0" w:type="auto"/>
            <w:tcBorders>
              <w:top w:val="nil"/>
              <w:left w:val="nil"/>
              <w:bottom w:val="single" w:sz="4" w:space="0" w:color="auto"/>
              <w:right w:val="single" w:sz="4" w:space="0" w:color="auto"/>
            </w:tcBorders>
            <w:vAlign w:val="center"/>
          </w:tcPr>
          <w:p w:rsidR="00692DF9" w:rsidRPr="003167C0" w:rsidRDefault="00692DF9" w:rsidP="001A6AC5">
            <w:pPr>
              <w:jc w:val="center"/>
              <w:rPr>
                <w:color w:val="000000"/>
                <w:sz w:val="14"/>
                <w:szCs w:val="14"/>
              </w:rPr>
            </w:pPr>
            <w:r w:rsidRPr="003167C0">
              <w:rPr>
                <w:color w:val="000000"/>
                <w:sz w:val="14"/>
                <w:szCs w:val="14"/>
              </w:rPr>
              <w:t>232</w:t>
            </w:r>
          </w:p>
        </w:tc>
        <w:tc>
          <w:tcPr>
            <w:tcW w:w="0" w:type="auto"/>
            <w:tcBorders>
              <w:top w:val="nil"/>
              <w:left w:val="nil"/>
              <w:bottom w:val="single" w:sz="4" w:space="0" w:color="auto"/>
              <w:right w:val="single" w:sz="4" w:space="0" w:color="auto"/>
            </w:tcBorders>
            <w:vAlign w:val="center"/>
          </w:tcPr>
          <w:p w:rsidR="00692DF9" w:rsidRPr="003167C0" w:rsidRDefault="00692DF9" w:rsidP="001A6AC5">
            <w:pPr>
              <w:rPr>
                <w:sz w:val="14"/>
                <w:szCs w:val="14"/>
              </w:rPr>
            </w:pPr>
            <w:r w:rsidRPr="003167C0">
              <w:rPr>
                <w:sz w:val="14"/>
                <w:szCs w:val="14"/>
              </w:rPr>
              <w:t xml:space="preserve">Produtos derivados do petróleo            </w:t>
            </w:r>
          </w:p>
        </w:tc>
        <w:tc>
          <w:tcPr>
            <w:tcW w:w="0" w:type="auto"/>
            <w:tcBorders>
              <w:top w:val="nil"/>
              <w:left w:val="nil"/>
              <w:bottom w:val="single" w:sz="4" w:space="0" w:color="auto"/>
            </w:tcBorders>
            <w:vAlign w:val="center"/>
          </w:tcPr>
          <w:p w:rsidR="00692DF9" w:rsidRPr="003167C0" w:rsidRDefault="00692DF9" w:rsidP="001A6AC5">
            <w:pPr>
              <w:jc w:val="center"/>
              <w:rPr>
                <w:color w:val="000000"/>
                <w:sz w:val="14"/>
                <w:szCs w:val="14"/>
              </w:rPr>
            </w:pPr>
            <w:r w:rsidRPr="003167C0">
              <w:rPr>
                <w:color w:val="000000"/>
                <w:sz w:val="14"/>
                <w:szCs w:val="14"/>
              </w:rPr>
              <w:t>Intensivo em Escala</w:t>
            </w:r>
          </w:p>
        </w:tc>
      </w:tr>
      <w:tr w:rsidR="00692DF9" w:rsidRPr="00684988" w:rsidTr="001A6AC5">
        <w:trPr>
          <w:trHeight w:val="383"/>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sidRPr="003167C0">
              <w:rPr>
                <w:color w:val="000000"/>
                <w:sz w:val="14"/>
                <w:szCs w:val="14"/>
              </w:rPr>
              <w:t>291</w:t>
            </w:r>
          </w:p>
        </w:tc>
        <w:tc>
          <w:tcPr>
            <w:tcW w:w="0" w:type="auto"/>
            <w:tcBorders>
              <w:top w:val="nil"/>
              <w:left w:val="nil"/>
              <w:bottom w:val="single" w:sz="4" w:space="0" w:color="auto"/>
              <w:right w:val="single" w:sz="4" w:space="0" w:color="auto"/>
            </w:tcBorders>
            <w:shd w:val="clear" w:color="auto" w:fill="auto"/>
            <w:vAlign w:val="center"/>
          </w:tcPr>
          <w:p w:rsidR="00692DF9" w:rsidRPr="003167C0" w:rsidRDefault="00692DF9" w:rsidP="001A6AC5">
            <w:pPr>
              <w:rPr>
                <w:sz w:val="14"/>
                <w:szCs w:val="14"/>
              </w:rPr>
            </w:pPr>
            <w:r w:rsidRPr="003167C0">
              <w:rPr>
                <w:sz w:val="14"/>
                <w:szCs w:val="14"/>
              </w:rPr>
              <w:t xml:space="preserve">Motores, bombas, compressores e equipamentos de transmissão            </w:t>
            </w:r>
          </w:p>
        </w:tc>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sidRPr="003167C0">
              <w:rPr>
                <w:color w:val="000000"/>
                <w:sz w:val="14"/>
                <w:szCs w:val="14"/>
              </w:rPr>
              <w:t> Fornecedor Especializado</w:t>
            </w:r>
          </w:p>
        </w:tc>
        <w:tc>
          <w:tcPr>
            <w:tcW w:w="0" w:type="auto"/>
            <w:tcBorders>
              <w:top w:val="nil"/>
              <w:left w:val="nil"/>
              <w:bottom w:val="single" w:sz="4" w:space="0" w:color="auto"/>
              <w:right w:val="single" w:sz="4" w:space="0" w:color="auto"/>
            </w:tcBorders>
            <w:vAlign w:val="center"/>
          </w:tcPr>
          <w:p w:rsidR="00692DF9" w:rsidRPr="003167C0" w:rsidRDefault="00692DF9" w:rsidP="001A6AC5">
            <w:pPr>
              <w:jc w:val="center"/>
              <w:rPr>
                <w:color w:val="000000"/>
                <w:sz w:val="14"/>
                <w:szCs w:val="14"/>
              </w:rPr>
            </w:pPr>
            <w:r w:rsidRPr="003167C0">
              <w:rPr>
                <w:color w:val="000000"/>
                <w:sz w:val="14"/>
                <w:szCs w:val="14"/>
              </w:rPr>
              <w:t>297</w:t>
            </w:r>
          </w:p>
        </w:tc>
        <w:tc>
          <w:tcPr>
            <w:tcW w:w="0" w:type="auto"/>
            <w:tcBorders>
              <w:top w:val="nil"/>
              <w:left w:val="nil"/>
              <w:bottom w:val="single" w:sz="4" w:space="0" w:color="auto"/>
              <w:right w:val="single" w:sz="4" w:space="0" w:color="auto"/>
            </w:tcBorders>
            <w:vAlign w:val="center"/>
          </w:tcPr>
          <w:p w:rsidR="00692DF9" w:rsidRPr="003167C0" w:rsidRDefault="00692DF9" w:rsidP="001A6AC5">
            <w:pPr>
              <w:rPr>
                <w:sz w:val="14"/>
                <w:szCs w:val="14"/>
              </w:rPr>
            </w:pPr>
            <w:r w:rsidRPr="003167C0">
              <w:rPr>
                <w:sz w:val="14"/>
                <w:szCs w:val="14"/>
              </w:rPr>
              <w:t xml:space="preserve">Armas, munições e equipamentos militares            </w:t>
            </w:r>
          </w:p>
        </w:tc>
        <w:tc>
          <w:tcPr>
            <w:tcW w:w="0" w:type="auto"/>
            <w:tcBorders>
              <w:top w:val="nil"/>
              <w:left w:val="nil"/>
              <w:bottom w:val="single" w:sz="4" w:space="0" w:color="auto"/>
            </w:tcBorders>
            <w:vAlign w:val="center"/>
          </w:tcPr>
          <w:p w:rsidR="00692DF9" w:rsidRPr="003167C0" w:rsidRDefault="00692DF9" w:rsidP="001A6AC5">
            <w:pPr>
              <w:jc w:val="center"/>
              <w:rPr>
                <w:color w:val="000000"/>
                <w:sz w:val="14"/>
                <w:szCs w:val="14"/>
              </w:rPr>
            </w:pPr>
            <w:r w:rsidRPr="003167C0">
              <w:rPr>
                <w:color w:val="000000"/>
                <w:sz w:val="14"/>
                <w:szCs w:val="14"/>
              </w:rPr>
              <w:t>Intensivos em Escala </w:t>
            </w:r>
          </w:p>
        </w:tc>
      </w:tr>
      <w:tr w:rsidR="00692DF9" w:rsidRPr="00684988" w:rsidTr="001A6AC5">
        <w:trPr>
          <w:trHeight w:val="383"/>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sidRPr="003167C0">
              <w:rPr>
                <w:color w:val="000000"/>
                <w:sz w:val="14"/>
                <w:szCs w:val="14"/>
              </w:rPr>
              <w:t>292</w:t>
            </w:r>
          </w:p>
        </w:tc>
        <w:tc>
          <w:tcPr>
            <w:tcW w:w="0" w:type="auto"/>
            <w:tcBorders>
              <w:top w:val="nil"/>
              <w:left w:val="nil"/>
              <w:bottom w:val="single" w:sz="4" w:space="0" w:color="auto"/>
              <w:right w:val="single" w:sz="4" w:space="0" w:color="auto"/>
            </w:tcBorders>
            <w:shd w:val="clear" w:color="auto" w:fill="auto"/>
            <w:vAlign w:val="center"/>
          </w:tcPr>
          <w:p w:rsidR="00692DF9" w:rsidRPr="003167C0" w:rsidRDefault="00692DF9" w:rsidP="001A6AC5">
            <w:pPr>
              <w:rPr>
                <w:sz w:val="14"/>
                <w:szCs w:val="14"/>
              </w:rPr>
            </w:pPr>
            <w:r w:rsidRPr="003167C0">
              <w:rPr>
                <w:sz w:val="14"/>
                <w:szCs w:val="14"/>
              </w:rPr>
              <w:t xml:space="preserve">M&amp;E de uso geral            </w:t>
            </w:r>
          </w:p>
        </w:tc>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sidRPr="003167C0">
              <w:rPr>
                <w:color w:val="000000"/>
                <w:sz w:val="14"/>
                <w:szCs w:val="14"/>
              </w:rPr>
              <w:t> Fornecedor Especializado</w:t>
            </w:r>
          </w:p>
        </w:tc>
        <w:tc>
          <w:tcPr>
            <w:tcW w:w="0" w:type="auto"/>
            <w:tcBorders>
              <w:top w:val="nil"/>
              <w:left w:val="nil"/>
              <w:bottom w:val="single" w:sz="4" w:space="0" w:color="auto"/>
              <w:right w:val="single" w:sz="4" w:space="0" w:color="auto"/>
            </w:tcBorders>
            <w:vAlign w:val="center"/>
          </w:tcPr>
          <w:p w:rsidR="00692DF9" w:rsidRPr="003167C0" w:rsidRDefault="00692DF9" w:rsidP="001A6AC5">
            <w:pPr>
              <w:jc w:val="center"/>
              <w:rPr>
                <w:color w:val="000000"/>
                <w:sz w:val="14"/>
                <w:szCs w:val="14"/>
              </w:rPr>
            </w:pPr>
            <w:r w:rsidRPr="003167C0">
              <w:rPr>
                <w:color w:val="000000"/>
                <w:sz w:val="14"/>
                <w:szCs w:val="14"/>
              </w:rPr>
              <w:t>351</w:t>
            </w:r>
          </w:p>
        </w:tc>
        <w:tc>
          <w:tcPr>
            <w:tcW w:w="0" w:type="auto"/>
            <w:tcBorders>
              <w:top w:val="nil"/>
              <w:left w:val="nil"/>
              <w:bottom w:val="single" w:sz="4" w:space="0" w:color="auto"/>
              <w:right w:val="single" w:sz="4" w:space="0" w:color="auto"/>
            </w:tcBorders>
            <w:vAlign w:val="center"/>
          </w:tcPr>
          <w:p w:rsidR="00692DF9" w:rsidRPr="003167C0" w:rsidRDefault="00692DF9" w:rsidP="001A6AC5">
            <w:pPr>
              <w:rPr>
                <w:sz w:val="14"/>
                <w:szCs w:val="14"/>
              </w:rPr>
            </w:pPr>
            <w:r w:rsidRPr="003167C0">
              <w:rPr>
                <w:sz w:val="14"/>
                <w:szCs w:val="14"/>
              </w:rPr>
              <w:t xml:space="preserve">Construção e reparação de embarcações e veículos ferroviários            </w:t>
            </w:r>
          </w:p>
        </w:tc>
        <w:tc>
          <w:tcPr>
            <w:tcW w:w="0" w:type="auto"/>
            <w:tcBorders>
              <w:top w:val="nil"/>
              <w:left w:val="nil"/>
              <w:bottom w:val="single" w:sz="4" w:space="0" w:color="auto"/>
            </w:tcBorders>
            <w:vAlign w:val="center"/>
          </w:tcPr>
          <w:p w:rsidR="00692DF9" w:rsidRPr="003167C0" w:rsidRDefault="00692DF9" w:rsidP="001A6AC5">
            <w:pPr>
              <w:jc w:val="center"/>
              <w:rPr>
                <w:color w:val="000000"/>
                <w:sz w:val="14"/>
                <w:szCs w:val="14"/>
              </w:rPr>
            </w:pPr>
            <w:r w:rsidRPr="003167C0">
              <w:rPr>
                <w:color w:val="000000"/>
                <w:sz w:val="14"/>
                <w:szCs w:val="14"/>
              </w:rPr>
              <w:t> Intensivo em Escala</w:t>
            </w:r>
          </w:p>
        </w:tc>
      </w:tr>
      <w:tr w:rsidR="00692DF9" w:rsidRPr="00684988" w:rsidTr="001A6AC5">
        <w:trPr>
          <w:trHeight w:val="383"/>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sidRPr="003167C0">
              <w:rPr>
                <w:color w:val="000000"/>
                <w:sz w:val="14"/>
                <w:szCs w:val="14"/>
              </w:rPr>
              <w:t>295</w:t>
            </w:r>
          </w:p>
        </w:tc>
        <w:tc>
          <w:tcPr>
            <w:tcW w:w="0" w:type="auto"/>
            <w:tcBorders>
              <w:top w:val="nil"/>
              <w:left w:val="nil"/>
              <w:bottom w:val="single" w:sz="4" w:space="0" w:color="auto"/>
              <w:right w:val="single" w:sz="4" w:space="0" w:color="auto"/>
            </w:tcBorders>
            <w:shd w:val="clear" w:color="auto" w:fill="auto"/>
            <w:vAlign w:val="center"/>
          </w:tcPr>
          <w:p w:rsidR="00692DF9" w:rsidRPr="003167C0" w:rsidRDefault="00692DF9" w:rsidP="001A6AC5">
            <w:pPr>
              <w:rPr>
                <w:sz w:val="14"/>
                <w:szCs w:val="14"/>
              </w:rPr>
            </w:pPr>
            <w:r w:rsidRPr="003167C0">
              <w:rPr>
                <w:sz w:val="14"/>
                <w:szCs w:val="14"/>
              </w:rPr>
              <w:t xml:space="preserve">M&amp;E de usos na extração mineral e construção            </w:t>
            </w:r>
          </w:p>
        </w:tc>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sidRPr="003167C0">
              <w:rPr>
                <w:color w:val="000000"/>
                <w:sz w:val="14"/>
                <w:szCs w:val="14"/>
              </w:rPr>
              <w:t> Fornecedor Especializado</w:t>
            </w:r>
          </w:p>
        </w:tc>
        <w:tc>
          <w:tcPr>
            <w:tcW w:w="0" w:type="auto"/>
            <w:tcBorders>
              <w:top w:val="nil"/>
              <w:left w:val="nil"/>
              <w:bottom w:val="single" w:sz="4" w:space="0" w:color="auto"/>
              <w:right w:val="single" w:sz="4" w:space="0" w:color="auto"/>
            </w:tcBorders>
            <w:vAlign w:val="center"/>
          </w:tcPr>
          <w:p w:rsidR="00692DF9" w:rsidRPr="003167C0" w:rsidRDefault="00692DF9" w:rsidP="001A6AC5">
            <w:pPr>
              <w:jc w:val="center"/>
              <w:rPr>
                <w:color w:val="000000"/>
                <w:sz w:val="14"/>
                <w:szCs w:val="14"/>
              </w:rPr>
            </w:pPr>
            <w:r w:rsidRPr="003167C0">
              <w:rPr>
                <w:color w:val="000000"/>
                <w:sz w:val="14"/>
                <w:szCs w:val="14"/>
              </w:rPr>
              <w:t>353</w:t>
            </w:r>
          </w:p>
        </w:tc>
        <w:tc>
          <w:tcPr>
            <w:tcW w:w="0" w:type="auto"/>
            <w:tcBorders>
              <w:top w:val="nil"/>
              <w:left w:val="nil"/>
              <w:bottom w:val="single" w:sz="4" w:space="0" w:color="auto"/>
              <w:right w:val="single" w:sz="4" w:space="0" w:color="auto"/>
            </w:tcBorders>
            <w:vAlign w:val="center"/>
          </w:tcPr>
          <w:p w:rsidR="00692DF9" w:rsidRPr="003167C0" w:rsidRDefault="00692DF9" w:rsidP="001A6AC5">
            <w:pPr>
              <w:rPr>
                <w:sz w:val="14"/>
                <w:szCs w:val="14"/>
              </w:rPr>
            </w:pPr>
            <w:r w:rsidRPr="003167C0">
              <w:rPr>
                <w:sz w:val="14"/>
                <w:szCs w:val="14"/>
              </w:rPr>
              <w:t xml:space="preserve">Construção, montagem e reparação de aeronaves            </w:t>
            </w:r>
          </w:p>
        </w:tc>
        <w:tc>
          <w:tcPr>
            <w:tcW w:w="0" w:type="auto"/>
            <w:tcBorders>
              <w:top w:val="nil"/>
              <w:left w:val="nil"/>
              <w:bottom w:val="single" w:sz="4" w:space="0" w:color="auto"/>
            </w:tcBorders>
            <w:vAlign w:val="center"/>
          </w:tcPr>
          <w:p w:rsidR="00692DF9" w:rsidRPr="003167C0" w:rsidRDefault="00692DF9" w:rsidP="001A6AC5">
            <w:pPr>
              <w:jc w:val="center"/>
              <w:rPr>
                <w:color w:val="000000"/>
                <w:sz w:val="14"/>
                <w:szCs w:val="14"/>
              </w:rPr>
            </w:pPr>
            <w:r w:rsidRPr="003167C0">
              <w:rPr>
                <w:color w:val="000000"/>
                <w:sz w:val="14"/>
                <w:szCs w:val="14"/>
              </w:rPr>
              <w:t> Intensivo em Escala</w:t>
            </w:r>
          </w:p>
        </w:tc>
      </w:tr>
      <w:tr w:rsidR="00692DF9" w:rsidRPr="00684988" w:rsidTr="001A6AC5">
        <w:trPr>
          <w:trHeight w:val="383"/>
          <w:jc w:val="center"/>
        </w:trPr>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sidRPr="003167C0">
              <w:rPr>
                <w:color w:val="000000"/>
                <w:sz w:val="14"/>
                <w:szCs w:val="14"/>
              </w:rPr>
              <w:t>295</w:t>
            </w:r>
          </w:p>
        </w:tc>
        <w:tc>
          <w:tcPr>
            <w:tcW w:w="0" w:type="auto"/>
            <w:tcBorders>
              <w:top w:val="nil"/>
              <w:left w:val="nil"/>
              <w:bottom w:val="single" w:sz="4" w:space="0" w:color="auto"/>
              <w:right w:val="single" w:sz="4" w:space="0" w:color="auto"/>
            </w:tcBorders>
            <w:shd w:val="clear" w:color="auto" w:fill="auto"/>
            <w:vAlign w:val="center"/>
          </w:tcPr>
          <w:p w:rsidR="00692DF9" w:rsidRPr="003167C0" w:rsidRDefault="00692DF9" w:rsidP="001A6AC5">
            <w:pPr>
              <w:rPr>
                <w:sz w:val="14"/>
                <w:szCs w:val="14"/>
              </w:rPr>
            </w:pPr>
            <w:r w:rsidRPr="003167C0">
              <w:rPr>
                <w:sz w:val="14"/>
                <w:szCs w:val="14"/>
              </w:rPr>
              <w:t xml:space="preserve">Outras M&amp;E de uso na extração mineral            </w:t>
            </w:r>
          </w:p>
        </w:tc>
        <w:tc>
          <w:tcPr>
            <w:tcW w:w="0" w:type="auto"/>
            <w:tcBorders>
              <w:top w:val="nil"/>
              <w:left w:val="nil"/>
              <w:bottom w:val="single" w:sz="4" w:space="0" w:color="auto"/>
              <w:right w:val="single" w:sz="4" w:space="0" w:color="auto"/>
            </w:tcBorders>
            <w:shd w:val="clear" w:color="auto" w:fill="auto"/>
            <w:noWrap/>
            <w:vAlign w:val="center"/>
          </w:tcPr>
          <w:p w:rsidR="00692DF9" w:rsidRPr="003167C0" w:rsidRDefault="00692DF9" w:rsidP="001A6AC5">
            <w:pPr>
              <w:jc w:val="center"/>
              <w:rPr>
                <w:color w:val="000000"/>
                <w:sz w:val="14"/>
                <w:szCs w:val="14"/>
              </w:rPr>
            </w:pPr>
            <w:r w:rsidRPr="003167C0">
              <w:rPr>
                <w:color w:val="000000"/>
                <w:sz w:val="14"/>
                <w:szCs w:val="14"/>
              </w:rPr>
              <w:t> Fornecedor Especializado</w:t>
            </w:r>
          </w:p>
        </w:tc>
        <w:tc>
          <w:tcPr>
            <w:tcW w:w="0" w:type="auto"/>
            <w:tcBorders>
              <w:top w:val="nil"/>
              <w:left w:val="nil"/>
              <w:bottom w:val="single" w:sz="4" w:space="0" w:color="auto"/>
              <w:right w:val="single" w:sz="4" w:space="0" w:color="auto"/>
            </w:tcBorders>
          </w:tcPr>
          <w:p w:rsidR="00692DF9" w:rsidRPr="003167C0" w:rsidRDefault="00692DF9" w:rsidP="001A6AC5">
            <w:pPr>
              <w:jc w:val="center"/>
              <w:rPr>
                <w:color w:val="000000"/>
                <w:sz w:val="14"/>
                <w:szCs w:val="14"/>
              </w:rPr>
            </w:pPr>
            <w:r w:rsidRPr="003167C0">
              <w:rPr>
                <w:color w:val="000000"/>
                <w:sz w:val="14"/>
                <w:szCs w:val="14"/>
              </w:rPr>
              <w:t>-</w:t>
            </w:r>
          </w:p>
        </w:tc>
        <w:tc>
          <w:tcPr>
            <w:tcW w:w="0" w:type="auto"/>
            <w:tcBorders>
              <w:top w:val="nil"/>
              <w:left w:val="nil"/>
              <w:bottom w:val="single" w:sz="4" w:space="0" w:color="auto"/>
              <w:right w:val="single" w:sz="4" w:space="0" w:color="auto"/>
            </w:tcBorders>
          </w:tcPr>
          <w:p w:rsidR="00692DF9" w:rsidRPr="003167C0" w:rsidRDefault="00692DF9" w:rsidP="001A6AC5">
            <w:pPr>
              <w:jc w:val="center"/>
              <w:rPr>
                <w:color w:val="000000"/>
                <w:sz w:val="14"/>
                <w:szCs w:val="14"/>
              </w:rPr>
            </w:pPr>
            <w:r w:rsidRPr="003167C0">
              <w:rPr>
                <w:color w:val="000000"/>
                <w:sz w:val="14"/>
                <w:szCs w:val="14"/>
              </w:rPr>
              <w:t>-</w:t>
            </w:r>
          </w:p>
        </w:tc>
        <w:tc>
          <w:tcPr>
            <w:tcW w:w="0" w:type="auto"/>
            <w:tcBorders>
              <w:top w:val="nil"/>
              <w:left w:val="nil"/>
              <w:bottom w:val="single" w:sz="4" w:space="0" w:color="auto"/>
            </w:tcBorders>
          </w:tcPr>
          <w:p w:rsidR="00692DF9" w:rsidRPr="003167C0" w:rsidRDefault="00692DF9" w:rsidP="001A6AC5">
            <w:pPr>
              <w:jc w:val="center"/>
              <w:rPr>
                <w:color w:val="000000"/>
                <w:sz w:val="14"/>
                <w:szCs w:val="14"/>
              </w:rPr>
            </w:pPr>
            <w:r w:rsidRPr="003167C0">
              <w:rPr>
                <w:color w:val="000000"/>
                <w:sz w:val="14"/>
                <w:szCs w:val="14"/>
              </w:rPr>
              <w:t>-</w:t>
            </w:r>
          </w:p>
        </w:tc>
      </w:tr>
    </w:tbl>
    <w:p w:rsidR="00692DF9" w:rsidRDefault="00692DF9" w:rsidP="00692DF9">
      <w:pPr>
        <w:rPr>
          <w:sz w:val="16"/>
          <w:szCs w:val="16"/>
        </w:rPr>
      </w:pPr>
      <w:r w:rsidRPr="00DF0435">
        <w:rPr>
          <w:sz w:val="16"/>
          <w:szCs w:val="16"/>
        </w:rPr>
        <w:t>Fonte: Elaboração própria com base em Pavitt (1984) e Campos (2005)</w:t>
      </w:r>
    </w:p>
    <w:p w:rsidR="00692DF9" w:rsidRDefault="00692DF9" w:rsidP="00692DF9">
      <w:pPr>
        <w:jc w:val="both"/>
        <w:rPr>
          <w:b/>
        </w:rPr>
      </w:pPr>
    </w:p>
    <w:p w:rsidR="00692DF9" w:rsidRDefault="00692DF9" w:rsidP="00692DF9">
      <w:pPr>
        <w:jc w:val="both"/>
        <w:rPr>
          <w:b/>
        </w:rPr>
      </w:pPr>
    </w:p>
    <w:p w:rsidR="00692DF9" w:rsidRDefault="00692DF9" w:rsidP="00692DF9">
      <w:pPr>
        <w:jc w:val="both"/>
        <w:rPr>
          <w:b/>
        </w:rPr>
      </w:pPr>
      <w:r>
        <w:rPr>
          <w:b/>
        </w:rPr>
        <w:t>5 . Notas Conclusivas.</w:t>
      </w:r>
      <w:r w:rsidRPr="00D92051">
        <w:rPr>
          <w:b/>
        </w:rPr>
        <w:t xml:space="preserve"> </w:t>
      </w:r>
    </w:p>
    <w:p w:rsidR="00692DF9" w:rsidRDefault="00692DF9" w:rsidP="00692DF9">
      <w:pPr>
        <w:jc w:val="both"/>
        <w:rPr>
          <w:b/>
        </w:rPr>
      </w:pPr>
    </w:p>
    <w:p w:rsidR="00692DF9" w:rsidRDefault="00692DF9" w:rsidP="001A6AC5">
      <w:pPr>
        <w:ind w:firstLine="709"/>
        <w:jc w:val="both"/>
      </w:pPr>
      <w:r>
        <w:t>Ao encontrar-se certa correspondência teórica com os resultados de Pavitt (1984) na identificação</w:t>
      </w:r>
      <w:r w:rsidRPr="00A54186">
        <w:t xml:space="preserve"> </w:t>
      </w:r>
      <w:r>
        <w:t xml:space="preserve">dos </w:t>
      </w:r>
      <w:r w:rsidRPr="00A54186">
        <w:t>4 padrões setoriais de aprendizagem da indústria brasileira</w:t>
      </w:r>
      <w:r>
        <w:t xml:space="preserve">, a hipótese foi confirmada e ao mesmo tempo que o objetivo do trabalho foi alcançado. </w:t>
      </w:r>
    </w:p>
    <w:p w:rsidR="00692DF9" w:rsidRDefault="00692DF9" w:rsidP="001A6AC5">
      <w:pPr>
        <w:ind w:firstLine="709"/>
        <w:jc w:val="both"/>
      </w:pPr>
      <w:r>
        <w:t xml:space="preserve">Considera-se determinante para isso a utilização de método estatístico de ampla aceitação acadêmica, exatamente por sua capacidade de apontar padrões entre os casos (setores nesse trabalho) segundo o comportamento das variáveis (indicadores de aprendizagem para esse trabalho). Dessa forma, considera-se que as similaridades expressas nos resultados da aplicação da técnica aos três anos da PINTEC representam uma configuração confiável dos padrões indicados. </w:t>
      </w:r>
    </w:p>
    <w:p w:rsidR="00692DF9" w:rsidRDefault="00692DF9" w:rsidP="001A6AC5">
      <w:pPr>
        <w:pStyle w:val="PargrafodaLista"/>
        <w:ind w:left="0" w:firstLine="709"/>
        <w:jc w:val="both"/>
      </w:pPr>
      <w:r>
        <w:t xml:space="preserve">A partir da construção dos indicadores, que observou avanços teóricos recentes, os padrões de aprendizagem revelaram composição setorial muito semelhante a proposta na taxonomia Pavitt (1984). A seguinte correspondência entre os Padrões Identificados e a taxonomia Pavitt (1984) foi notada: a) Padrões: “Intensivos em Aprendizagem na Esfera Industrial” e setores “Intensivos em Escala”; b) “Aprendizagem à Montante” e os setores “dominados por fornecedores”; c) padrão “Intensivo </w:t>
      </w:r>
      <w:smartTag w:uri="urn:schemas-microsoft-com:office:smarttags" w:element="PersonName">
        <w:smartTagPr>
          <w:attr w:name="ProductID" w:val="em Múltiplas Formas"/>
        </w:smartTagPr>
        <w:r>
          <w:t>em Múltiplas Formas</w:t>
        </w:r>
      </w:smartTag>
      <w:r>
        <w:t xml:space="preserve"> de Aprendizagem” e setores “baseados em ciência” e Padrão “Intensivo </w:t>
      </w:r>
      <w:smartTag w:uri="urn:schemas-microsoft-com:office:smarttags" w:element="PersonName">
        <w:smartTagPr>
          <w:attr w:name="ProductID" w:val="em Aprendizagem Interna"/>
        </w:smartTagPr>
        <w:r>
          <w:t>em Aprendizagem Interna</w:t>
        </w:r>
      </w:smartTag>
      <w:r>
        <w:t xml:space="preserve"> e à Jusante” e os setores “fornecedores especializados”. A julgar pela equivalência entre as formas de aprendizagem identificadas nos padrões e as fontes tecnológicas da taxonomia Pavitt (1984) pode-se dizer que, pelo menos no que se refere às formas de aprendizagem, essa taxonomia continua sendo referência teórica e analítica à pesquisas com foco em características dos padrões setoriais de inovação. </w:t>
      </w:r>
    </w:p>
    <w:p w:rsidR="00692DF9" w:rsidRDefault="00692DF9" w:rsidP="001A6AC5">
      <w:pPr>
        <w:pStyle w:val="PargrafodaLista"/>
        <w:ind w:left="0" w:firstLine="709"/>
        <w:jc w:val="both"/>
      </w:pPr>
      <w:r>
        <w:t>Ao respeitar o elemento analítico (ii) destacado por Malerba (1992) e apontado no referencial teórico, qual seja, o de que o aprendizado associa-se a diversas fontes internas e externas das firmas, o artigo avançou na compreensão da complexidade comportamental capaz de diferenciar as firmas, já apontada por Pavitt (1984), Malerba (1992) e Meeus. Et.all (1999) entre outros.</w:t>
      </w:r>
    </w:p>
    <w:p w:rsidR="00692DF9" w:rsidRDefault="00692DF9" w:rsidP="001A6AC5">
      <w:pPr>
        <w:pStyle w:val="Corpodetexto"/>
        <w:spacing w:line="240" w:lineRule="auto"/>
        <w:ind w:firstLine="709"/>
      </w:pPr>
      <w:r>
        <w:t xml:space="preserve">Uma importante interpretação dos resultados pode ser também derivada do elemento teórico (iii) apontado por Malerba (1992), seja, </w:t>
      </w:r>
      <w:r>
        <w:rPr>
          <w:rFonts w:eastAsia="Calibri"/>
          <w:lang w:eastAsia="en-US"/>
        </w:rPr>
        <w:t xml:space="preserve">que “o aprendizado é cumulativo e, havendo diversas fontes de conhecimento, as formas de aprendizagem ampliam os estoques de conhecimentos das firmas de diferentes maneiras”.  </w:t>
      </w:r>
      <w:r>
        <w:t>A presença de diferentes padrões setoriais de aprendizagem, caracterizados por certa regularidade intertemporal, sugerem, nessa direção, que o conjunto de conhecimentos tipicamente acumulados pelas firmas que compõe cada padrão é significativamente diferente</w:t>
      </w:r>
      <w:r>
        <w:rPr>
          <w:rStyle w:val="Refdenotaderodap"/>
        </w:rPr>
        <w:footnoteReference w:id="23"/>
      </w:r>
      <w:r>
        <w:t xml:space="preserve"> e que, portanto, podem estar associados a diferentes direções da mudança técnica. </w:t>
      </w:r>
    </w:p>
    <w:p w:rsidR="00692DF9" w:rsidRDefault="00692DF9" w:rsidP="001A6AC5">
      <w:pPr>
        <w:pStyle w:val="Corpodetexto"/>
        <w:spacing w:line="240" w:lineRule="auto"/>
        <w:ind w:firstLine="709"/>
      </w:pPr>
      <w:r w:rsidRPr="009615AC">
        <w:t>Essa compreensão permite deduzir</w:t>
      </w:r>
      <w:r>
        <w:t xml:space="preserve"> também</w:t>
      </w:r>
      <w:r w:rsidRPr="009615AC">
        <w:t xml:space="preserve"> que quanto maior a diversidade e intensidade das formas de aprendizagem utilizadas pelas firmas, maior suas possibilidades de diferenciação de seus concorrentes, uma vez que</w:t>
      </w:r>
      <w:r>
        <w:t xml:space="preserve"> os conhecimentos são cumulativos</w:t>
      </w:r>
      <w:r w:rsidRPr="009615AC">
        <w:t>.</w:t>
      </w:r>
      <w:r>
        <w:t xml:space="preserve"> Essa diferenciação pode estar cristalizada na diversidade de direções da mudança tecnológica utilizadas pelas firmas. Em outras palavras, diversidade e intensidade dos processos de aprendizagem estão associados a diversidade de formas de inovar. Essa derivação </w:t>
      </w:r>
      <w:r w:rsidRPr="00E7511A">
        <w:rPr>
          <w:i/>
        </w:rPr>
        <w:t>a priori</w:t>
      </w:r>
      <w:r>
        <w:rPr>
          <w:i/>
        </w:rPr>
        <w:t xml:space="preserve"> </w:t>
      </w:r>
      <w:r>
        <w:t xml:space="preserve">configura-se em um campo a ser explorado em análises futuras que respeitem os padrões de setoriais de aprendizagem aqui identificados. </w:t>
      </w:r>
    </w:p>
    <w:p w:rsidR="00692DF9" w:rsidRDefault="005C5ABC" w:rsidP="001A6AC5">
      <w:pPr>
        <w:ind w:firstLine="709"/>
        <w:jc w:val="both"/>
      </w:pPr>
      <w:r>
        <w:t>A</w:t>
      </w:r>
      <w:r w:rsidR="00692DF9">
        <w:t xml:space="preserve"> formação dos padrões basead</w:t>
      </w:r>
      <w:r>
        <w:t>o</w:t>
      </w:r>
      <w:r w:rsidR="00692DF9">
        <w:t xml:space="preserve">s em configurações de relações que se repetiram no tempo, surge </w:t>
      </w:r>
      <w:r>
        <w:t>ainda</w:t>
      </w:r>
      <w:r w:rsidR="00692DF9">
        <w:t xml:space="preserve"> uma importante derivação normativa, seja, da necessidade de observação pelos </w:t>
      </w:r>
      <w:r w:rsidR="00692DF9" w:rsidRPr="0011245E">
        <w:rPr>
          <w:i/>
        </w:rPr>
        <w:t>policy makers</w:t>
      </w:r>
      <w:r w:rsidR="00692DF9">
        <w:t xml:space="preserve"> das diferenças nos processos de aprendizagem e inovação em muitas indústrias, sendo que,na maioria dos casos a aprendizagem se deriva muito menos dos tradicionais departamentos de P&amp;D e da absorção de conhecimentos gerados nas universidades do que da absorção tecnológica via outras fontes. Adicionalmente, enfatizamos que, de maneira geral, houve intensidade nas formas tácitas de aprendizagem, exatamente aqueles que, teoricamente, possuem maiores dificuldades de difusão.</w:t>
      </w:r>
      <w:r w:rsidR="00692DF9" w:rsidRPr="00DA7087">
        <w:t xml:space="preserve"> </w:t>
      </w:r>
      <w:r w:rsidR="00692DF9">
        <w:t xml:space="preserve">Isso significa que a aprendizagem tipicamente utilizada pelas firmas brasileiras se deriva do acumulo de conhecimentos obtidos a partir das rotinas de produção da firmas e processos de busca não associados a conhecimentos codificados. </w:t>
      </w:r>
      <w:r w:rsidR="00692DF9" w:rsidRPr="00DA7087">
        <w:t xml:space="preserve">O </w:t>
      </w:r>
      <w:r w:rsidR="00692DF9">
        <w:t>“s</w:t>
      </w:r>
      <w:r w:rsidR="00692DF9" w:rsidRPr="00DA7087">
        <w:t>aber como</w:t>
      </w:r>
      <w:r w:rsidR="00692DF9">
        <w:t>”</w:t>
      </w:r>
      <w:r w:rsidR="00692DF9" w:rsidRPr="00DA7087">
        <w:t xml:space="preserve"> e o </w:t>
      </w:r>
      <w:r w:rsidR="00692DF9">
        <w:t>“</w:t>
      </w:r>
      <w:r w:rsidR="00692DF9" w:rsidRPr="00DA7087">
        <w:t>saber quem</w:t>
      </w:r>
      <w:r w:rsidR="00692DF9">
        <w:t>”</w:t>
      </w:r>
      <w:r w:rsidR="00692DF9" w:rsidRPr="00DA7087">
        <w:t xml:space="preserve"> são as formas de conhecimento que</w:t>
      </w:r>
      <w:r w:rsidR="00692DF9">
        <w:t xml:space="preserve"> prevalecem e</w:t>
      </w:r>
      <w:r w:rsidR="00692DF9" w:rsidRPr="00DA7087">
        <w:t xml:space="preserve"> </w:t>
      </w:r>
      <w:r w:rsidR="00692DF9">
        <w:t xml:space="preserve">melhor </w:t>
      </w:r>
      <w:r w:rsidR="00692DF9" w:rsidRPr="00DA7087">
        <w:t>explicam a difusão e o uso de conhecimentos entre as firmas nacionais.</w:t>
      </w:r>
      <w:r w:rsidR="00692DF9">
        <w:t xml:space="preserve"> Essas formas ao se reproduzirem no tempo conformam as memórias organizacionais das firmas, definem suas trajetórias cumulativas do aprendizado e podem representar, por exemplo, empecilhos ao estabelecimento de departamentos formais de P&amp;D, como poderia ser desejado pelos </w:t>
      </w:r>
      <w:r w:rsidR="00692DF9" w:rsidRPr="0011245E">
        <w:rPr>
          <w:i/>
        </w:rPr>
        <w:t>policy makers</w:t>
      </w:r>
      <w:r w:rsidR="00692DF9">
        <w:t xml:space="preserve">. </w:t>
      </w:r>
    </w:p>
    <w:p w:rsidR="00692DF9" w:rsidRDefault="00692DF9" w:rsidP="00692DF9">
      <w:pPr>
        <w:pStyle w:val="PargrafodaLista"/>
        <w:ind w:left="1069"/>
        <w:jc w:val="both"/>
      </w:pPr>
    </w:p>
    <w:p w:rsidR="00692DF9" w:rsidRDefault="00692DF9" w:rsidP="00692DF9">
      <w:pPr>
        <w:pStyle w:val="PargrafodaLista"/>
        <w:ind w:left="1069"/>
      </w:pPr>
    </w:p>
    <w:p w:rsidR="00692DF9" w:rsidRPr="00EF4AB2" w:rsidRDefault="00692DF9" w:rsidP="00692DF9">
      <w:pPr>
        <w:rPr>
          <w:lang w:val="en-US"/>
        </w:rPr>
      </w:pPr>
      <w:r w:rsidRPr="00EF4AB2">
        <w:rPr>
          <w:lang w:val="en-US"/>
        </w:rPr>
        <w:t>Referência bibliográfica</w:t>
      </w:r>
    </w:p>
    <w:p w:rsidR="00692DF9" w:rsidRPr="00EF4AB2" w:rsidRDefault="00692DF9" w:rsidP="00692DF9">
      <w:pPr>
        <w:rPr>
          <w:lang w:val="en-US"/>
        </w:rPr>
      </w:pPr>
    </w:p>
    <w:p w:rsidR="00692DF9" w:rsidRDefault="00692DF9" w:rsidP="00692DF9">
      <w:pPr>
        <w:jc w:val="both"/>
        <w:rPr>
          <w:lang w:val="en-US"/>
        </w:rPr>
      </w:pPr>
      <w:r w:rsidRPr="00D76991">
        <w:rPr>
          <w:lang w:val="en-US"/>
        </w:rPr>
        <w:t xml:space="preserve">ARROW, K.J., </w:t>
      </w:r>
      <w:r>
        <w:rPr>
          <w:lang w:val="en-US"/>
        </w:rPr>
        <w:t>“</w:t>
      </w:r>
      <w:r w:rsidRPr="00D76991">
        <w:rPr>
          <w:lang w:val="en-US"/>
        </w:rPr>
        <w:t>The economic implications of learning by doing</w:t>
      </w:r>
      <w:r>
        <w:rPr>
          <w:lang w:val="en-US"/>
        </w:rPr>
        <w:t>”</w:t>
      </w:r>
      <w:r w:rsidRPr="00D76991">
        <w:rPr>
          <w:lang w:val="en-US"/>
        </w:rPr>
        <w:t>. Review of Economic Studies, 29, pp. 155-173</w:t>
      </w:r>
      <w:r>
        <w:rPr>
          <w:lang w:val="en-US"/>
        </w:rPr>
        <w:t xml:space="preserve">,  </w:t>
      </w:r>
      <w:r w:rsidRPr="00D76991">
        <w:rPr>
          <w:lang w:val="en-US"/>
        </w:rPr>
        <w:t>1962</w:t>
      </w:r>
      <w:r>
        <w:rPr>
          <w:lang w:val="en-US"/>
        </w:rPr>
        <w:t>.</w:t>
      </w:r>
    </w:p>
    <w:p w:rsidR="00692DF9" w:rsidRPr="00FE283A" w:rsidRDefault="00692DF9" w:rsidP="00692DF9">
      <w:pPr>
        <w:rPr>
          <w:lang w:val="en-US"/>
        </w:rPr>
      </w:pPr>
      <w:r w:rsidRPr="00EF4AB2">
        <w:rPr>
          <w:lang w:val="en-US"/>
        </w:rPr>
        <w:t>B</w:t>
      </w:r>
      <w:r>
        <w:rPr>
          <w:lang w:val="en-US"/>
        </w:rPr>
        <w:t>ROWN</w:t>
      </w:r>
      <w:r w:rsidRPr="00EF4AB2">
        <w:rPr>
          <w:lang w:val="en-US"/>
        </w:rPr>
        <w:t>, J.S. e D</w:t>
      </w:r>
      <w:r>
        <w:rPr>
          <w:lang w:val="en-US"/>
        </w:rPr>
        <w:t>UGUI</w:t>
      </w:r>
      <w:r w:rsidRPr="00EF4AB2">
        <w:rPr>
          <w:lang w:val="en-US"/>
        </w:rPr>
        <w:t>, P. “</w:t>
      </w:r>
      <w:r w:rsidRPr="00FE283A">
        <w:rPr>
          <w:lang w:val="en-US"/>
        </w:rPr>
        <w:t>Organizational of Learning and Comunities of Practies:</w:t>
      </w:r>
      <w:r>
        <w:rPr>
          <w:lang w:val="en-US"/>
        </w:rPr>
        <w:t xml:space="preserve">Toward a Unified View of Working, Learning and Innovation. Organization Sciense, vol 2, n 1. Special Issue: Organizational Learning: Papers in Honor of (and by) James G.March. </w:t>
      </w:r>
      <w:smartTag w:uri="urn:schemas-microsoft-com:office:smarttags" w:element="City">
        <w:smartTag w:uri="urn:schemas-microsoft-com:office:smarttags" w:element="place">
          <w:r>
            <w:rPr>
              <w:lang w:val="en-US"/>
            </w:rPr>
            <w:t>London</w:t>
          </w:r>
        </w:smartTag>
      </w:smartTag>
      <w:r>
        <w:rPr>
          <w:lang w:val="en-US"/>
        </w:rPr>
        <w:t>, (1991), pp.40-57</w:t>
      </w:r>
    </w:p>
    <w:p w:rsidR="00692DF9" w:rsidRPr="009615AC" w:rsidRDefault="00692DF9" w:rsidP="00692DF9">
      <w:pPr>
        <w:jc w:val="both"/>
        <w:rPr>
          <w:rFonts w:ascii="Verdana" w:hAnsi="Verdana"/>
          <w:sz w:val="20"/>
          <w:szCs w:val="20"/>
        </w:rPr>
      </w:pPr>
      <w:r w:rsidRPr="009820CD">
        <w:rPr>
          <w:lang w:val="en-US"/>
        </w:rPr>
        <w:t xml:space="preserve">BRESCHI, B. &amp; MALERBA, F. Sectoral innovation systems: technological regimes schumpeteriam dynamics and spatial boundaries. </w:t>
      </w:r>
      <w:r w:rsidRPr="009615AC">
        <w:rPr>
          <w:i/>
          <w:iCs/>
        </w:rPr>
        <w:t>In</w:t>
      </w:r>
      <w:r w:rsidRPr="009615AC">
        <w:t xml:space="preserve"> Edquist C. (ed.), 1997</w:t>
      </w:r>
      <w:r w:rsidRPr="009615AC">
        <w:rPr>
          <w:rFonts w:ascii="Verdana" w:hAnsi="Verdana"/>
          <w:sz w:val="20"/>
          <w:szCs w:val="20"/>
        </w:rPr>
        <w:t>.</w:t>
      </w:r>
    </w:p>
    <w:p w:rsidR="00692DF9" w:rsidRPr="00181A21" w:rsidRDefault="00692DF9" w:rsidP="00692DF9">
      <w:pPr>
        <w:jc w:val="both"/>
        <w:rPr>
          <w:lang w:val="en-US"/>
        </w:rPr>
      </w:pPr>
      <w:r w:rsidRPr="009820CD">
        <w:t xml:space="preserve">CAMPOS, B (2005) </w:t>
      </w:r>
      <w:r w:rsidRPr="009820CD">
        <w:rPr>
          <w:bCs/>
        </w:rPr>
        <w:t>Aspectos da padronização setorial das inovações na indústria brasileira: uma análise multivariada a partir da Pintec 2000</w:t>
      </w:r>
      <w:r w:rsidRPr="009820CD">
        <w:t xml:space="preserve">. </w:t>
      </w:r>
      <w:r w:rsidRPr="00181A21">
        <w:rPr>
          <w:lang w:val="en-US"/>
        </w:rPr>
        <w:t>Anais congresso da ANPEC, 2005</w:t>
      </w:r>
    </w:p>
    <w:p w:rsidR="00692DF9" w:rsidRDefault="00692DF9" w:rsidP="00692DF9">
      <w:pPr>
        <w:autoSpaceDE w:val="0"/>
        <w:autoSpaceDN w:val="0"/>
        <w:adjustRightInd w:val="0"/>
        <w:rPr>
          <w:lang w:val="en-US"/>
        </w:rPr>
      </w:pPr>
      <w:r w:rsidRPr="00BE278E">
        <w:rPr>
          <w:lang w:val="en-US"/>
        </w:rPr>
        <w:t xml:space="preserve">COHEN, W.M., LEVINTHAL, D. A. “Innovation and learning: the Two faces of R&amp;D”. </w:t>
      </w:r>
      <w:r w:rsidRPr="009615AC">
        <w:rPr>
          <w:i/>
          <w:iCs/>
          <w:lang w:val="en-US"/>
        </w:rPr>
        <w:t>The Economic Journal</w:t>
      </w:r>
      <w:r w:rsidRPr="009615AC">
        <w:rPr>
          <w:lang w:val="en-US"/>
        </w:rPr>
        <w:t>, v. 99 (sept.), p. 569-596, 1989.</w:t>
      </w:r>
    </w:p>
    <w:p w:rsidR="00692DF9" w:rsidRPr="0030488F" w:rsidRDefault="00692DF9" w:rsidP="00692DF9">
      <w:pPr>
        <w:rPr>
          <w:lang w:val="en-US"/>
        </w:rPr>
      </w:pPr>
      <w:r w:rsidRPr="00130C34">
        <w:rPr>
          <w:lang w:val="en-US"/>
        </w:rPr>
        <w:t>D</w:t>
      </w:r>
      <w:r>
        <w:rPr>
          <w:lang w:val="en-US"/>
        </w:rPr>
        <w:t>YER</w:t>
      </w:r>
      <w:r w:rsidRPr="00130C34">
        <w:rPr>
          <w:lang w:val="en-US"/>
        </w:rPr>
        <w:t xml:space="preserve">, J.H., 1996. Specialized supplier networks as a source of competitive advantage: evidence from the auto industry. </w:t>
      </w:r>
      <w:r w:rsidRPr="0030488F">
        <w:rPr>
          <w:lang w:val="en-US"/>
        </w:rPr>
        <w:t>Strategic Management Journal 17 (4), 271–291</w:t>
      </w:r>
    </w:p>
    <w:p w:rsidR="00692DF9" w:rsidRPr="00DA7087" w:rsidRDefault="00692DF9" w:rsidP="00692DF9">
      <w:pPr>
        <w:autoSpaceDE w:val="0"/>
        <w:autoSpaceDN w:val="0"/>
        <w:adjustRightInd w:val="0"/>
        <w:rPr>
          <w:lang w:val="en-US"/>
        </w:rPr>
      </w:pPr>
      <w:r w:rsidRPr="00DA7087">
        <w:rPr>
          <w:color w:val="000000"/>
          <w:sz w:val="23"/>
          <w:szCs w:val="23"/>
          <w:lang w:val="en-US"/>
        </w:rPr>
        <w:t xml:space="preserve">FORAY, D e COWAN, R. The </w:t>
      </w:r>
      <w:r w:rsidRPr="00DA7087">
        <w:rPr>
          <w:bCs/>
          <w:color w:val="000000"/>
          <w:sz w:val="23"/>
          <w:szCs w:val="23"/>
          <w:lang w:val="en-US"/>
        </w:rPr>
        <w:t xml:space="preserve">Economics of Codification and the Diffusion of </w:t>
      </w:r>
      <w:smartTag w:uri="urn:schemas-microsoft-com:office:smarttags" w:element="place">
        <w:smartTag w:uri="urn:schemas-microsoft-com:office:smarttags" w:element="PlaceName">
          <w:r w:rsidRPr="00DA7087">
            <w:rPr>
              <w:bCs/>
              <w:color w:val="000000"/>
              <w:sz w:val="23"/>
              <w:szCs w:val="23"/>
              <w:lang w:val="en-US"/>
            </w:rPr>
            <w:t>Knowledge</w:t>
          </w:r>
        </w:smartTag>
        <w:r w:rsidRPr="00DA7087">
          <w:rPr>
            <w:b/>
            <w:bCs/>
            <w:color w:val="000000"/>
            <w:sz w:val="23"/>
            <w:szCs w:val="23"/>
            <w:lang w:val="en-US"/>
          </w:rPr>
          <w:t xml:space="preserve"> </w:t>
        </w:r>
        <w:smartTag w:uri="urn:schemas-microsoft-com:office:smarttags" w:element="PlaceName">
          <w:r w:rsidRPr="00DA7087">
            <w:rPr>
              <w:color w:val="000000"/>
              <w:sz w:val="23"/>
              <w:szCs w:val="23"/>
              <w:lang w:val="en-US"/>
            </w:rPr>
            <w:t>Oxford</w:t>
          </w:r>
        </w:smartTag>
        <w:r w:rsidRPr="00DA7087">
          <w:rPr>
            <w:color w:val="000000"/>
            <w:sz w:val="23"/>
            <w:szCs w:val="23"/>
            <w:lang w:val="en-US"/>
          </w:rPr>
          <w:t xml:space="preserve"> </w:t>
        </w:r>
        <w:smartTag w:uri="urn:schemas-microsoft-com:office:smarttags" w:element="PlaceType">
          <w:r w:rsidRPr="00DA7087">
            <w:rPr>
              <w:color w:val="000000"/>
              <w:sz w:val="23"/>
              <w:szCs w:val="23"/>
              <w:lang w:val="en-US"/>
            </w:rPr>
            <w:t>University</w:t>
          </w:r>
        </w:smartTag>
      </w:smartTag>
      <w:r w:rsidRPr="00DA7087">
        <w:rPr>
          <w:color w:val="000000"/>
          <w:sz w:val="23"/>
          <w:szCs w:val="23"/>
          <w:lang w:val="en-US"/>
        </w:rPr>
        <w:t xml:space="preserve"> Press, 1997.</w:t>
      </w:r>
    </w:p>
    <w:p w:rsidR="00692DF9" w:rsidRPr="00C07D78" w:rsidRDefault="00692DF9" w:rsidP="00692DF9">
      <w:pPr>
        <w:autoSpaceDE w:val="0"/>
        <w:autoSpaceDN w:val="0"/>
        <w:adjustRightInd w:val="0"/>
        <w:rPr>
          <w:b/>
          <w:bCs/>
          <w:lang w:val="en-US"/>
        </w:rPr>
      </w:pPr>
      <w:r w:rsidRPr="00C07D78">
        <w:rPr>
          <w:color w:val="000000"/>
          <w:sz w:val="23"/>
          <w:szCs w:val="23"/>
          <w:lang w:val="en-US"/>
        </w:rPr>
        <w:t>FORAY, D. e LUNDVALL, B.A. The knowledge based economy: from the economics of knowledge to the learning economy. In</w:t>
      </w:r>
      <w:r w:rsidRPr="00C07D78">
        <w:rPr>
          <w:b/>
          <w:color w:val="000000"/>
          <w:sz w:val="23"/>
          <w:szCs w:val="23"/>
          <w:lang w:val="en-US"/>
        </w:rPr>
        <w:t xml:space="preserve">: </w:t>
      </w:r>
      <w:r w:rsidRPr="00C07D78">
        <w:rPr>
          <w:bCs/>
          <w:color w:val="000000"/>
          <w:sz w:val="23"/>
          <w:szCs w:val="23"/>
          <w:lang w:val="en-US"/>
        </w:rPr>
        <w:t>Employment and gr</w:t>
      </w:r>
      <w:r w:rsidR="008F5E9D">
        <w:rPr>
          <w:bCs/>
          <w:color w:val="000000"/>
          <w:sz w:val="23"/>
          <w:szCs w:val="23"/>
          <w:lang w:val="en-US"/>
        </w:rPr>
        <w:t>o</w:t>
      </w:r>
      <w:r w:rsidRPr="00C07D78">
        <w:rPr>
          <w:bCs/>
          <w:color w:val="000000"/>
          <w:sz w:val="23"/>
          <w:szCs w:val="23"/>
          <w:lang w:val="en-US"/>
        </w:rPr>
        <w:t>wth in the knowledge</w:t>
      </w:r>
      <w:r w:rsidRPr="00C07D78">
        <w:rPr>
          <w:color w:val="000000"/>
          <w:sz w:val="23"/>
          <w:szCs w:val="23"/>
          <w:lang w:val="en-US"/>
        </w:rPr>
        <w:t>-based economy. OCDE Documents, 1999.</w:t>
      </w:r>
    </w:p>
    <w:p w:rsidR="00692DF9" w:rsidRPr="008F5E9D" w:rsidRDefault="00692DF9" w:rsidP="008F5E9D">
      <w:pPr>
        <w:autoSpaceDE w:val="0"/>
        <w:autoSpaceDN w:val="0"/>
        <w:adjustRightInd w:val="0"/>
        <w:rPr>
          <w:rStyle w:val="Hyperlink"/>
          <w:rFonts w:eastAsia="Calibri"/>
          <w:color w:val="auto"/>
          <w:u w:val="none"/>
        </w:rPr>
      </w:pPr>
      <w:r w:rsidRPr="00813B0F">
        <w:rPr>
          <w:rFonts w:eastAsia="Calibri"/>
        </w:rPr>
        <w:t>GONSALVES, E.; SIMÕES, R. “Padrões de esforço tecnológico da indústria brasileira: uma</w:t>
      </w:r>
      <w:r>
        <w:rPr>
          <w:rFonts w:eastAsia="Calibri"/>
        </w:rPr>
        <w:t xml:space="preserve"> </w:t>
      </w:r>
      <w:r w:rsidRPr="00813B0F">
        <w:rPr>
          <w:rFonts w:eastAsia="Calibri"/>
        </w:rPr>
        <w:t xml:space="preserve">análise setorial a partir de técnicas multivariadas”, </w:t>
      </w:r>
      <w:r w:rsidRPr="00813B0F">
        <w:rPr>
          <w:rFonts w:eastAsia="Calibri"/>
          <w:i/>
          <w:iCs/>
        </w:rPr>
        <w:t>Economia – Revista da ANPEC</w:t>
      </w:r>
      <w:r w:rsidRPr="00813B0F">
        <w:rPr>
          <w:rFonts w:eastAsia="Calibri"/>
        </w:rPr>
        <w:t>,</w:t>
      </w:r>
      <w:r w:rsidR="008F5E9D">
        <w:rPr>
          <w:rFonts w:eastAsia="Calibri"/>
        </w:rPr>
        <w:t xml:space="preserve"> </w:t>
      </w:r>
      <w:r w:rsidRPr="008F5E9D">
        <w:rPr>
          <w:rFonts w:eastAsia="Calibri"/>
        </w:rPr>
        <w:t>v.6, n.2, p.391-433, 2005.</w:t>
      </w:r>
      <w:r w:rsidR="001934EA" w:rsidRPr="00483A3E">
        <w:fldChar w:fldCharType="begin"/>
      </w:r>
      <w:r w:rsidRPr="008F5E9D">
        <w:instrText xml:space="preserve"> HYPERLINK "http://www.informatik.uni-trier.de/~ley/db/indices/a-tree/h/Hruschka:Eduardo_R=.html" </w:instrText>
      </w:r>
      <w:r w:rsidR="001934EA" w:rsidRPr="00483A3E">
        <w:fldChar w:fldCharType="separate"/>
      </w:r>
    </w:p>
    <w:p w:rsidR="00692DF9" w:rsidRPr="009820CD" w:rsidRDefault="00692DF9" w:rsidP="00692DF9">
      <w:pPr>
        <w:jc w:val="both"/>
        <w:rPr>
          <w:lang w:val="en-US"/>
        </w:rPr>
      </w:pPr>
      <w:r w:rsidRPr="00483A3E">
        <w:rPr>
          <w:rStyle w:val="Hyperlink"/>
          <w:u w:val="none"/>
          <w:lang w:val="en-US"/>
        </w:rPr>
        <w:t>HRUSCHKA</w:t>
      </w:r>
      <w:r w:rsidR="001934EA" w:rsidRPr="00483A3E">
        <w:fldChar w:fldCharType="end"/>
      </w:r>
      <w:r w:rsidRPr="00483A3E">
        <w:rPr>
          <w:lang w:val="en-US"/>
        </w:rPr>
        <w:t xml:space="preserve">, E.R e EBECKEN, N.F.F. A clustering algorithm for extracting rules from supervised neural network models in data mining tasks. </w:t>
      </w:r>
      <w:hyperlink r:id="rId12" w:anchor="HruschkaE00" w:history="1">
        <w:r w:rsidRPr="00483A3E">
          <w:rPr>
            <w:rStyle w:val="Hyperlink"/>
            <w:u w:val="none"/>
            <w:lang w:val="en-US"/>
          </w:rPr>
          <w:t>Int. J. Comput. Syst. Signal 1</w:t>
        </w:r>
      </w:hyperlink>
      <w:r w:rsidRPr="00483A3E">
        <w:rPr>
          <w:lang w:val="en-US"/>
        </w:rPr>
        <w:t>(</w:t>
      </w:r>
      <w:r w:rsidRPr="007F6065">
        <w:rPr>
          <w:lang w:val="en-US"/>
        </w:rPr>
        <w:t>1</w:t>
      </w:r>
      <w:r w:rsidRPr="009820CD">
        <w:rPr>
          <w:lang w:val="en-US"/>
        </w:rPr>
        <w:t>): 17-29 (2000)</w:t>
      </w:r>
    </w:p>
    <w:p w:rsidR="00692DF9" w:rsidRDefault="00692DF9" w:rsidP="00692DF9">
      <w:pPr>
        <w:jc w:val="both"/>
        <w:rPr>
          <w:lang w:val="en-US"/>
        </w:rPr>
      </w:pPr>
      <w:r w:rsidRPr="00535623">
        <w:rPr>
          <w:bCs/>
          <w:lang w:val="en-US"/>
        </w:rPr>
        <w:t>HAIR,F.J.; et.al.</w:t>
      </w:r>
      <w:r w:rsidRPr="00535623">
        <w:rPr>
          <w:lang w:val="en-US"/>
        </w:rPr>
        <w:t xml:space="preserve">: </w:t>
      </w:r>
      <w:r w:rsidRPr="00535623">
        <w:rPr>
          <w:i/>
          <w:iCs/>
          <w:lang w:val="en-US"/>
        </w:rPr>
        <w:t>Multivariate Data Analysis</w:t>
      </w:r>
      <w:r w:rsidRPr="00535623">
        <w:rPr>
          <w:lang w:val="en-US"/>
        </w:rPr>
        <w:t>, 5</w:t>
      </w:r>
      <w:r w:rsidRPr="00535623">
        <w:rPr>
          <w:vertAlign w:val="superscript"/>
          <w:lang w:val="en-US"/>
        </w:rPr>
        <w:t>th</w:t>
      </w:r>
      <w:r w:rsidRPr="00535623">
        <w:rPr>
          <w:lang w:val="en-US"/>
        </w:rPr>
        <w:t xml:space="preserve"> Edition, 730p., Prentice Hall, New Jersey 1998</w:t>
      </w:r>
    </w:p>
    <w:p w:rsidR="00692DF9" w:rsidRPr="009615AC" w:rsidRDefault="00692DF9" w:rsidP="00414766">
      <w:r>
        <w:rPr>
          <w:lang w:val="en-US"/>
        </w:rPr>
        <w:t xml:space="preserve">HEDBERG,B. How organizational learn and unlearn? In: P.C. Nystrom &amp; W.H. Starbuck (Eds.), Handbook of organizational design (pp.8-27). </w:t>
      </w:r>
      <w:r w:rsidRPr="009615AC">
        <w:t>London: Oxford University Press</w:t>
      </w:r>
    </w:p>
    <w:p w:rsidR="00692DF9" w:rsidRPr="00E52173" w:rsidRDefault="00692DF9" w:rsidP="00692DF9">
      <w:pPr>
        <w:jc w:val="both"/>
      </w:pPr>
      <w:r w:rsidRPr="009820CD">
        <w:rPr>
          <w:rFonts w:ascii="TimesNewRoman" w:hAnsi="TimesNewRoman" w:cs="TimesNewRoman"/>
        </w:rPr>
        <w:t>IBGE (200</w:t>
      </w:r>
      <w:r>
        <w:rPr>
          <w:rFonts w:ascii="TimesNewRoman" w:hAnsi="TimesNewRoman" w:cs="TimesNewRoman"/>
        </w:rPr>
        <w:t>0</w:t>
      </w:r>
      <w:r w:rsidRPr="009820CD">
        <w:rPr>
          <w:rFonts w:ascii="TimesNewRoman" w:hAnsi="TimesNewRoman" w:cs="TimesNewRoman"/>
        </w:rPr>
        <w:t xml:space="preserve">). </w:t>
      </w:r>
      <w:r w:rsidRPr="009820CD">
        <w:rPr>
          <w:rFonts w:ascii="TimesNewRoman,Italic" w:hAnsi="TimesNewRoman,Italic" w:cs="TimesNewRoman,Italic"/>
          <w:i/>
          <w:iCs/>
        </w:rPr>
        <w:t>Pesquisa Industrial Inovação Tecnológica 200</w:t>
      </w:r>
      <w:r>
        <w:rPr>
          <w:rFonts w:ascii="TimesNewRoman,Italic" w:hAnsi="TimesNewRoman,Italic" w:cs="TimesNewRoman,Italic"/>
          <w:i/>
          <w:iCs/>
        </w:rPr>
        <w:t>0</w:t>
      </w:r>
      <w:r w:rsidRPr="009820CD">
        <w:rPr>
          <w:rFonts w:ascii="TimesNewRoman" w:hAnsi="TimesNewRoman" w:cs="TimesNewRoman"/>
        </w:rPr>
        <w:t>. Rio de Janeiro: IBGE</w:t>
      </w:r>
    </w:p>
    <w:p w:rsidR="00692DF9" w:rsidRPr="00414766" w:rsidRDefault="00692DF9" w:rsidP="00692DF9">
      <w:pPr>
        <w:jc w:val="both"/>
      </w:pPr>
      <w:r w:rsidRPr="009820CD">
        <w:rPr>
          <w:rFonts w:ascii="TimesNewRoman" w:hAnsi="TimesNewRoman" w:cs="TimesNewRoman"/>
        </w:rPr>
        <w:t>IBGE (200</w:t>
      </w:r>
      <w:r>
        <w:rPr>
          <w:rFonts w:ascii="TimesNewRoman" w:hAnsi="TimesNewRoman" w:cs="TimesNewRoman"/>
        </w:rPr>
        <w:t>3</w:t>
      </w:r>
      <w:r w:rsidRPr="009820CD">
        <w:rPr>
          <w:rFonts w:ascii="TimesNewRoman" w:hAnsi="TimesNewRoman" w:cs="TimesNewRoman"/>
        </w:rPr>
        <w:t xml:space="preserve">). </w:t>
      </w:r>
      <w:r w:rsidRPr="009820CD">
        <w:rPr>
          <w:rFonts w:ascii="TimesNewRoman,Italic" w:hAnsi="TimesNewRoman,Italic" w:cs="TimesNewRoman,Italic"/>
          <w:i/>
          <w:iCs/>
        </w:rPr>
        <w:t>Pesquisa Industrial Inovação Tecnológica 2003</w:t>
      </w:r>
      <w:r w:rsidRPr="009820CD">
        <w:rPr>
          <w:rFonts w:ascii="TimesNewRoman" w:hAnsi="TimesNewRoman" w:cs="TimesNewRoman"/>
        </w:rPr>
        <w:t>. Rio de Janeiro: IBGE</w:t>
      </w:r>
    </w:p>
    <w:p w:rsidR="00692DF9" w:rsidRDefault="00692DF9" w:rsidP="00692DF9">
      <w:pPr>
        <w:jc w:val="both"/>
        <w:rPr>
          <w:rFonts w:ascii="TimesNewRoman" w:hAnsi="TimesNewRoman" w:cs="TimesNewRoman"/>
        </w:rPr>
      </w:pPr>
      <w:r w:rsidRPr="009820CD">
        <w:rPr>
          <w:rFonts w:ascii="TimesNewRoman" w:hAnsi="TimesNewRoman" w:cs="TimesNewRoman"/>
        </w:rPr>
        <w:t>IBGE (200</w:t>
      </w:r>
      <w:r>
        <w:rPr>
          <w:rFonts w:ascii="TimesNewRoman" w:hAnsi="TimesNewRoman" w:cs="TimesNewRoman"/>
        </w:rPr>
        <w:t>5</w:t>
      </w:r>
      <w:r w:rsidRPr="009820CD">
        <w:rPr>
          <w:rFonts w:ascii="TimesNewRoman" w:hAnsi="TimesNewRoman" w:cs="TimesNewRoman"/>
        </w:rPr>
        <w:t xml:space="preserve">). </w:t>
      </w:r>
      <w:r w:rsidRPr="009820CD">
        <w:rPr>
          <w:rFonts w:ascii="TimesNewRoman,Italic" w:hAnsi="TimesNewRoman,Italic" w:cs="TimesNewRoman,Italic"/>
          <w:i/>
          <w:iCs/>
        </w:rPr>
        <w:t>Pesquisa Industrial Inovação Tecnológica 200</w:t>
      </w:r>
      <w:r>
        <w:rPr>
          <w:rFonts w:ascii="TimesNewRoman,Italic" w:hAnsi="TimesNewRoman,Italic" w:cs="TimesNewRoman,Italic"/>
          <w:i/>
          <w:iCs/>
        </w:rPr>
        <w:t>5</w:t>
      </w:r>
      <w:r w:rsidRPr="009820CD">
        <w:rPr>
          <w:rFonts w:ascii="TimesNewRoman" w:hAnsi="TimesNewRoman" w:cs="TimesNewRoman"/>
        </w:rPr>
        <w:t>. Rio de Janeiro: IBGE</w:t>
      </w:r>
    </w:p>
    <w:p w:rsidR="00692DF9" w:rsidRPr="00D62FB9" w:rsidRDefault="00692DF9" w:rsidP="00692DF9">
      <w:pPr>
        <w:autoSpaceDE w:val="0"/>
        <w:autoSpaceDN w:val="0"/>
        <w:adjustRightInd w:val="0"/>
        <w:rPr>
          <w:rFonts w:ascii="Times-Roman" w:eastAsia="Calibri" w:hAnsi="Times-Roman" w:cs="Times-Roman"/>
          <w:lang w:val="en-US"/>
        </w:rPr>
      </w:pPr>
      <w:r w:rsidRPr="00D62FB9">
        <w:rPr>
          <w:rFonts w:ascii="Times-Roman" w:eastAsia="Calibri" w:hAnsi="Times-Roman" w:cs="Times-Roman"/>
          <w:lang w:val="en-US"/>
        </w:rPr>
        <w:t>JENSEN, M. B.; JOHNSON, B.; LORENZ, E.; LUNDVALL, B. A. Forms of</w:t>
      </w:r>
    </w:p>
    <w:p w:rsidR="00692DF9" w:rsidRPr="004C0F8F" w:rsidRDefault="00692DF9" w:rsidP="00692DF9">
      <w:pPr>
        <w:autoSpaceDE w:val="0"/>
        <w:autoSpaceDN w:val="0"/>
        <w:adjustRightInd w:val="0"/>
        <w:rPr>
          <w:rFonts w:ascii="Times-Roman" w:eastAsia="Calibri" w:hAnsi="Times-Roman" w:cs="Times-Roman"/>
          <w:lang w:val="en-US"/>
        </w:rPr>
      </w:pPr>
      <w:r w:rsidRPr="00D62FB9">
        <w:rPr>
          <w:rFonts w:ascii="Times-Roman" w:eastAsia="Calibri" w:hAnsi="Times-Roman" w:cs="Times-Roman"/>
          <w:lang w:val="en-US"/>
        </w:rPr>
        <w:t xml:space="preserve">knowledge and modes of innovation. </w:t>
      </w:r>
      <w:r w:rsidRPr="004866C3">
        <w:rPr>
          <w:rFonts w:eastAsia="Calibri"/>
          <w:i/>
          <w:iCs/>
          <w:lang w:val="en-US"/>
        </w:rPr>
        <w:t>Research Policy</w:t>
      </w:r>
      <w:r w:rsidRPr="004866C3">
        <w:rPr>
          <w:rFonts w:eastAsia="Calibri"/>
          <w:lang w:val="en-US"/>
        </w:rPr>
        <w:t>, n. 3</w:t>
      </w:r>
      <w:r w:rsidRPr="004C0F8F">
        <w:rPr>
          <w:rFonts w:ascii="Times-Roman" w:eastAsia="Calibri" w:hAnsi="Times-Roman" w:cs="Times-Roman"/>
          <w:lang w:val="en-US"/>
        </w:rPr>
        <w:t>6, p. 680-693, 2007</w:t>
      </w:r>
    </w:p>
    <w:p w:rsidR="00692DF9" w:rsidRPr="00317FFB" w:rsidRDefault="00692DF9" w:rsidP="00692DF9">
      <w:pPr>
        <w:jc w:val="both"/>
        <w:rPr>
          <w:lang w:val="en-US"/>
        </w:rPr>
      </w:pPr>
      <w:r w:rsidRPr="0050605B">
        <w:rPr>
          <w:lang w:val="en-US"/>
        </w:rPr>
        <w:t>L</w:t>
      </w:r>
      <w:r>
        <w:rPr>
          <w:lang w:val="en-US"/>
        </w:rPr>
        <w:t>EVIN</w:t>
      </w:r>
      <w:r w:rsidRPr="0050605B">
        <w:rPr>
          <w:lang w:val="en-US"/>
        </w:rPr>
        <w:t xml:space="preserve"> (1988) . “Appropiability, R&amp;D spending and technological progress”</w:t>
      </w:r>
      <w:r w:rsidRPr="0050605B">
        <w:rPr>
          <w:i/>
          <w:lang w:val="en-US"/>
        </w:rPr>
        <w:t>. American Economic Review</w:t>
      </w:r>
      <w:r w:rsidRPr="0050605B">
        <w:rPr>
          <w:lang w:val="en-US"/>
        </w:rPr>
        <w:t>, 78 (2), mayo, 424-428.</w:t>
      </w:r>
    </w:p>
    <w:p w:rsidR="00692DF9" w:rsidRPr="00130C34" w:rsidRDefault="00692DF9" w:rsidP="00692DF9">
      <w:pPr>
        <w:rPr>
          <w:lang w:val="en-US"/>
        </w:rPr>
      </w:pPr>
      <w:r w:rsidRPr="00130C34">
        <w:rPr>
          <w:lang w:val="en-US"/>
        </w:rPr>
        <w:t>L</w:t>
      </w:r>
      <w:r>
        <w:rPr>
          <w:lang w:val="en-US"/>
        </w:rPr>
        <w:t>UNDVALL</w:t>
      </w:r>
      <w:r w:rsidRPr="00130C34">
        <w:rPr>
          <w:lang w:val="en-US"/>
        </w:rPr>
        <w:t>, B.</w:t>
      </w:r>
      <w:r>
        <w:rPr>
          <w:lang w:val="en-US"/>
        </w:rPr>
        <w:t xml:space="preserve"> A</w:t>
      </w:r>
      <w:r w:rsidRPr="00130C34">
        <w:rPr>
          <w:lang w:val="en-US"/>
        </w:rPr>
        <w:t xml:space="preserve">, Product Innovation and User–Producer Interaction. </w:t>
      </w:r>
      <w:r w:rsidRPr="0030488F">
        <w:rPr>
          <w:lang w:val="en-US"/>
        </w:rPr>
        <w:t xml:space="preserve">Industrial, </w:t>
      </w:r>
      <w:r w:rsidRPr="00130C34">
        <w:rPr>
          <w:lang w:val="en-US"/>
        </w:rPr>
        <w:t xml:space="preserve">Development Research Series, vol. 31. </w:t>
      </w:r>
      <w:smartTag w:uri="urn:schemas-microsoft-com:office:smarttags" w:element="place">
        <w:smartTag w:uri="urn:schemas-microsoft-com:office:smarttags" w:element="PlaceName">
          <w:r w:rsidRPr="00130C34">
            <w:rPr>
              <w:lang w:val="en-US"/>
            </w:rPr>
            <w:t>Aalborg</w:t>
          </w:r>
        </w:smartTag>
        <w:r w:rsidRPr="00130C34">
          <w:rPr>
            <w:lang w:val="en-US"/>
          </w:rPr>
          <w:t xml:space="preserve"> </w:t>
        </w:r>
        <w:smartTag w:uri="urn:schemas-microsoft-com:office:smarttags" w:element="PlaceType">
          <w:r w:rsidRPr="00130C34">
            <w:rPr>
              <w:lang w:val="en-US"/>
            </w:rPr>
            <w:t>University</w:t>
          </w:r>
        </w:smartTag>
      </w:smartTag>
      <w:r w:rsidRPr="00130C34">
        <w:rPr>
          <w:lang w:val="en-US"/>
        </w:rPr>
        <w:t xml:space="preserve"> Press</w:t>
      </w:r>
      <w:r>
        <w:rPr>
          <w:lang w:val="en-US"/>
        </w:rPr>
        <w:t xml:space="preserve"> </w:t>
      </w:r>
      <w:r w:rsidRPr="00130C34">
        <w:rPr>
          <w:lang w:val="en-US"/>
        </w:rPr>
        <w:t>1986.</w:t>
      </w:r>
    </w:p>
    <w:p w:rsidR="00692DF9" w:rsidRPr="009820CD" w:rsidRDefault="00414766" w:rsidP="00692DF9">
      <w:pPr>
        <w:pStyle w:val="ReferBibl"/>
      </w:pPr>
      <w:r>
        <w:t>____</w:t>
      </w:r>
      <w:r w:rsidR="00692DF9">
        <w:t>____</w:t>
      </w:r>
      <w:r w:rsidR="004866C3">
        <w:t>__</w:t>
      </w:r>
      <w:r w:rsidR="008F5E9D">
        <w:t>.,</w:t>
      </w:r>
      <w:r w:rsidR="00692DF9" w:rsidRPr="009820CD">
        <w:t xml:space="preserve"> National System of Innovation: towards a theory of innovations and interactive learning. London.:Printer Publishers, 1992. </w:t>
      </w:r>
    </w:p>
    <w:p w:rsidR="00692DF9" w:rsidRDefault="00414766" w:rsidP="00414766">
      <w:pPr>
        <w:jc w:val="both"/>
        <w:rPr>
          <w:lang w:val="en-US"/>
        </w:rPr>
      </w:pPr>
      <w:r>
        <w:rPr>
          <w:lang w:val="en-US"/>
        </w:rPr>
        <w:t>__</w:t>
      </w:r>
      <w:r w:rsidR="00692DF9" w:rsidRPr="00E52173">
        <w:rPr>
          <w:lang w:val="en-US"/>
        </w:rPr>
        <w:t>__</w:t>
      </w:r>
      <w:r>
        <w:rPr>
          <w:lang w:val="en-US"/>
        </w:rPr>
        <w:t>__</w:t>
      </w:r>
      <w:r w:rsidR="00692DF9" w:rsidRPr="00E52173">
        <w:rPr>
          <w:lang w:val="en-US"/>
        </w:rPr>
        <w:t>__</w:t>
      </w:r>
      <w:r w:rsidR="004866C3">
        <w:rPr>
          <w:lang w:val="en-US"/>
        </w:rPr>
        <w:t>__</w:t>
      </w:r>
      <w:r w:rsidR="008F5E9D">
        <w:rPr>
          <w:lang w:val="en-US"/>
        </w:rPr>
        <w:t>.,</w:t>
      </w:r>
      <w:r w:rsidR="00692DF9" w:rsidRPr="00E52173">
        <w:rPr>
          <w:lang w:val="en-US"/>
        </w:rPr>
        <w:t xml:space="preserve"> The University in the Learning Economy. </w:t>
      </w:r>
      <w:r w:rsidR="00692DF9" w:rsidRPr="00483A3E">
        <w:rPr>
          <w:i/>
          <w:iCs/>
          <w:lang w:val="en-US"/>
        </w:rPr>
        <w:t>DRUID Working</w:t>
      </w:r>
      <w:r w:rsidR="00692DF9" w:rsidRPr="00483A3E">
        <w:rPr>
          <w:lang w:val="en-US"/>
        </w:rPr>
        <w:t xml:space="preserve"> </w:t>
      </w:r>
      <w:r w:rsidR="00692DF9" w:rsidRPr="00483A3E">
        <w:rPr>
          <w:i/>
          <w:iCs/>
          <w:lang w:val="en-US"/>
        </w:rPr>
        <w:t>Paper No 02-06</w:t>
      </w:r>
      <w:r w:rsidR="00692DF9" w:rsidRPr="00483A3E">
        <w:rPr>
          <w:lang w:val="en-US"/>
        </w:rPr>
        <w:t>, 2002</w:t>
      </w:r>
    </w:p>
    <w:p w:rsidR="00692DF9" w:rsidRPr="008444CB" w:rsidRDefault="004866C3" w:rsidP="00692DF9">
      <w:r>
        <w:rPr>
          <w:lang w:val="en-US"/>
        </w:rPr>
        <w:t>__________</w:t>
      </w:r>
      <w:r w:rsidR="00692DF9" w:rsidRPr="00E004A7">
        <w:rPr>
          <w:lang w:val="en-US"/>
        </w:rPr>
        <w:t>., JOHNSON, ANDERSEN,  E.S., DALUM, B</w:t>
      </w:r>
      <w:r w:rsidR="00692DF9" w:rsidRPr="00C77CD1">
        <w:rPr>
          <w:lang w:val="en-US"/>
        </w:rPr>
        <w:t xml:space="preserve">. National systems of production, innovation and competence building. </w:t>
      </w:r>
      <w:r w:rsidR="00692DF9" w:rsidRPr="008444CB">
        <w:t>DRUID Conference, Aalborg, June 2001.</w:t>
      </w:r>
    </w:p>
    <w:p w:rsidR="00692DF9" w:rsidRPr="004C0F8F" w:rsidRDefault="00692DF9" w:rsidP="00692DF9">
      <w:pPr>
        <w:rPr>
          <w:lang w:val="en-US"/>
        </w:rPr>
      </w:pPr>
      <w:r w:rsidRPr="008444CB">
        <w:t>KIM ,L.e NELSON, R. Introdução. In.:Tecnologia, Aprendizado e Inovação: as experiências d</w:t>
      </w:r>
      <w:r>
        <w:t xml:space="preserve">as economias de industrialização recente” Editora Unicamp. </w:t>
      </w:r>
      <w:r w:rsidRPr="004C0F8F">
        <w:rPr>
          <w:lang w:val="en-US"/>
        </w:rPr>
        <w:t>Campinas 2005.</w:t>
      </w:r>
    </w:p>
    <w:p w:rsidR="00692DF9" w:rsidRDefault="00692DF9" w:rsidP="00692DF9">
      <w:pPr>
        <w:pStyle w:val="ReferBibl"/>
      </w:pPr>
      <w:r w:rsidRPr="009820CD">
        <w:t>MALERBA, F</w:t>
      </w:r>
      <w:r>
        <w:t>., “Learning by firms and incremental technological change” The Economic Jornal.845-859 Jul. 1992.</w:t>
      </w:r>
    </w:p>
    <w:p w:rsidR="00692DF9" w:rsidRDefault="00692DF9" w:rsidP="00692DF9">
      <w:pPr>
        <w:pStyle w:val="ReferBibl"/>
      </w:pPr>
      <w:r w:rsidRPr="009820CD">
        <w:t xml:space="preserve">MALERBA, F., Sectoral system of innovation and production. Research Policy. CESPRI, </w:t>
      </w:r>
      <w:smartTag w:uri="urn:schemas-microsoft-com:office:smarttags" w:element="place">
        <w:smartTag w:uri="urn:schemas-microsoft-com:office:smarttags" w:element="PlaceName">
          <w:r w:rsidRPr="009820CD">
            <w:t>Bocconi</w:t>
          </w:r>
        </w:smartTag>
        <w:r w:rsidRPr="009820CD">
          <w:t xml:space="preserve"> </w:t>
        </w:r>
        <w:smartTag w:uri="urn:schemas-microsoft-com:office:smarttags" w:element="PlaceType">
          <w:r w:rsidRPr="009820CD">
            <w:t>University</w:t>
          </w:r>
        </w:smartTag>
      </w:smartTag>
      <w:r w:rsidRPr="009820CD">
        <w:t xml:space="preserve"> n º 7 p. 247-264</w:t>
      </w:r>
      <w:r>
        <w:t>,</w:t>
      </w:r>
      <w:r w:rsidRPr="009820CD">
        <w:t xml:space="preserve"> 2002</w:t>
      </w:r>
    </w:p>
    <w:p w:rsidR="00692DF9" w:rsidRPr="009615AC" w:rsidRDefault="00692DF9" w:rsidP="00692DF9">
      <w:pPr>
        <w:rPr>
          <w:lang w:val="en-US"/>
        </w:rPr>
      </w:pPr>
      <w:r w:rsidRPr="00E52173">
        <w:rPr>
          <w:lang w:val="en-US"/>
        </w:rPr>
        <w:t xml:space="preserve">MEEUS, M., OERLEMANS, L. &amp; HAGE, J. “Sectoral Patterns of Interactive Learning” An empirical exploration using an extented resource based model. </w:t>
      </w:r>
      <w:r w:rsidRPr="009615AC">
        <w:rPr>
          <w:lang w:val="en-US"/>
        </w:rPr>
        <w:t xml:space="preserve">Working Paper 99.5 </w:t>
      </w:r>
      <w:smartTag w:uri="urn:schemas-microsoft-com:office:smarttags" w:element="City">
        <w:r w:rsidRPr="009615AC">
          <w:rPr>
            <w:lang w:val="en-US"/>
          </w:rPr>
          <w:t>Eindhoven</w:t>
        </w:r>
      </w:smartTag>
      <w:r w:rsidRPr="009615AC">
        <w:rPr>
          <w:lang w:val="en-US"/>
        </w:rPr>
        <w:t xml:space="preserve"> Centre for Innovation Studies, The </w:t>
      </w:r>
      <w:smartTag w:uri="urn:schemas-microsoft-com:office:smarttags" w:element="country-region">
        <w:smartTag w:uri="urn:schemas-microsoft-com:office:smarttags" w:element="place">
          <w:r w:rsidRPr="009615AC">
            <w:rPr>
              <w:lang w:val="en-US"/>
            </w:rPr>
            <w:t>Netherlands</w:t>
          </w:r>
        </w:smartTag>
      </w:smartTag>
      <w:r w:rsidRPr="009615AC">
        <w:rPr>
          <w:lang w:val="en-US"/>
        </w:rPr>
        <w:t>.</w:t>
      </w:r>
    </w:p>
    <w:p w:rsidR="00692DF9" w:rsidRDefault="00692DF9" w:rsidP="00692DF9">
      <w:pPr>
        <w:pStyle w:val="ReferBibl"/>
      </w:pPr>
      <w:r w:rsidRPr="009820CD">
        <w:t>MALERBA, F ORSENIGO L. Technological Regimes and Sectoral</w:t>
      </w:r>
      <w:r w:rsidRPr="009820CD">
        <w:rPr>
          <w:b/>
        </w:rPr>
        <w:t xml:space="preserve"> </w:t>
      </w:r>
      <w:r w:rsidRPr="009820CD">
        <w:t>Patterns of Innovative Activities. Industrial e Corporate Change, 6 (1) 83-117, 1997.</w:t>
      </w:r>
    </w:p>
    <w:p w:rsidR="00692DF9" w:rsidRDefault="00692DF9" w:rsidP="00692DF9">
      <w:pPr>
        <w:pStyle w:val="ReferBibl"/>
      </w:pPr>
      <w:r>
        <w:t xml:space="preserve">MASKEL, P.”Localised low-tech learning in the furniture industry. In DRUID workpaper. </w:t>
      </w:r>
      <w:smartTag w:uri="urn:schemas-microsoft-com:office:smarttags" w:element="PlaceName">
        <w:r>
          <w:t>Copenhagen</w:t>
        </w:r>
      </w:smartTag>
      <w:r>
        <w:t xml:space="preserve"> </w:t>
      </w:r>
      <w:smartTag w:uri="urn:schemas-microsoft-com:office:smarttags" w:element="PlaceName">
        <w:r>
          <w:t>Business</w:t>
        </w:r>
      </w:smartTag>
      <w:r>
        <w:t xml:space="preserve"> </w:t>
      </w:r>
      <w:smartTag w:uri="urn:schemas-microsoft-com:office:smarttags" w:element="PlaceType">
        <w:r>
          <w:t>School</w:t>
        </w:r>
      </w:smartTag>
      <w:r>
        <w:t xml:space="preserve">: </w:t>
      </w:r>
      <w:smartTag w:uri="urn:schemas-microsoft-com:office:smarttags" w:element="place">
        <w:smartTag w:uri="urn:schemas-microsoft-com:office:smarttags" w:element="City">
          <w:r>
            <w:t>Copenhagen</w:t>
          </w:r>
        </w:smartTag>
        <w:r>
          <w:t xml:space="preserve">, </w:t>
        </w:r>
        <w:smartTag w:uri="urn:schemas-microsoft-com:office:smarttags" w:element="country-region">
          <w:r>
            <w:t>Denmark</w:t>
          </w:r>
        </w:smartTag>
      </w:smartTag>
      <w:r>
        <w:t>. 1996.</w:t>
      </w:r>
    </w:p>
    <w:p w:rsidR="00692DF9" w:rsidRPr="003C2990" w:rsidRDefault="00692DF9" w:rsidP="00692DF9">
      <w:pPr>
        <w:pStyle w:val="ReferBibl"/>
        <w:rPr>
          <w:sz w:val="22"/>
          <w:szCs w:val="22"/>
        </w:rPr>
      </w:pPr>
      <w:r w:rsidRPr="00317FFB">
        <w:t>MUROVEC, N, e PRODAN, I. “</w:t>
      </w:r>
      <w:r w:rsidRPr="003C2990">
        <w:rPr>
          <w:sz w:val="22"/>
          <w:szCs w:val="22"/>
        </w:rPr>
        <w:t>Absorptive capacity, its determinants, and influence on innovation output: Cross-cultural validation of the structural model”. Technovation 29 (2009) 859–872</w:t>
      </w:r>
      <w:r>
        <w:rPr>
          <w:sz w:val="22"/>
          <w:szCs w:val="22"/>
        </w:rPr>
        <w:t>. Ed.: Elsevier.</w:t>
      </w:r>
    </w:p>
    <w:p w:rsidR="00692DF9" w:rsidRDefault="00692DF9" w:rsidP="00692DF9">
      <w:pPr>
        <w:jc w:val="both"/>
        <w:rPr>
          <w:lang w:val="en-US"/>
        </w:rPr>
      </w:pPr>
      <w:r w:rsidRPr="007F6065">
        <w:rPr>
          <w:lang w:val="en-US"/>
        </w:rPr>
        <w:t>NELSON, R.R, “The co-evoluation of technology, industrial structure and supporting institutions. In: Industrial and corporate change. Oxford University Press, v.3, n.1, 1994.</w:t>
      </w:r>
    </w:p>
    <w:p w:rsidR="00692DF9" w:rsidRPr="003436BC" w:rsidRDefault="00414766" w:rsidP="00692DF9">
      <w:pPr>
        <w:jc w:val="both"/>
        <w:rPr>
          <w:lang w:val="en-US"/>
        </w:rPr>
      </w:pPr>
      <w:r>
        <w:rPr>
          <w:rStyle w:val="apple-style-span"/>
          <w:color w:val="000000"/>
          <w:lang w:val="en-US"/>
        </w:rPr>
        <w:t>_________</w:t>
      </w:r>
      <w:r w:rsidR="00692DF9" w:rsidRPr="003436BC">
        <w:rPr>
          <w:rStyle w:val="apple-style-span"/>
          <w:color w:val="000000"/>
          <w:lang w:val="en-US"/>
        </w:rPr>
        <w:t>, R R,"</w:t>
      </w:r>
      <w:hyperlink r:id="rId13" w:history="1">
        <w:r w:rsidR="00692DF9" w:rsidRPr="003436BC">
          <w:rPr>
            <w:rStyle w:val="Hyperlink"/>
            <w:bCs/>
            <w:u w:val="none"/>
            <w:lang w:val="en-US"/>
          </w:rPr>
          <w:t>The Evolution of Comparative or Competitive Advantage: A Preliminary Report on a Study</w:t>
        </w:r>
      </w:hyperlink>
      <w:r w:rsidR="00692DF9">
        <w:rPr>
          <w:rStyle w:val="apple-style-span"/>
          <w:color w:val="000000"/>
          <w:lang w:val="en-US"/>
        </w:rPr>
        <w:t>”,</w:t>
      </w:r>
      <w:r w:rsidR="00692DF9" w:rsidRPr="003436BC">
        <w:rPr>
          <w:rStyle w:val="apple-converted-space"/>
          <w:color w:val="000000"/>
          <w:lang w:val="en-US"/>
        </w:rPr>
        <w:t> </w:t>
      </w:r>
      <w:hyperlink r:id="rId14" w:history="1">
        <w:r w:rsidR="00692DF9" w:rsidRPr="003436BC">
          <w:rPr>
            <w:rStyle w:val="Hyperlink"/>
            <w:u w:val="none"/>
            <w:lang w:val="en-US"/>
          </w:rPr>
          <w:t>Industrial and Corporate Change</w:t>
        </w:r>
      </w:hyperlink>
      <w:r w:rsidR="00692DF9" w:rsidRPr="003436BC">
        <w:rPr>
          <w:rStyle w:val="apple-style-span"/>
          <w:color w:val="000000"/>
          <w:lang w:val="en-US"/>
        </w:rPr>
        <w:t>, Oxford University Press, vol. 5(2), pages 597-617</w:t>
      </w:r>
      <w:r w:rsidR="00692DF9">
        <w:rPr>
          <w:rStyle w:val="apple-style-span"/>
          <w:color w:val="000000"/>
          <w:lang w:val="en-US"/>
        </w:rPr>
        <w:t xml:space="preserve">, </w:t>
      </w:r>
      <w:r w:rsidR="00692DF9" w:rsidRPr="003436BC">
        <w:rPr>
          <w:rStyle w:val="apple-style-span"/>
          <w:color w:val="000000"/>
          <w:lang w:val="en-US"/>
        </w:rPr>
        <w:t>1996</w:t>
      </w:r>
      <w:r w:rsidR="00692DF9">
        <w:rPr>
          <w:rStyle w:val="apple-style-span"/>
          <w:color w:val="000000"/>
          <w:lang w:val="en-US"/>
        </w:rPr>
        <w:t>.</w:t>
      </w:r>
    </w:p>
    <w:p w:rsidR="00692DF9" w:rsidRDefault="00692DF9" w:rsidP="00692DF9">
      <w:pPr>
        <w:rPr>
          <w:lang w:val="en-US"/>
        </w:rPr>
      </w:pPr>
      <w:r>
        <w:rPr>
          <w:lang w:val="en-US"/>
        </w:rPr>
        <w:t xml:space="preserve">PATEL, P., PAVITT,K. “Pattern of technological activity:their measurement and interpretation. In: Handbook of the economics of innovation and technological change. </w:t>
      </w:r>
      <w:smartTag w:uri="urn:schemas-microsoft-com:office:smarttags" w:element="City">
        <w:smartTag w:uri="urn:schemas-microsoft-com:office:smarttags" w:element="place">
          <w:r>
            <w:rPr>
              <w:lang w:val="en-US"/>
            </w:rPr>
            <w:t>Cambridge</w:t>
          </w:r>
        </w:smartTag>
      </w:smartTag>
      <w:r>
        <w:rPr>
          <w:lang w:val="en-US"/>
        </w:rPr>
        <w:t>:Blackwell, 1995.</w:t>
      </w:r>
    </w:p>
    <w:p w:rsidR="00692DF9" w:rsidRDefault="00692DF9" w:rsidP="00692DF9">
      <w:pPr>
        <w:autoSpaceDE w:val="0"/>
        <w:autoSpaceDN w:val="0"/>
        <w:adjustRightInd w:val="0"/>
        <w:rPr>
          <w:lang w:val="en-US"/>
        </w:rPr>
      </w:pPr>
      <w:r w:rsidRPr="007F6065">
        <w:rPr>
          <w:lang w:val="en-US"/>
        </w:rPr>
        <w:t xml:space="preserve">PAVITT, K.: </w:t>
      </w:r>
      <w:r>
        <w:rPr>
          <w:lang w:val="en-US"/>
        </w:rPr>
        <w:t>“</w:t>
      </w:r>
      <w:r w:rsidRPr="007F6065">
        <w:rPr>
          <w:lang w:val="en-US"/>
        </w:rPr>
        <w:t xml:space="preserve">Sectoral patterns of technical change: towards a taxonomy and a </w:t>
      </w:r>
      <w:r>
        <w:rPr>
          <w:lang w:val="en-US"/>
        </w:rPr>
        <w:t>theory”</w:t>
      </w:r>
      <w:r w:rsidRPr="007F6065">
        <w:rPr>
          <w:lang w:val="en-US"/>
        </w:rPr>
        <w:t xml:space="preserve">, </w:t>
      </w:r>
      <w:r w:rsidRPr="007F6065">
        <w:rPr>
          <w:i/>
          <w:iCs/>
          <w:lang w:val="en-US"/>
        </w:rPr>
        <w:t xml:space="preserve">Research Policy, </w:t>
      </w:r>
      <w:r w:rsidRPr="007F6065">
        <w:rPr>
          <w:lang w:val="en-US"/>
        </w:rPr>
        <w:t>n</w:t>
      </w:r>
      <w:r>
        <w:rPr>
          <w:lang w:val="en-US"/>
        </w:rPr>
        <w:t>umber</w:t>
      </w:r>
      <w:r w:rsidRPr="007F6065">
        <w:rPr>
          <w:lang w:val="en-US"/>
        </w:rPr>
        <w:t xml:space="preserve"> 13 (6),</w:t>
      </w:r>
      <w:r>
        <w:rPr>
          <w:lang w:val="en-US"/>
        </w:rPr>
        <w:t xml:space="preserve"> </w:t>
      </w:r>
      <w:r w:rsidRPr="007F6065">
        <w:rPr>
          <w:lang w:val="en-US"/>
        </w:rPr>
        <w:t>p</w:t>
      </w:r>
      <w:r>
        <w:rPr>
          <w:lang w:val="en-US"/>
        </w:rPr>
        <w:t>ages</w:t>
      </w:r>
      <w:r w:rsidRPr="007F6065">
        <w:rPr>
          <w:lang w:val="en-US"/>
        </w:rPr>
        <w:t xml:space="preserve"> 343-373</w:t>
      </w:r>
      <w:r>
        <w:rPr>
          <w:lang w:val="en-US"/>
        </w:rPr>
        <w:t xml:space="preserve">, </w:t>
      </w:r>
      <w:r w:rsidRPr="007F6065">
        <w:rPr>
          <w:lang w:val="en-US"/>
        </w:rPr>
        <w:t>1984</w:t>
      </w:r>
    </w:p>
    <w:p w:rsidR="00692DF9" w:rsidRPr="0064328A" w:rsidRDefault="00414766" w:rsidP="00692DF9">
      <w:pPr>
        <w:autoSpaceDE w:val="0"/>
        <w:autoSpaceDN w:val="0"/>
        <w:adjustRightInd w:val="0"/>
        <w:rPr>
          <w:lang w:val="en-US"/>
        </w:rPr>
      </w:pPr>
      <w:r>
        <w:rPr>
          <w:rFonts w:eastAsia="Calibri"/>
          <w:lang w:val="en-US"/>
        </w:rPr>
        <w:t>__________</w:t>
      </w:r>
      <w:r w:rsidR="00692DF9" w:rsidRPr="0064328A">
        <w:rPr>
          <w:rFonts w:eastAsia="Calibri"/>
          <w:lang w:val="en-US"/>
        </w:rPr>
        <w:t>; R</w:t>
      </w:r>
      <w:r w:rsidR="00692DF9">
        <w:rPr>
          <w:rFonts w:eastAsia="Calibri"/>
          <w:lang w:val="en-US"/>
        </w:rPr>
        <w:t>OBSON</w:t>
      </w:r>
      <w:r w:rsidR="00692DF9" w:rsidRPr="0064328A">
        <w:rPr>
          <w:rFonts w:eastAsia="Calibri"/>
          <w:lang w:val="en-US"/>
        </w:rPr>
        <w:t>, M.; T</w:t>
      </w:r>
      <w:r w:rsidR="00692DF9">
        <w:rPr>
          <w:rFonts w:eastAsia="Calibri"/>
          <w:lang w:val="en-US"/>
        </w:rPr>
        <w:t>OWSEND</w:t>
      </w:r>
      <w:r w:rsidR="00692DF9" w:rsidRPr="0064328A">
        <w:rPr>
          <w:rFonts w:eastAsia="Calibri"/>
          <w:lang w:val="en-US"/>
        </w:rPr>
        <w:t>, J. “Technological accumulation,</w:t>
      </w:r>
      <w:r w:rsidR="00692DF9">
        <w:rPr>
          <w:rFonts w:eastAsia="Calibri"/>
          <w:lang w:val="en-US"/>
        </w:rPr>
        <w:t xml:space="preserve"> </w:t>
      </w:r>
      <w:r w:rsidR="00692DF9" w:rsidRPr="0064328A">
        <w:rPr>
          <w:rFonts w:eastAsia="Calibri"/>
          <w:lang w:val="en-US"/>
        </w:rPr>
        <w:t>diversification and</w:t>
      </w:r>
      <w:r w:rsidR="00692DF9">
        <w:rPr>
          <w:rFonts w:eastAsia="Calibri"/>
          <w:lang w:val="en-US"/>
        </w:rPr>
        <w:t xml:space="preserve"> </w:t>
      </w:r>
      <w:r w:rsidR="00692DF9" w:rsidRPr="0064328A">
        <w:rPr>
          <w:rFonts w:eastAsia="Calibri"/>
          <w:lang w:val="en-US"/>
        </w:rPr>
        <w:t>organization in the U.K. Companies, 1945-</w:t>
      </w:r>
      <w:smartTag w:uri="urn:schemas-microsoft-com:office:smarttags" w:element="metricconverter">
        <w:smartTagPr>
          <w:attr w:name="ProductID" w:val="1983”"/>
        </w:smartTagPr>
        <w:r w:rsidR="00692DF9" w:rsidRPr="0064328A">
          <w:rPr>
            <w:rFonts w:eastAsia="Calibri"/>
            <w:lang w:val="en-US"/>
          </w:rPr>
          <w:t>1983”</w:t>
        </w:r>
      </w:smartTag>
      <w:r w:rsidR="00692DF9" w:rsidRPr="0064328A">
        <w:rPr>
          <w:rFonts w:eastAsia="Calibri"/>
          <w:lang w:val="en-US"/>
        </w:rPr>
        <w:t xml:space="preserve">, </w:t>
      </w:r>
      <w:r w:rsidR="00692DF9" w:rsidRPr="0064328A">
        <w:rPr>
          <w:rFonts w:eastAsia="Calibri"/>
          <w:i/>
          <w:iCs/>
          <w:lang w:val="en-US"/>
        </w:rPr>
        <w:t>Management Science</w:t>
      </w:r>
      <w:r w:rsidR="00692DF9" w:rsidRPr="0064328A">
        <w:rPr>
          <w:rFonts w:eastAsia="Calibri"/>
          <w:lang w:val="en-US"/>
        </w:rPr>
        <w:t>, v.35, n.1,</w:t>
      </w:r>
      <w:r w:rsidR="00692DF9">
        <w:rPr>
          <w:rFonts w:eastAsia="Calibri"/>
          <w:lang w:val="en-US"/>
        </w:rPr>
        <w:t xml:space="preserve"> </w:t>
      </w:r>
      <w:r w:rsidR="00692DF9" w:rsidRPr="0064328A">
        <w:rPr>
          <w:rFonts w:eastAsia="Calibri"/>
          <w:lang w:val="en-US"/>
        </w:rPr>
        <w:t>p.81-99, 1989.</w:t>
      </w:r>
    </w:p>
    <w:p w:rsidR="00692DF9" w:rsidRPr="00414766" w:rsidRDefault="00692DF9" w:rsidP="00692DF9">
      <w:pPr>
        <w:autoSpaceDE w:val="0"/>
        <w:autoSpaceDN w:val="0"/>
        <w:adjustRightInd w:val="0"/>
      </w:pPr>
      <w:r w:rsidRPr="00E10540">
        <w:rPr>
          <w:rStyle w:val="apple-style-span"/>
          <w:bCs/>
        </w:rPr>
        <w:t>POSSAS, M., PONDÉ, J. e FAGUNDES, J.</w:t>
      </w:r>
      <w:r w:rsidRPr="00E10540">
        <w:rPr>
          <w:rStyle w:val="apple-converted-space"/>
        </w:rPr>
        <w:t> </w:t>
      </w:r>
      <w:r w:rsidRPr="00E10540">
        <w:rPr>
          <w:rStyle w:val="apple-style-span"/>
          <w:iCs/>
        </w:rPr>
        <w:t xml:space="preserve">Regulação da Concorrência nos Setores de Infraestrutura no </w:t>
      </w:r>
      <w:r w:rsidRPr="00E10540">
        <w:rPr>
          <w:rStyle w:val="apple-style-span"/>
          <w:iCs/>
          <w:color w:val="000000"/>
        </w:rPr>
        <w:t>Brasil: elementos introdutórios para um quadro conceitual.</w:t>
      </w:r>
      <w:r w:rsidRPr="00E10540">
        <w:rPr>
          <w:rStyle w:val="apple-converted-space"/>
          <w:color w:val="000000"/>
        </w:rPr>
        <w:t> </w:t>
      </w:r>
      <w:r w:rsidRPr="00414766">
        <w:rPr>
          <w:rStyle w:val="apple-style-span"/>
          <w:color w:val="000000"/>
        </w:rPr>
        <w:t>Relatório de Pesquisa/IPEA, 1997, 40 págs</w:t>
      </w:r>
    </w:p>
    <w:p w:rsidR="00692DF9" w:rsidRDefault="00692DF9" w:rsidP="00692DF9">
      <w:pPr>
        <w:autoSpaceDE w:val="0"/>
        <w:autoSpaceDN w:val="0"/>
        <w:adjustRightInd w:val="0"/>
        <w:rPr>
          <w:lang w:val="en-US"/>
        </w:rPr>
      </w:pPr>
      <w:r w:rsidRPr="00D9630B">
        <w:rPr>
          <w:lang w:val="en-US"/>
        </w:rPr>
        <w:t>SILVERBERG, G., DOSI, G. e ORSENIGO, L., “Innovation, diversity and diffusion: a self-organisation model”</w:t>
      </w:r>
      <w:r>
        <w:rPr>
          <w:lang w:val="en-US"/>
        </w:rPr>
        <w:t xml:space="preserve"> </w:t>
      </w:r>
      <w:r w:rsidRPr="00C77CD1">
        <w:rPr>
          <w:lang w:val="en-US"/>
        </w:rPr>
        <w:t>The Economic Journal</w:t>
      </w:r>
      <w:r>
        <w:rPr>
          <w:b/>
          <w:lang w:val="en-US"/>
        </w:rPr>
        <w:t xml:space="preserve">. </w:t>
      </w:r>
      <w:r>
        <w:rPr>
          <w:lang w:val="en-US"/>
        </w:rPr>
        <w:t>Priented in Great Britan, 1988.V</w:t>
      </w:r>
    </w:p>
    <w:p w:rsidR="00692DF9" w:rsidRPr="003436BC" w:rsidRDefault="00692DF9" w:rsidP="00692DF9">
      <w:pPr>
        <w:autoSpaceDE w:val="0"/>
        <w:autoSpaceDN w:val="0"/>
        <w:adjustRightInd w:val="0"/>
        <w:rPr>
          <w:rFonts w:eastAsia="Calibri"/>
          <w:lang w:val="en-US" w:eastAsia="en-US"/>
        </w:rPr>
      </w:pPr>
      <w:r>
        <w:rPr>
          <w:lang w:val="en-US"/>
        </w:rPr>
        <w:t>V</w:t>
      </w:r>
      <w:r w:rsidRPr="009A0DD9">
        <w:rPr>
          <w:rFonts w:eastAsia="Calibri"/>
          <w:lang w:val="en-US" w:eastAsia="en-US"/>
        </w:rPr>
        <w:t xml:space="preserve">IOTTI, E. B. National Learning Systems – A new approach on technological change in late industrializing economies and evidences from the cases of Brazil and South Korea </w:t>
      </w:r>
      <w:r w:rsidRPr="003436BC">
        <w:rPr>
          <w:rFonts w:eastAsia="Calibri"/>
          <w:bCs/>
          <w:i/>
          <w:iCs/>
          <w:lang w:val="en-US" w:eastAsia="en-US"/>
        </w:rPr>
        <w:t>Technological Forecasting and Social Change</w:t>
      </w:r>
      <w:r w:rsidRPr="003436BC">
        <w:rPr>
          <w:rFonts w:eastAsia="Calibri"/>
          <w:lang w:val="en-US" w:eastAsia="en-US"/>
        </w:rPr>
        <w:t>, No 69, pp. 653-680, 2002.</w:t>
      </w:r>
    </w:p>
    <w:p w:rsidR="00692DF9" w:rsidRPr="009A0DD9" w:rsidRDefault="00692DF9" w:rsidP="00692DF9">
      <w:pPr>
        <w:rPr>
          <w:lang w:val="en-US"/>
        </w:rPr>
      </w:pPr>
      <w:r w:rsidRPr="00130C34">
        <w:rPr>
          <w:lang w:val="en-US"/>
        </w:rPr>
        <w:t>Von H</w:t>
      </w:r>
      <w:r>
        <w:rPr>
          <w:lang w:val="en-US"/>
        </w:rPr>
        <w:t>IPPEL</w:t>
      </w:r>
      <w:r w:rsidRPr="00130C34">
        <w:rPr>
          <w:lang w:val="en-US"/>
        </w:rPr>
        <w:t>, E. Lead users: a source of novel product concepts. Management Science 32 (7), 791–805</w:t>
      </w:r>
      <w:r>
        <w:rPr>
          <w:lang w:val="en-US"/>
        </w:rPr>
        <w:t>,</w:t>
      </w:r>
      <w:r w:rsidRPr="00130C34">
        <w:rPr>
          <w:lang w:val="en-US"/>
        </w:rPr>
        <w:t xml:space="preserve"> 1986.</w:t>
      </w:r>
    </w:p>
    <w:sectPr w:rsidR="00692DF9" w:rsidRPr="009A0DD9" w:rsidSect="001A6AC5">
      <w:footerReference w:type="default" r:id="rId1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008" w:rsidRDefault="00956008" w:rsidP="00692DF9">
      <w:r>
        <w:separator/>
      </w:r>
    </w:p>
  </w:endnote>
  <w:endnote w:type="continuationSeparator" w:id="0">
    <w:p w:rsidR="00956008" w:rsidRDefault="00956008" w:rsidP="00692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ABC" w:rsidRDefault="005C5ABC">
    <w:pPr>
      <w:pStyle w:val="Rodap"/>
      <w:jc w:val="right"/>
    </w:pPr>
  </w:p>
  <w:p w:rsidR="005C5ABC" w:rsidRDefault="005C5ABC">
    <w:pPr>
      <w:pStyle w:val="Rodap"/>
      <w:jc w:val="right"/>
    </w:pPr>
    <w:fldSimple w:instr=" PAGE   \* MERGEFORMAT ">
      <w:r w:rsidR="00956008">
        <w:rPr>
          <w:noProof/>
        </w:rPr>
        <w:t>1</w:t>
      </w:r>
    </w:fldSimple>
  </w:p>
  <w:p w:rsidR="005C5ABC" w:rsidRDefault="005C5A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008" w:rsidRDefault="00956008" w:rsidP="00692DF9">
      <w:r>
        <w:separator/>
      </w:r>
    </w:p>
  </w:footnote>
  <w:footnote w:type="continuationSeparator" w:id="0">
    <w:p w:rsidR="00956008" w:rsidRDefault="00956008" w:rsidP="00692DF9">
      <w:r>
        <w:continuationSeparator/>
      </w:r>
    </w:p>
  </w:footnote>
  <w:footnote w:id="1">
    <w:p w:rsidR="00B3200A" w:rsidRDefault="00B3200A">
      <w:pPr>
        <w:pStyle w:val="Textodenotaderodap"/>
      </w:pPr>
      <w:r>
        <w:rPr>
          <w:rStyle w:val="Refdenotaderodap"/>
        </w:rPr>
        <w:footnoteRef/>
      </w:r>
      <w:r>
        <w:t xml:space="preserve"> Doutor em economia pela UFF. Gerente de Desenvolvimento Econômico da Secretaria de Desenvolvimento Econômico e Sustentável do Estado de Santa Catarina.</w:t>
      </w:r>
    </w:p>
  </w:footnote>
  <w:footnote w:id="2">
    <w:p w:rsidR="005C5ABC" w:rsidRDefault="005C5ABC" w:rsidP="00692DF9">
      <w:pPr>
        <w:pStyle w:val="Textodenotaderodap"/>
        <w:jc w:val="both"/>
      </w:pPr>
      <w:r>
        <w:rPr>
          <w:rStyle w:val="Refdenotaderodap"/>
        </w:rPr>
        <w:footnoteRef/>
      </w:r>
      <w:r>
        <w:t xml:space="preserve"> Trata-se de técnica amplamente utilizada para na literatura de economia industrial e da inovação. Particularmente, com o objetivo de obter semelhanças setoriais na indústria brasileira ver Gonçalves e Simões (2005), Bittencourt, et.al.2008 e Campos e Urraca, (2009) </w:t>
      </w:r>
    </w:p>
  </w:footnote>
  <w:footnote w:id="3">
    <w:p w:rsidR="005C5ABC" w:rsidRDefault="005C5ABC" w:rsidP="00692DF9">
      <w:pPr>
        <w:autoSpaceDE w:val="0"/>
        <w:autoSpaceDN w:val="0"/>
        <w:adjustRightInd w:val="0"/>
        <w:jc w:val="both"/>
      </w:pPr>
      <w:r>
        <w:rPr>
          <w:rStyle w:val="Refdenotaderodap"/>
        </w:rPr>
        <w:footnoteRef/>
      </w:r>
      <w:r>
        <w:rPr>
          <w:rFonts w:eastAsia="Calibri"/>
          <w:sz w:val="20"/>
          <w:szCs w:val="20"/>
        </w:rPr>
        <w:t>“</w:t>
      </w:r>
      <w:r w:rsidRPr="00E10540">
        <w:rPr>
          <w:rFonts w:eastAsia="Calibri"/>
          <w:sz w:val="20"/>
          <w:szCs w:val="20"/>
        </w:rPr>
        <w:t xml:space="preserve">Processos de busca </w:t>
      </w:r>
      <w:r>
        <w:rPr>
          <w:rFonts w:eastAsia="Calibri"/>
          <w:sz w:val="20"/>
          <w:szCs w:val="20"/>
        </w:rPr>
        <w:t>são</w:t>
      </w:r>
      <w:r w:rsidRPr="00E10540">
        <w:rPr>
          <w:rFonts w:eastAsia="Calibri"/>
          <w:sz w:val="20"/>
          <w:szCs w:val="20"/>
        </w:rPr>
        <w:t xml:space="preserve"> as políticas de inovação das empresas, ou seja, os procedimentos e formas utilizados para a descoberta e/ou desenvolvimento de novas rotinas” (Possas, et.al.1997).</w:t>
      </w:r>
    </w:p>
  </w:footnote>
  <w:footnote w:id="4">
    <w:p w:rsidR="005C5ABC" w:rsidRDefault="005C5ABC" w:rsidP="00692DF9">
      <w:pPr>
        <w:pStyle w:val="Textodenotaderodap"/>
        <w:jc w:val="both"/>
      </w:pPr>
      <w:r>
        <w:rPr>
          <w:rStyle w:val="Refdenotaderodap"/>
        </w:rPr>
        <w:footnoteRef/>
      </w:r>
      <w:r>
        <w:t xml:space="preserve"> A própria idéia de aprendizado é concebida como um conjunto de atividades em que vários tipos de conhecimentos se (re) combinam para construir algo novo (Arrow,1962).</w:t>
      </w:r>
    </w:p>
  </w:footnote>
  <w:footnote w:id="5">
    <w:p w:rsidR="005C5ABC" w:rsidRDefault="005C5ABC" w:rsidP="00692DF9">
      <w:pPr>
        <w:pStyle w:val="Textodenotaderodap"/>
        <w:jc w:val="both"/>
      </w:pPr>
      <w:r>
        <w:rPr>
          <w:rStyle w:val="Refdenotaderodap"/>
        </w:rPr>
        <w:footnoteRef/>
      </w:r>
      <w:r>
        <w:t xml:space="preserve"> </w:t>
      </w:r>
      <w:r w:rsidRPr="00863114">
        <w:rPr>
          <w:rStyle w:val="apple-converted-space"/>
          <w:shd w:val="clear" w:color="auto" w:fill="FFFFFF"/>
        </w:rPr>
        <w:t>O tempo, por exemplo</w:t>
      </w:r>
      <w:r>
        <w:rPr>
          <w:rStyle w:val="apple-converted-space"/>
          <w:shd w:val="clear" w:color="auto" w:fill="FFFFFF"/>
        </w:rPr>
        <w:t>,</w:t>
      </w:r>
      <w:r w:rsidRPr="00863114">
        <w:rPr>
          <w:rStyle w:val="apple-converted-space"/>
          <w:shd w:val="clear" w:color="auto" w:fill="FFFFFF"/>
        </w:rPr>
        <w:t xml:space="preserve"> pode ser um fator inibidor das tentativas de absorver e imitar conhecimentos tácitos externos, a medida que não se possa </w:t>
      </w:r>
      <w:r w:rsidRPr="00863114">
        <w:rPr>
          <w:rStyle w:val="apple-style-span"/>
          <w:shd w:val="clear" w:color="auto" w:fill="FFFFFF"/>
        </w:rPr>
        <w:t xml:space="preserve">fazê-lo com rapidez suficiente para que os ganhos da inovação resultante seja explorável. </w:t>
      </w:r>
      <w:r w:rsidRPr="00863114">
        <w:t xml:space="preserve">Por isso, contextos sociais capazes de estimular interações sociais importam a esse processo </w:t>
      </w:r>
      <w:r w:rsidRPr="00863114">
        <w:rPr>
          <w:rStyle w:val="apple-style-span"/>
          <w:shd w:val="clear" w:color="auto" w:fill="FFFFFF"/>
        </w:rPr>
        <w:t>(Nonaka, 1994)</w:t>
      </w:r>
      <w:r w:rsidRPr="00863114">
        <w:t>.</w:t>
      </w:r>
    </w:p>
  </w:footnote>
  <w:footnote w:id="6">
    <w:p w:rsidR="005C5ABC" w:rsidRDefault="005C5ABC" w:rsidP="00692DF9">
      <w:pPr>
        <w:pStyle w:val="Textodenotaderodap"/>
        <w:jc w:val="both"/>
      </w:pPr>
      <w:r>
        <w:rPr>
          <w:rStyle w:val="Refdenotaderodap"/>
        </w:rPr>
        <w:footnoteRef/>
      </w:r>
      <w:r>
        <w:t xml:space="preserve"> Uma evidência empírica é a análise </w:t>
      </w:r>
      <w:r w:rsidRPr="00F97345">
        <w:t>clássica de Nelson (1986).</w:t>
      </w:r>
    </w:p>
  </w:footnote>
  <w:footnote w:id="7">
    <w:p w:rsidR="005C5ABC" w:rsidRDefault="005C5ABC" w:rsidP="00692DF9">
      <w:pPr>
        <w:pStyle w:val="Textodenotaderodap"/>
        <w:jc w:val="both"/>
      </w:pPr>
      <w:r>
        <w:rPr>
          <w:rStyle w:val="Refdenotaderodap"/>
        </w:rPr>
        <w:footnoteRef/>
      </w:r>
      <w:r>
        <w:t xml:space="preserve"> </w:t>
      </w:r>
      <w:r w:rsidRPr="004B128F">
        <w:t>Essa forma de aprendizagem foi intensamente utilizada na rápida industrialização de economias como a da Coréia do Sul, mas também da brasileira (entre outras)</w:t>
      </w:r>
      <w:r>
        <w:t>,</w:t>
      </w:r>
      <w:r w:rsidRPr="004B128F">
        <w:t xml:space="preserve"> nas décadas de 1960 e 70, especialmente através da engenharia reversa. Quando os produtos imitados são relativamente simples a engenharia reversa não gera necessidade de investimentos em P&amp;D e o aprendizado é restrito. No entanto, o contrário também pode</w:t>
      </w:r>
      <w:r>
        <w:t xml:space="preserve"> ocorrer</w:t>
      </w:r>
      <w:r w:rsidRPr="004B128F">
        <w:t>. Conforme Nelson e Winter (1982, apud Kim e Nelson, 2005)</w:t>
      </w:r>
      <w:r>
        <w:t>,</w:t>
      </w:r>
      <w:r w:rsidRPr="004B128F">
        <w:t xml:space="preserve"> quando os imitadores trabalham com indícios muito restritos</w:t>
      </w:r>
      <w:r>
        <w:t>,</w:t>
      </w:r>
      <w:r w:rsidRPr="004B128F">
        <w:t xml:space="preserve"> podem </w:t>
      </w:r>
      <w:r>
        <w:t>assumir</w:t>
      </w:r>
      <w:r w:rsidRPr="004B128F">
        <w:t xml:space="preserve"> a qualidade de inovadores, pois resolveram a maior parte do problema. Nesses casos, as atividades de engenharia reversa podem rapidamente se transformar em atividades de P&amp;D. As inovações podem também ser imitadas legalmente via aquisição de patentes, licenças e know-how. Masfield (1984 apud Kim e Nelson, 2005) revelou que 60% das inovações patenteadas foram imitadas em quatro anos a partir de seu surgimento.</w:t>
      </w:r>
    </w:p>
  </w:footnote>
  <w:footnote w:id="8">
    <w:p w:rsidR="005C5ABC" w:rsidRDefault="005C5ABC" w:rsidP="00692DF9">
      <w:pPr>
        <w:pStyle w:val="Textodenotaderodap"/>
      </w:pPr>
      <w:r>
        <w:rPr>
          <w:rStyle w:val="Refdenotaderodap"/>
        </w:rPr>
        <w:footnoteRef/>
      </w:r>
      <w:r>
        <w:t xml:space="preserve"> Por</w:t>
      </w:r>
      <w:r w:rsidRPr="00F22CC8">
        <w:t xml:space="preserve"> se aproxima</w:t>
      </w:r>
      <w:r>
        <w:t>re</w:t>
      </w:r>
      <w:r w:rsidRPr="00F22CC8">
        <w:t>m muito da noção de “inovação” de Schumpeter,</w:t>
      </w:r>
      <w:r>
        <w:t xml:space="preserve"> os saltos tecnológicos</w:t>
      </w:r>
      <w:r w:rsidRPr="00F22CC8">
        <w:t xml:space="preserve"> </w:t>
      </w:r>
      <w:r>
        <w:t>configuram-se em</w:t>
      </w:r>
      <w:r w:rsidRPr="00F22CC8">
        <w:t xml:space="preserve"> uma área nebulosa na identificação </w:t>
      </w:r>
      <w:r>
        <w:t>das</w:t>
      </w:r>
      <w:r w:rsidRPr="00F22CC8">
        <w:t xml:space="preserve"> inova</w:t>
      </w:r>
      <w:r>
        <w:t>ções e simples difusões do progresso técnico.</w:t>
      </w:r>
    </w:p>
  </w:footnote>
  <w:footnote w:id="9">
    <w:p w:rsidR="005C5ABC" w:rsidRDefault="005C5ABC" w:rsidP="00692DF9">
      <w:pPr>
        <w:pStyle w:val="Textodenotaderodap"/>
        <w:jc w:val="both"/>
      </w:pPr>
      <w:r>
        <w:rPr>
          <w:rStyle w:val="Refdenotaderodap"/>
        </w:rPr>
        <w:footnoteRef/>
      </w:r>
      <w:r>
        <w:t xml:space="preserve"> E</w:t>
      </w:r>
      <w:r w:rsidRPr="00E02153">
        <w:t>ssa forma de aprendizado não fará parte das</w:t>
      </w:r>
      <w:r>
        <w:t xml:space="preserve"> análises empíricas devido a falta de informações disponíveis capazes de mensurar esse tipo de aprendizagem.</w:t>
      </w:r>
    </w:p>
  </w:footnote>
  <w:footnote w:id="10">
    <w:p w:rsidR="005C5ABC" w:rsidRDefault="005C5ABC" w:rsidP="00692DF9">
      <w:pPr>
        <w:pStyle w:val="Textodenotaderodap"/>
        <w:jc w:val="both"/>
      </w:pPr>
      <w:r>
        <w:rPr>
          <w:rStyle w:val="Refdenotaderodap"/>
        </w:rPr>
        <w:footnoteRef/>
      </w:r>
      <w:r>
        <w:t xml:space="preserve"> Os critérios para definição dos padrões serão melhores explorados na metodologia.</w:t>
      </w:r>
    </w:p>
  </w:footnote>
  <w:footnote w:id="11">
    <w:p w:rsidR="005C5ABC" w:rsidRDefault="005C5ABC" w:rsidP="00692DF9">
      <w:pPr>
        <w:pStyle w:val="Textodenotaderodap"/>
        <w:jc w:val="both"/>
      </w:pPr>
      <w:r>
        <w:rPr>
          <w:rStyle w:val="Refdenotaderodap"/>
        </w:rPr>
        <w:footnoteRef/>
      </w:r>
      <w:r>
        <w:t xml:space="preserve"> Não obstante, a taxonomia Pavitt (1984) tenha servido como ponto de apoio às análises dos resultados. </w:t>
      </w:r>
    </w:p>
  </w:footnote>
  <w:footnote w:id="12">
    <w:p w:rsidR="005C5ABC" w:rsidRDefault="005C5ABC" w:rsidP="00692DF9">
      <w:pPr>
        <w:pStyle w:val="Textodenotaderodap"/>
        <w:jc w:val="both"/>
      </w:pPr>
      <w:r>
        <w:rPr>
          <w:rStyle w:val="Refdenotaderodap"/>
        </w:rPr>
        <w:footnoteRef/>
      </w:r>
      <w:r>
        <w:t xml:space="preserve"> Nesse artigo, focou-se exclusivamente no aprendizado fruto dos esforços unilaterais. Isso exclui a aprendizagem derivada da cooperação, por exemplo, a qual possui natureza definida por esforços conjuntos das empresas inovadoras com seus parceiros, como parte de seus processos de inovação. A natureza diferenciada dessas formas de aprender justifica a compreensão de que analisadas separadamente essas formas particulares de aprendizagem podem fazer mais sentido.</w:t>
      </w:r>
    </w:p>
  </w:footnote>
  <w:footnote w:id="13">
    <w:p w:rsidR="005C5ABC" w:rsidRDefault="005C5ABC" w:rsidP="00692DF9">
      <w:pPr>
        <w:pStyle w:val="Textodenotaderodap"/>
        <w:jc w:val="both"/>
      </w:pPr>
      <w:r>
        <w:rPr>
          <w:rStyle w:val="Refdenotaderodap"/>
        </w:rPr>
        <w:footnoteRef/>
      </w:r>
      <w:r>
        <w:t xml:space="preserve"> Não se está assumindo com isso que exista uma correspondência absoluta entre fontes de idéias e os gastos com atividades de inovação. De fato, idéias surgidas nos departamentos de P&amp;D (</w:t>
      </w:r>
      <w:r w:rsidRPr="00AF5869">
        <w:rPr>
          <w:i/>
        </w:rPr>
        <w:t>learning by search</w:t>
      </w:r>
      <w:r>
        <w:t>) podem ser executadas através de gastos com P&amp;D externo (</w:t>
      </w:r>
      <w:r w:rsidRPr="00AF5869">
        <w:rPr>
          <w:i/>
        </w:rPr>
        <w:t>learning by advanced S&amp;T</w:t>
      </w:r>
      <w:r>
        <w:t>). Contudo, os indicadores assumem que há uma probabilidade maior de que os gastos sejam realizados nos departamentos de P&amp;D da própria empresa nesse caso.</w:t>
      </w:r>
    </w:p>
  </w:footnote>
  <w:footnote w:id="14">
    <w:p w:rsidR="005C5ABC" w:rsidRDefault="005C5ABC" w:rsidP="00692DF9">
      <w:pPr>
        <w:pStyle w:val="Textodenotaderodap"/>
        <w:jc w:val="both"/>
      </w:pPr>
      <w:r>
        <w:rPr>
          <w:rStyle w:val="Refdenotaderodap"/>
        </w:rPr>
        <w:footnoteRef/>
      </w:r>
      <w:r>
        <w:t xml:space="preserve"> O valor para a especificação qualitativa “baixa ou irrelevante” segue a valoração seqüencial das informações alta e média. O valor “</w:t>
      </w:r>
      <w:smartTag w:uri="urn:schemas-microsoft-com:office:smarttags" w:element="metricconverter">
        <w:smartTagPr>
          <w:attr w:name="ProductID" w:val="0,176”"/>
        </w:smartTagPr>
        <w:r>
          <w:t>0,176”</w:t>
        </w:r>
      </w:smartTag>
      <w:r>
        <w:t xml:space="preserve"> é a média entre “</w:t>
      </w:r>
      <w:smartTag w:uri="urn:schemas-microsoft-com:office:smarttags" w:element="metricconverter">
        <w:smartTagPr>
          <w:attr w:name="ProductID" w:val="0,33”"/>
        </w:smartTagPr>
        <w:r>
          <w:t>0,33”</w:t>
        </w:r>
      </w:smartTag>
      <w:r>
        <w:t xml:space="preserve"> e “</w:t>
      </w:r>
      <w:smartTag w:uri="urn:schemas-microsoft-com:office:smarttags" w:element="metricconverter">
        <w:smartTagPr>
          <w:attr w:name="ProductID" w:val="0,00”"/>
        </w:smartTagPr>
        <w:r>
          <w:t>0,00”</w:t>
        </w:r>
      </w:smartTag>
      <w:r>
        <w:t>,  valores atribuídos para “baixa” e “irrelevante” respectivamente.  Isso de deve a disponibilização dos os dados exclusivamente agregados.</w:t>
      </w:r>
    </w:p>
  </w:footnote>
  <w:footnote w:id="15">
    <w:p w:rsidR="005C5ABC" w:rsidRPr="00DB6AC4" w:rsidRDefault="005C5ABC" w:rsidP="00692DF9">
      <w:pPr>
        <w:pStyle w:val="Textodenotaderodap"/>
        <w:jc w:val="both"/>
      </w:pPr>
      <w:r w:rsidRPr="00FE710C">
        <w:rPr>
          <w:rStyle w:val="Refdenotaderodap"/>
        </w:rPr>
        <w:footnoteRef/>
      </w:r>
      <w:r w:rsidRPr="00FE710C">
        <w:t xml:space="preserve"> A meta do algoritmo K-médias é encontrar um particionamento ótimo para dividir um número de objetos em k-grupos, fazendo com que objetos movam-se de forma a agruparem-se minimizando </w:t>
      </w:r>
      <w:r>
        <w:t xml:space="preserve">a </w:t>
      </w:r>
      <w:r w:rsidRPr="00FE710C">
        <w:t>variância intra-grupo</w:t>
      </w:r>
      <w:r>
        <w:t>s</w:t>
      </w:r>
      <w:r w:rsidRPr="00FE710C">
        <w:t xml:space="preserve"> e maximizando a variância entre-grupos. </w:t>
      </w:r>
      <w:r w:rsidRPr="00FE710C">
        <w:rPr>
          <w:iCs/>
        </w:rPr>
        <w:t>O processo i</w:t>
      </w:r>
      <w:r>
        <w:rPr>
          <w:iCs/>
        </w:rPr>
        <w:t>n</w:t>
      </w:r>
      <w:r w:rsidRPr="00FE710C">
        <w:rPr>
          <w:iCs/>
        </w:rPr>
        <w:t xml:space="preserve">terativo é realizado por combinação de elementos em </w:t>
      </w:r>
      <w:r w:rsidRPr="00FE710C">
        <w:rPr>
          <w:b/>
          <w:bCs/>
          <w:iCs/>
        </w:rPr>
        <w:t>k</w:t>
      </w:r>
      <w:r w:rsidRPr="00FE710C">
        <w:rPr>
          <w:iCs/>
        </w:rPr>
        <w:t xml:space="preserve"> grupos  até que se obtenha uma combinação que maximize o cálculo das variâncias entre grupos e que minimize o cálculo das variâncias intra-grupos. </w:t>
      </w:r>
      <w:r>
        <w:t>Em cada um dos três</w:t>
      </w:r>
      <w:r w:rsidRPr="00FE710C">
        <w:t xml:space="preserve"> exercício</w:t>
      </w:r>
      <w:r>
        <w:t>s</w:t>
      </w:r>
      <w:r w:rsidRPr="00FE710C">
        <w:t xml:space="preserve"> des</w:t>
      </w:r>
      <w:r>
        <w:t>t</w:t>
      </w:r>
      <w:r w:rsidRPr="00FE710C">
        <w:t>e trabalho</w:t>
      </w:r>
      <w:r>
        <w:t>,</w:t>
      </w:r>
      <w:r w:rsidRPr="00FE710C">
        <w:t xml:space="preserve"> foram necessárias apenas três interações para que se obtivessem os resultados ótimos.</w:t>
      </w:r>
    </w:p>
  </w:footnote>
  <w:footnote w:id="16">
    <w:p w:rsidR="005C5ABC" w:rsidRDefault="005C5ABC" w:rsidP="00692DF9">
      <w:pPr>
        <w:pStyle w:val="Textodenotaderodap"/>
        <w:jc w:val="both"/>
      </w:pPr>
      <w:r>
        <w:rPr>
          <w:rStyle w:val="Refdenotaderodap"/>
        </w:rPr>
        <w:footnoteRef/>
      </w:r>
      <w:r>
        <w:t xml:space="preserve"> Padronização significa tornar as média dos indicadores igual a zero e desvio padrão igual a 1. O benefício dessa técnica está representado nos gráficos que permitem a visualização dos padrões. Especificamente, a técnica aponta as  formas de aprendizagem acima ou abaixo da média geral em cada padrão.   </w:t>
      </w:r>
    </w:p>
  </w:footnote>
  <w:footnote w:id="17">
    <w:p w:rsidR="005C5ABC" w:rsidRDefault="005C5ABC" w:rsidP="00692DF9">
      <w:pPr>
        <w:pStyle w:val="Textodenotaderodap"/>
        <w:jc w:val="both"/>
      </w:pPr>
      <w:r>
        <w:rPr>
          <w:rStyle w:val="Refdenotaderodap"/>
        </w:rPr>
        <w:footnoteRef/>
      </w:r>
      <w:r>
        <w:t xml:space="preserve"> Esse critério foi definido observando-se a noção de padrões utilizada nas ciências biológicas, da qual se deriva que os padrões, enquanto configurações de relações no interior de um sistema são passíveis de mutações aleatórias. </w:t>
      </w:r>
    </w:p>
  </w:footnote>
  <w:footnote w:id="18">
    <w:p w:rsidR="005C5ABC" w:rsidRDefault="005C5ABC" w:rsidP="00692DF9">
      <w:pPr>
        <w:pStyle w:val="Textodenotaderodap"/>
      </w:pPr>
      <w:r>
        <w:rPr>
          <w:rStyle w:val="Refdenotaderodap"/>
        </w:rPr>
        <w:footnoteRef/>
      </w:r>
      <w:r>
        <w:t xml:space="preserve"> O fato de o número de setores considerados aqui (93) ser bastante superior aos observados em Pavitt (1984), fez com o exercício de classificação aqui realizado fosse apoiado também no trabalho de Campos e Urraca (2009), realizado para o Brasil para um conjunto 31 setores.</w:t>
      </w:r>
    </w:p>
  </w:footnote>
  <w:footnote w:id="19">
    <w:p w:rsidR="005C5ABC" w:rsidRDefault="005C5ABC" w:rsidP="00692DF9">
      <w:pPr>
        <w:pStyle w:val="Textodenotaderodap"/>
      </w:pPr>
      <w:r>
        <w:rPr>
          <w:rStyle w:val="Refdenotaderodap"/>
        </w:rPr>
        <w:footnoteRef/>
      </w:r>
      <w:r>
        <w:t xml:space="preserve"> </w:t>
      </w:r>
      <w:r>
        <w:rPr>
          <w:rFonts w:eastAsia="Calibri"/>
          <w:lang w:eastAsia="en-US"/>
        </w:rPr>
        <w:t>U</w:t>
      </w:r>
      <w:r w:rsidRPr="00B12046">
        <w:rPr>
          <w:rFonts w:eastAsia="Calibri"/>
          <w:lang w:eastAsia="en-US"/>
        </w:rPr>
        <w:t xml:space="preserve">m olhar atento aos gráficos </w:t>
      </w:r>
      <w:r>
        <w:rPr>
          <w:rFonts w:eastAsia="Calibri"/>
          <w:lang w:eastAsia="en-US"/>
        </w:rPr>
        <w:t>perceberá</w:t>
      </w:r>
      <w:r w:rsidRPr="00B12046">
        <w:rPr>
          <w:rFonts w:eastAsia="Calibri"/>
          <w:lang w:eastAsia="en-US"/>
        </w:rPr>
        <w:t xml:space="preserve"> maiores </w:t>
      </w:r>
      <w:r w:rsidRPr="00B12046">
        <w:t xml:space="preserve">semelhanças </w:t>
      </w:r>
      <w:r>
        <w:t>nos</w:t>
      </w:r>
      <w:r w:rsidRPr="00B12046">
        <w:t xml:space="preserve"> anos de 1997/2000 e 2003/2005 (Pintec’s I e III).</w:t>
      </w:r>
    </w:p>
  </w:footnote>
  <w:footnote w:id="20">
    <w:p w:rsidR="005C5ABC" w:rsidRDefault="005C5ABC" w:rsidP="00692DF9">
      <w:pPr>
        <w:pStyle w:val="Textodenotaderodap"/>
        <w:jc w:val="both"/>
      </w:pPr>
      <w:r>
        <w:rPr>
          <w:rStyle w:val="Refdenotaderodap"/>
        </w:rPr>
        <w:footnoteRef/>
      </w:r>
      <w:r>
        <w:t xml:space="preserve"> O leitor pode perceber que 5 segmentos do setor produtivo de alimentos, classificado como “dominado por fornecedores” em Pavitt(1984) e Campos e Urraca (2009) estão classificados como “Intensivos em Escala” nesse trabalho. Isso se deve ao elevado porte médio das firmas brasileiras que compõe esses setores. Especificamente, segundo dados da RAIS/MTE (2005), enquanto no padrão 2, onde se encontram agrupados o maior número de setores “dominados por fornecedores”, as firmas dos setores possuem médias em torno de 20 trabalhadores por empresa, no segmento de Carnes e Pescado são: 95 por empresa, no segmento de óleos vegetais e animais são 63 por empresa e no segmento de fabricação de Açúcar chega a 656, 8 por empresa.</w:t>
      </w:r>
    </w:p>
  </w:footnote>
  <w:footnote w:id="21">
    <w:p w:rsidR="005C5ABC" w:rsidRDefault="005C5ABC" w:rsidP="00692DF9">
      <w:pPr>
        <w:pStyle w:val="Textodenotaderodap"/>
        <w:jc w:val="both"/>
      </w:pPr>
      <w:r>
        <w:rPr>
          <w:rStyle w:val="Refdenotaderodap"/>
        </w:rPr>
        <w:footnoteRef/>
      </w:r>
      <w:r>
        <w:t xml:space="preserve"> Em 2007 o Exército brasileiro firmou parceria com a IVECO, subsidiária da FIAT que opera no município de Sete Lagoas –MG, para o desenvolvimento de tanque militar. Do ponto de vista tecnológico estima-se que um número considerável de patentes se derivem do projeto, as quais, serão concedidas exclusivamente ao exército brasileira. Também a licitação que definirá a renovação da frota de caças de última geração brasileira prevê transferência e, dependendo do vencedor, desenvolvimento de tecnologias no Brasil.</w:t>
      </w:r>
    </w:p>
  </w:footnote>
  <w:footnote w:id="22">
    <w:p w:rsidR="005C5ABC" w:rsidRDefault="005C5ABC" w:rsidP="00692DF9">
      <w:pPr>
        <w:pStyle w:val="Textodenotaderodap"/>
      </w:pPr>
      <w:r>
        <w:rPr>
          <w:rStyle w:val="Refdenotaderodap"/>
        </w:rPr>
        <w:footnoteRef/>
      </w:r>
      <w:r>
        <w:t xml:space="preserve"> As informações da PINTEC 2005, por exemplo, se referem as inovações de 27 empresas voltadas a construção e reparação de aeronaves e 47 empresas produtoras de derivados de Petróleo.</w:t>
      </w:r>
    </w:p>
  </w:footnote>
  <w:footnote w:id="23">
    <w:p w:rsidR="005C5ABC" w:rsidRDefault="005C5ABC" w:rsidP="00692DF9">
      <w:pPr>
        <w:pStyle w:val="Textodenotaderodap"/>
        <w:jc w:val="both"/>
      </w:pPr>
      <w:r>
        <w:rPr>
          <w:rStyle w:val="Refdenotaderodap"/>
        </w:rPr>
        <w:footnoteRef/>
      </w:r>
      <w:r>
        <w:t xml:space="preserve"> Pode-se claramente conceber que as formas de aprendizagem apresentadas por firmas de setores incluídos no padrão Intensivo em Aprendizagem à Montante, por exemplo, sugerem acumulo de conhecimento em um sentido mais estrito do que em outros padrões. A direção da mudança tecnológica parece obedecer sistematicamente um foco, nesse caso, melhoramentos no processo produtivo, tipicamente estimulado nas interações com fornecedores, especialmente nos setores “dominados por fornecedores”.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C86"/>
    <w:multiLevelType w:val="multilevel"/>
    <w:tmpl w:val="6C4032A6"/>
    <w:lvl w:ilvl="0">
      <w:start w:val="1"/>
      <w:numFmt w:val="decimal"/>
      <w:lvlText w:val="%1."/>
      <w:lvlJc w:val="left"/>
      <w:pPr>
        <w:tabs>
          <w:tab w:val="num" w:pos="1069"/>
        </w:tabs>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84B4F06"/>
    <w:multiLevelType w:val="hybridMultilevel"/>
    <w:tmpl w:val="369A1666"/>
    <w:lvl w:ilvl="0" w:tplc="3B64B7D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5A5F0E"/>
    <w:multiLevelType w:val="hybridMultilevel"/>
    <w:tmpl w:val="369A1666"/>
    <w:lvl w:ilvl="0" w:tplc="3B64B7D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7E45B0"/>
    <w:multiLevelType w:val="hybridMultilevel"/>
    <w:tmpl w:val="D6261726"/>
    <w:lvl w:ilvl="0" w:tplc="F6721870">
      <w:start w:val="4"/>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396A4E52"/>
    <w:multiLevelType w:val="multilevel"/>
    <w:tmpl w:val="7688C6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692DF9"/>
    <w:rsid w:val="001331EA"/>
    <w:rsid w:val="001934EA"/>
    <w:rsid w:val="001A6AC5"/>
    <w:rsid w:val="00414766"/>
    <w:rsid w:val="004866C3"/>
    <w:rsid w:val="005C5ABC"/>
    <w:rsid w:val="005E638B"/>
    <w:rsid w:val="00692DF9"/>
    <w:rsid w:val="00767020"/>
    <w:rsid w:val="008444CB"/>
    <w:rsid w:val="00844FB3"/>
    <w:rsid w:val="008F5E9D"/>
    <w:rsid w:val="00936154"/>
    <w:rsid w:val="00956008"/>
    <w:rsid w:val="00976845"/>
    <w:rsid w:val="00994E4E"/>
    <w:rsid w:val="009F7FDE"/>
    <w:rsid w:val="00A35A03"/>
    <w:rsid w:val="00B3200A"/>
    <w:rsid w:val="00B70EAC"/>
    <w:rsid w:val="00BD3AC8"/>
    <w:rsid w:val="00C76573"/>
    <w:rsid w:val="00DD1D4C"/>
    <w:rsid w:val="00EF7A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F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92DF9"/>
    <w:pPr>
      <w:spacing w:line="360" w:lineRule="auto"/>
      <w:jc w:val="both"/>
    </w:pPr>
    <w:rPr>
      <w:bCs/>
    </w:rPr>
  </w:style>
  <w:style w:type="character" w:customStyle="1" w:styleId="CorpodetextoChar">
    <w:name w:val="Corpo de texto Char"/>
    <w:basedOn w:val="Fontepargpadro"/>
    <w:link w:val="Corpodetexto"/>
    <w:rsid w:val="00692DF9"/>
    <w:rPr>
      <w:rFonts w:ascii="Times New Roman" w:eastAsia="Times New Roman" w:hAnsi="Times New Roman" w:cs="Times New Roman"/>
      <w:bCs/>
      <w:sz w:val="24"/>
      <w:szCs w:val="24"/>
      <w:lang w:eastAsia="pt-BR"/>
    </w:rPr>
  </w:style>
  <w:style w:type="paragraph" w:styleId="Textodenotaderodap">
    <w:name w:val="footnote text"/>
    <w:basedOn w:val="Normal"/>
    <w:link w:val="TextodenotaderodapChar"/>
    <w:semiHidden/>
    <w:rsid w:val="00692DF9"/>
    <w:rPr>
      <w:sz w:val="20"/>
      <w:szCs w:val="20"/>
    </w:rPr>
  </w:style>
  <w:style w:type="character" w:customStyle="1" w:styleId="TextodenotaderodapChar">
    <w:name w:val="Texto de nota de rodapé Char"/>
    <w:basedOn w:val="Fontepargpadro"/>
    <w:link w:val="Textodenotaderodap"/>
    <w:semiHidden/>
    <w:rsid w:val="00692DF9"/>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692DF9"/>
    <w:rPr>
      <w:vertAlign w:val="superscript"/>
    </w:rPr>
  </w:style>
  <w:style w:type="paragraph" w:styleId="Recuodecorpodetexto">
    <w:name w:val="Body Text Indent"/>
    <w:basedOn w:val="Normal"/>
    <w:link w:val="RecuodecorpodetextoChar"/>
    <w:rsid w:val="00692DF9"/>
    <w:pPr>
      <w:spacing w:after="120"/>
      <w:ind w:left="283"/>
    </w:pPr>
  </w:style>
  <w:style w:type="character" w:customStyle="1" w:styleId="RecuodecorpodetextoChar">
    <w:name w:val="Recuo de corpo de texto Char"/>
    <w:basedOn w:val="Fontepargpadro"/>
    <w:link w:val="Recuodecorpodetexto"/>
    <w:rsid w:val="00692DF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92DF9"/>
    <w:pPr>
      <w:ind w:left="720"/>
      <w:contextualSpacing/>
    </w:pPr>
  </w:style>
  <w:style w:type="character" w:customStyle="1" w:styleId="CaracteresdeNotadeRodap">
    <w:name w:val="Caracteres de Nota de Rodapé"/>
    <w:basedOn w:val="Fontepargpadro"/>
    <w:rsid w:val="00692DF9"/>
    <w:rPr>
      <w:vertAlign w:val="superscript"/>
    </w:rPr>
  </w:style>
  <w:style w:type="character" w:styleId="Hyperlink">
    <w:name w:val="Hyperlink"/>
    <w:basedOn w:val="Fontepargpadro"/>
    <w:rsid w:val="00692DF9"/>
    <w:rPr>
      <w:color w:val="000000"/>
      <w:u w:val="single"/>
    </w:rPr>
  </w:style>
  <w:style w:type="character" w:customStyle="1" w:styleId="CabealhoChar">
    <w:name w:val="Cabeçalho Char"/>
    <w:basedOn w:val="Fontepargpadro"/>
    <w:link w:val="Cabealho"/>
    <w:uiPriority w:val="99"/>
    <w:semiHidden/>
    <w:rsid w:val="00692DF9"/>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692DF9"/>
    <w:pPr>
      <w:tabs>
        <w:tab w:val="center" w:pos="4252"/>
        <w:tab w:val="right" w:pos="8504"/>
      </w:tabs>
    </w:pPr>
  </w:style>
  <w:style w:type="character" w:customStyle="1" w:styleId="CabealhoChar1">
    <w:name w:val="Cabeçalho Char1"/>
    <w:basedOn w:val="Fontepargpadro"/>
    <w:link w:val="Cabealho"/>
    <w:uiPriority w:val="99"/>
    <w:semiHidden/>
    <w:rsid w:val="00692DF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92DF9"/>
    <w:pPr>
      <w:tabs>
        <w:tab w:val="center" w:pos="4252"/>
        <w:tab w:val="right" w:pos="8504"/>
      </w:tabs>
    </w:pPr>
  </w:style>
  <w:style w:type="character" w:customStyle="1" w:styleId="RodapChar">
    <w:name w:val="Rodapé Char"/>
    <w:basedOn w:val="Fontepargpadro"/>
    <w:link w:val="Rodap"/>
    <w:uiPriority w:val="99"/>
    <w:rsid w:val="00692DF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2DF9"/>
    <w:rPr>
      <w:rFonts w:ascii="Tahoma" w:hAnsi="Tahoma" w:cs="Tahoma"/>
      <w:sz w:val="16"/>
      <w:szCs w:val="16"/>
    </w:rPr>
  </w:style>
  <w:style w:type="character" w:customStyle="1" w:styleId="TextodebaloChar">
    <w:name w:val="Texto de balão Char"/>
    <w:basedOn w:val="Fontepargpadro"/>
    <w:link w:val="Textodebalo"/>
    <w:uiPriority w:val="99"/>
    <w:semiHidden/>
    <w:rsid w:val="00692DF9"/>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692DF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692DF9"/>
    <w:rPr>
      <w:sz w:val="20"/>
      <w:szCs w:val="20"/>
    </w:rPr>
  </w:style>
  <w:style w:type="character" w:customStyle="1" w:styleId="TextodecomentrioChar1">
    <w:name w:val="Texto de comentário Char1"/>
    <w:basedOn w:val="Fontepargpadro"/>
    <w:link w:val="Textodecomentrio"/>
    <w:uiPriority w:val="99"/>
    <w:semiHidden/>
    <w:rsid w:val="00692DF9"/>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692DF9"/>
    <w:rPr>
      <w:b/>
      <w:bCs/>
    </w:rPr>
  </w:style>
  <w:style w:type="paragraph" w:styleId="Assuntodocomentrio">
    <w:name w:val="annotation subject"/>
    <w:basedOn w:val="Textodecomentrio"/>
    <w:next w:val="Textodecomentrio"/>
    <w:link w:val="AssuntodocomentrioChar"/>
    <w:uiPriority w:val="99"/>
    <w:semiHidden/>
    <w:unhideWhenUsed/>
    <w:rsid w:val="00692DF9"/>
    <w:rPr>
      <w:b/>
      <w:bCs/>
    </w:rPr>
  </w:style>
  <w:style w:type="character" w:customStyle="1" w:styleId="AssuntodocomentrioChar1">
    <w:name w:val="Assunto do comentário Char1"/>
    <w:basedOn w:val="TextodecomentrioChar1"/>
    <w:link w:val="Assuntodocomentrio"/>
    <w:uiPriority w:val="99"/>
    <w:semiHidden/>
    <w:rsid w:val="00692DF9"/>
    <w:rPr>
      <w:b/>
      <w:bCs/>
    </w:rPr>
  </w:style>
  <w:style w:type="paragraph" w:customStyle="1" w:styleId="ReferBibl">
    <w:name w:val="ReferBibl"/>
    <w:basedOn w:val="Normal"/>
    <w:autoRedefine/>
    <w:rsid w:val="00692DF9"/>
    <w:pPr>
      <w:jc w:val="both"/>
    </w:pPr>
    <w:rPr>
      <w:bCs/>
      <w:noProof/>
      <w:lang w:val="en-US"/>
    </w:rPr>
  </w:style>
  <w:style w:type="character" w:customStyle="1" w:styleId="apple-style-span">
    <w:name w:val="apple-style-span"/>
    <w:basedOn w:val="Fontepargpadro"/>
    <w:rsid w:val="00692DF9"/>
  </w:style>
  <w:style w:type="character" w:customStyle="1" w:styleId="apple-converted-space">
    <w:name w:val="apple-converted-space"/>
    <w:basedOn w:val="Fontepargpadro"/>
    <w:rsid w:val="00692DF9"/>
  </w:style>
  <w:style w:type="paragraph" w:styleId="NormalWeb">
    <w:name w:val="Normal (Web)"/>
    <w:basedOn w:val="Normal"/>
    <w:rsid w:val="00692DF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deas.repec.org/a/oup/indcch/v5y1996i2p597-61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ormatik.uni-trier.de/~ley/db/journals/ijcss/ijcss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deas.repec.org/s/oup/indcch.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4C1F-4890-48CC-8220-DDF4ECE4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9907</Words>
  <Characters>53501</Characters>
  <Application>Microsoft Office Word</Application>
  <DocSecurity>0</DocSecurity>
  <Lines>445</Lines>
  <Paragraphs>126</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PADRÕES SETORIAIS DE APRENDIZAGEM DA INDÚSTRIA BRASILEIRA: UMA ANÁLISE EXPLORATÓ</vt:lpstr>
      <vt:lpstr/>
      <vt:lpstr>Resumo: O objetivo do artigo é identifica padrões setoriais de aprendizagem na i</vt:lpstr>
      <vt:lpstr/>
      <vt:lpstr>A literatura recente destaca a inovação como um fenômeno explicado por fatores n</vt:lpstr>
      <vt:lpstr/>
      <vt:lpstr>REFERENCIAL TEÓRICO E ANALÍTICO</vt:lpstr>
      <vt:lpstr/>
    </vt:vector>
  </TitlesOfParts>
  <Company/>
  <LinksUpToDate>false</LinksUpToDate>
  <CharactersWithSpaces>63282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2</cp:revision>
  <cp:lastPrinted>2010-07-20T17:16:00Z</cp:lastPrinted>
  <dcterms:created xsi:type="dcterms:W3CDTF">2010-07-20T17:31:00Z</dcterms:created>
  <dcterms:modified xsi:type="dcterms:W3CDTF">2010-07-20T17:31:00Z</dcterms:modified>
</cp:coreProperties>
</file>