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C5" w:rsidRDefault="00D67B3E" w:rsidP="00D67B3E">
      <w:pPr>
        <w:spacing w:line="240" w:lineRule="auto"/>
        <w:jc w:val="both"/>
        <w:rPr>
          <w:rFonts w:ascii="Times New Roman" w:hAnsi="Times New Roman"/>
          <w:b/>
          <w:sz w:val="24"/>
          <w:szCs w:val="24"/>
        </w:rPr>
      </w:pPr>
      <w:r>
        <w:rPr>
          <w:rFonts w:ascii="Times New Roman" w:hAnsi="Times New Roman"/>
          <w:b/>
          <w:sz w:val="24"/>
          <w:szCs w:val="24"/>
        </w:rPr>
        <w:t>Redução Recente da Desigualdade Regional de Renda no Brasil: D</w:t>
      </w:r>
      <w:r w:rsidR="00A57977">
        <w:rPr>
          <w:rFonts w:ascii="Times New Roman" w:hAnsi="Times New Roman"/>
          <w:b/>
          <w:sz w:val="24"/>
          <w:szCs w:val="24"/>
        </w:rPr>
        <w:t>esconcentração Industrial</w:t>
      </w:r>
      <w:r w:rsidR="003A0D3E">
        <w:rPr>
          <w:rFonts w:ascii="Times New Roman" w:hAnsi="Times New Roman"/>
          <w:b/>
          <w:sz w:val="24"/>
          <w:szCs w:val="24"/>
        </w:rPr>
        <w:t xml:space="preserve"> </w:t>
      </w:r>
      <w:r>
        <w:rPr>
          <w:rFonts w:ascii="Times New Roman" w:hAnsi="Times New Roman"/>
          <w:b/>
          <w:sz w:val="24"/>
          <w:szCs w:val="24"/>
        </w:rPr>
        <w:t xml:space="preserve">ou Políticas Sociais? </w:t>
      </w:r>
    </w:p>
    <w:p w:rsidR="00324CF0" w:rsidRPr="00324CF0" w:rsidRDefault="00324CF0" w:rsidP="00F2728C">
      <w:pPr>
        <w:jc w:val="both"/>
        <w:rPr>
          <w:rFonts w:ascii="Times New Roman" w:hAnsi="Times New Roman"/>
          <w:sz w:val="24"/>
          <w:szCs w:val="24"/>
        </w:rPr>
      </w:pPr>
      <w:r>
        <w:rPr>
          <w:rFonts w:ascii="Times New Roman" w:hAnsi="Times New Roman"/>
          <w:sz w:val="24"/>
          <w:szCs w:val="24"/>
        </w:rPr>
        <w:t xml:space="preserve">Raul </w:t>
      </w:r>
      <w:r w:rsidR="00D67B3E">
        <w:rPr>
          <w:rFonts w:ascii="Times New Roman" w:hAnsi="Times New Roman"/>
          <w:sz w:val="24"/>
          <w:szCs w:val="24"/>
        </w:rPr>
        <w:t>da</w:t>
      </w:r>
      <w:r>
        <w:rPr>
          <w:rFonts w:ascii="Times New Roman" w:hAnsi="Times New Roman"/>
          <w:sz w:val="24"/>
          <w:szCs w:val="24"/>
        </w:rPr>
        <w:t xml:space="preserve"> Mota Silveira Neto – PIMES/UFPE e Pesquisador do CNPq</w:t>
      </w:r>
    </w:p>
    <w:p w:rsidR="00835ACB" w:rsidRDefault="00835ACB" w:rsidP="00F2728C">
      <w:pPr>
        <w:jc w:val="both"/>
        <w:rPr>
          <w:rFonts w:ascii="Times New Roman" w:hAnsi="Times New Roman"/>
          <w:b/>
          <w:sz w:val="24"/>
          <w:szCs w:val="24"/>
        </w:rPr>
      </w:pPr>
      <w:r>
        <w:rPr>
          <w:rFonts w:ascii="Times New Roman" w:hAnsi="Times New Roman"/>
          <w:b/>
          <w:sz w:val="24"/>
          <w:szCs w:val="24"/>
        </w:rPr>
        <w:t>Resumo</w:t>
      </w:r>
    </w:p>
    <w:p w:rsidR="00835ACB" w:rsidRDefault="00835ACB" w:rsidP="00621C12">
      <w:pPr>
        <w:spacing w:after="0" w:line="240" w:lineRule="auto"/>
        <w:jc w:val="both"/>
        <w:rPr>
          <w:rFonts w:ascii="Times New Roman" w:hAnsi="Times New Roman"/>
          <w:sz w:val="24"/>
          <w:szCs w:val="24"/>
        </w:rPr>
      </w:pPr>
      <w:r>
        <w:rPr>
          <w:rFonts w:ascii="Times New Roman" w:hAnsi="Times New Roman"/>
          <w:sz w:val="24"/>
          <w:szCs w:val="24"/>
        </w:rPr>
        <w:t xml:space="preserve">O trabalho apresenta evidências a respeito da importância das diferentes fontes de renda na diminuição da desigualdade regional de renda </w:t>
      </w:r>
      <w:r>
        <w:rPr>
          <w:rFonts w:ascii="Times New Roman" w:hAnsi="Times New Roman"/>
          <w:i/>
          <w:sz w:val="24"/>
          <w:szCs w:val="24"/>
        </w:rPr>
        <w:t>per capita</w:t>
      </w:r>
      <w:r>
        <w:rPr>
          <w:rFonts w:ascii="Times New Roman" w:hAnsi="Times New Roman"/>
          <w:sz w:val="24"/>
          <w:szCs w:val="24"/>
        </w:rPr>
        <w:t xml:space="preserve"> no Brasil no período 1995-2006, enfatizando o papel das políticas sociais de transferência de renda (Bolsa Família e Benefício de Prestação Continuada) e da desconcentração industrial neste processo. Além de medidas da contribuição da cada fonte de renda para a redução da desigualdade regional, medida pelo índice de Gini, o trabalho também estima elasticidades da desigualdade regional em relação às diferentes fontes. Os resultados indicam que a maior parte da redução da desigualdade regional observada deriva da contribuição da renda do trabalho, havendo importante desconcentração desta renda nos setores industrial e de serviços, mas também ressalta a importância dos programas sociais de transferência de renda que, apesar de não serem políticas espaciais, são responsáveis por cerca de </w:t>
      </w:r>
      <w:r w:rsidR="00F37EFE">
        <w:rPr>
          <w:rFonts w:ascii="Times New Roman" w:hAnsi="Times New Roman"/>
          <w:sz w:val="24"/>
          <w:szCs w:val="24"/>
        </w:rPr>
        <w:t>24</w:t>
      </w:r>
      <w:r>
        <w:rPr>
          <w:rFonts w:ascii="Times New Roman" w:hAnsi="Times New Roman"/>
          <w:sz w:val="24"/>
          <w:szCs w:val="24"/>
        </w:rPr>
        <w:t>%</w:t>
      </w:r>
      <w:r w:rsidR="00F37EFE">
        <w:rPr>
          <w:rFonts w:ascii="Times New Roman" w:hAnsi="Times New Roman"/>
          <w:sz w:val="24"/>
          <w:szCs w:val="24"/>
        </w:rPr>
        <w:t xml:space="preserve"> da redução da desigualdade regional entre 1995 e 2006. Os valores das elasticidades estimados indicam que, apesar de pequeno peso na renda total, as transferências de renda do Programa Bolsa Família em 2006 tinham capacidade redução da desigualdade maior que as rendas das aposentadorias e pensões</w:t>
      </w:r>
      <w:r w:rsidR="00ED4B3C">
        <w:rPr>
          <w:rFonts w:ascii="Times New Roman" w:hAnsi="Times New Roman"/>
          <w:sz w:val="24"/>
          <w:szCs w:val="24"/>
        </w:rPr>
        <w:t>.</w:t>
      </w:r>
    </w:p>
    <w:p w:rsidR="009E6BDD" w:rsidRDefault="009E6BDD" w:rsidP="00D36F15">
      <w:pPr>
        <w:spacing w:after="0" w:line="360" w:lineRule="auto"/>
        <w:jc w:val="both"/>
        <w:rPr>
          <w:rFonts w:ascii="Times New Roman" w:hAnsi="Times New Roman"/>
          <w:sz w:val="24"/>
          <w:szCs w:val="24"/>
        </w:rPr>
      </w:pPr>
      <w:r w:rsidRPr="009E6BDD">
        <w:rPr>
          <w:rFonts w:ascii="Times New Roman" w:hAnsi="Times New Roman"/>
          <w:b/>
          <w:sz w:val="24"/>
          <w:szCs w:val="24"/>
        </w:rPr>
        <w:t>Palavras-chaves:</w:t>
      </w:r>
      <w:r>
        <w:rPr>
          <w:rFonts w:ascii="Times New Roman" w:hAnsi="Times New Roman"/>
          <w:sz w:val="24"/>
          <w:szCs w:val="24"/>
        </w:rPr>
        <w:t xml:space="preserve"> desigualdade </w:t>
      </w:r>
      <w:r w:rsidR="00082342">
        <w:rPr>
          <w:rFonts w:ascii="Times New Roman" w:hAnsi="Times New Roman"/>
          <w:sz w:val="24"/>
          <w:szCs w:val="24"/>
        </w:rPr>
        <w:t xml:space="preserve">regional </w:t>
      </w:r>
      <w:r>
        <w:rPr>
          <w:rFonts w:ascii="Times New Roman" w:hAnsi="Times New Roman"/>
          <w:sz w:val="24"/>
          <w:szCs w:val="24"/>
        </w:rPr>
        <w:t>de renda, concentração industrial, Bolsa Família</w:t>
      </w:r>
    </w:p>
    <w:p w:rsidR="009E6BDD" w:rsidRDefault="009E6BDD" w:rsidP="00D36F15">
      <w:pPr>
        <w:spacing w:after="0" w:line="360" w:lineRule="auto"/>
        <w:jc w:val="both"/>
        <w:rPr>
          <w:rFonts w:ascii="Times New Roman" w:hAnsi="Times New Roman"/>
          <w:sz w:val="24"/>
          <w:szCs w:val="24"/>
        </w:rPr>
      </w:pPr>
    </w:p>
    <w:p w:rsidR="009E6BDD" w:rsidRDefault="009E6BDD" w:rsidP="00D36F15">
      <w:pPr>
        <w:spacing w:after="0" w:line="360" w:lineRule="auto"/>
        <w:jc w:val="both"/>
        <w:rPr>
          <w:rFonts w:ascii="Times New Roman" w:hAnsi="Times New Roman"/>
          <w:b/>
          <w:sz w:val="24"/>
          <w:szCs w:val="24"/>
        </w:rPr>
      </w:pPr>
      <w:r>
        <w:rPr>
          <w:rFonts w:ascii="Times New Roman" w:hAnsi="Times New Roman"/>
          <w:b/>
          <w:sz w:val="24"/>
          <w:szCs w:val="24"/>
        </w:rPr>
        <w:t>Abstract</w:t>
      </w:r>
    </w:p>
    <w:p w:rsidR="00082342" w:rsidRDefault="009E6BDD" w:rsidP="00621C12">
      <w:pPr>
        <w:spacing w:after="0" w:line="240" w:lineRule="auto"/>
        <w:jc w:val="both"/>
        <w:rPr>
          <w:rFonts w:ascii="Times New Roman" w:hAnsi="Times New Roman"/>
          <w:sz w:val="24"/>
          <w:szCs w:val="24"/>
          <w:lang w:val="en-US"/>
        </w:rPr>
      </w:pPr>
      <w:r w:rsidRPr="009E6BDD">
        <w:rPr>
          <w:rFonts w:ascii="Times New Roman" w:hAnsi="Times New Roman"/>
          <w:sz w:val="24"/>
          <w:szCs w:val="24"/>
          <w:lang w:val="en-US"/>
        </w:rPr>
        <w:t>The work presents evidence about the role of different income sources to the process of regional inequ</w:t>
      </w:r>
      <w:r w:rsidR="00082342">
        <w:rPr>
          <w:rFonts w:ascii="Times New Roman" w:hAnsi="Times New Roman"/>
          <w:sz w:val="24"/>
          <w:szCs w:val="24"/>
          <w:lang w:val="en-US"/>
        </w:rPr>
        <w:t>ality redu</w:t>
      </w:r>
      <w:r w:rsidRPr="009E6BDD">
        <w:rPr>
          <w:rFonts w:ascii="Times New Roman" w:hAnsi="Times New Roman"/>
          <w:sz w:val="24"/>
          <w:szCs w:val="24"/>
          <w:lang w:val="en-US"/>
        </w:rPr>
        <w:t>ction in Brazil from 1995 to 2006, pointing out the importance of social programs (Bolsa Fam</w:t>
      </w:r>
      <w:r>
        <w:rPr>
          <w:rFonts w:ascii="Times New Roman" w:hAnsi="Times New Roman"/>
          <w:sz w:val="24"/>
          <w:szCs w:val="24"/>
          <w:lang w:val="en-US"/>
        </w:rPr>
        <w:t>ília e Benefício de Prestação Continuada) and of the fall in the level of industrial regional concentration. The results indicate that the labor income sources are the most important facto explaining regional inequality reduction, but there was also an important roles to the federal government programs of income transfer on this dynamic, which specifically explains about 24% of Gini regional inequality reduction.</w:t>
      </w:r>
      <w:r w:rsidR="00082342">
        <w:rPr>
          <w:rFonts w:ascii="Times New Roman" w:hAnsi="Times New Roman"/>
          <w:sz w:val="24"/>
          <w:szCs w:val="24"/>
          <w:lang w:val="en-US"/>
        </w:rPr>
        <w:t xml:space="preserve"> The value estimated for  inequality elasticity relative to each income source indicate that the incomes from Bolsa Família program are more effective to reduce regional inequality than the incomes from </w:t>
      </w:r>
      <w:r w:rsidR="00082342" w:rsidRPr="00082342">
        <w:rPr>
          <w:rFonts w:ascii="Times New Roman" w:hAnsi="Times New Roman"/>
          <w:sz w:val="24"/>
          <w:szCs w:val="24"/>
          <w:lang w:val="en-US"/>
        </w:rPr>
        <w:t>Social security and pensions</w:t>
      </w:r>
      <w:r w:rsidR="00082342">
        <w:rPr>
          <w:rFonts w:ascii="Times New Roman" w:hAnsi="Times New Roman"/>
          <w:sz w:val="24"/>
          <w:szCs w:val="24"/>
          <w:lang w:val="en-US"/>
        </w:rPr>
        <w:t xml:space="preserve"> in 2006.</w:t>
      </w:r>
    </w:p>
    <w:p w:rsidR="00082342" w:rsidRPr="00621C12" w:rsidRDefault="00082342" w:rsidP="00D36F15">
      <w:pPr>
        <w:spacing w:after="0" w:line="360" w:lineRule="auto"/>
        <w:jc w:val="both"/>
        <w:rPr>
          <w:rFonts w:ascii="Times New Roman" w:hAnsi="Times New Roman"/>
          <w:sz w:val="24"/>
          <w:szCs w:val="24"/>
        </w:rPr>
      </w:pPr>
      <w:r w:rsidRPr="00621C12">
        <w:rPr>
          <w:rFonts w:ascii="Times New Roman" w:hAnsi="Times New Roman"/>
          <w:b/>
          <w:sz w:val="24"/>
          <w:szCs w:val="24"/>
        </w:rPr>
        <w:t>Key-words:</w:t>
      </w:r>
      <w:r w:rsidRPr="00621C12">
        <w:rPr>
          <w:rFonts w:ascii="Times New Roman" w:hAnsi="Times New Roman"/>
          <w:sz w:val="24"/>
          <w:szCs w:val="24"/>
        </w:rPr>
        <w:t xml:space="preserve"> regional income inequality, industrial concentration, Bolsa Família</w:t>
      </w:r>
    </w:p>
    <w:p w:rsidR="00621C12" w:rsidRDefault="00621C12" w:rsidP="00835ACB">
      <w:pPr>
        <w:jc w:val="both"/>
        <w:rPr>
          <w:rFonts w:ascii="Times New Roman" w:hAnsi="Times New Roman"/>
          <w:b/>
          <w:sz w:val="24"/>
          <w:szCs w:val="24"/>
        </w:rPr>
      </w:pPr>
    </w:p>
    <w:p w:rsidR="00973477" w:rsidRPr="005C7BC0" w:rsidRDefault="00324CF0" w:rsidP="00621C12">
      <w:pPr>
        <w:spacing w:after="0" w:line="240" w:lineRule="auto"/>
        <w:jc w:val="both"/>
        <w:rPr>
          <w:rFonts w:ascii="Times New Roman" w:hAnsi="Times New Roman"/>
          <w:sz w:val="24"/>
          <w:szCs w:val="24"/>
        </w:rPr>
      </w:pPr>
      <w:r>
        <w:rPr>
          <w:rFonts w:ascii="Times New Roman" w:hAnsi="Times New Roman"/>
          <w:b/>
          <w:sz w:val="24"/>
          <w:szCs w:val="24"/>
        </w:rPr>
        <w:t xml:space="preserve">Área ANPEC: </w:t>
      </w:r>
      <w:r w:rsidR="005C7BC0">
        <w:rPr>
          <w:rFonts w:ascii="Times New Roman" w:hAnsi="Times New Roman"/>
          <w:sz w:val="24"/>
          <w:szCs w:val="24"/>
        </w:rPr>
        <w:t>Área 9 – Economia Regional e Urbana.</w:t>
      </w:r>
    </w:p>
    <w:p w:rsidR="00324CF0" w:rsidRDefault="00324CF0" w:rsidP="00621C12">
      <w:pPr>
        <w:spacing w:after="0" w:line="240" w:lineRule="auto"/>
        <w:jc w:val="both"/>
        <w:rPr>
          <w:rFonts w:ascii="Times New Roman" w:hAnsi="Times New Roman"/>
          <w:b/>
          <w:sz w:val="24"/>
          <w:szCs w:val="24"/>
        </w:rPr>
      </w:pPr>
    </w:p>
    <w:p w:rsidR="00324CF0" w:rsidRPr="00324CF0" w:rsidRDefault="00324CF0" w:rsidP="00621C12">
      <w:pPr>
        <w:spacing w:after="0" w:line="240" w:lineRule="auto"/>
        <w:jc w:val="both"/>
        <w:rPr>
          <w:rFonts w:ascii="Times New Roman" w:hAnsi="Times New Roman"/>
          <w:b/>
          <w:sz w:val="24"/>
          <w:szCs w:val="24"/>
        </w:rPr>
      </w:pPr>
      <w:r>
        <w:rPr>
          <w:rFonts w:ascii="Times New Roman" w:hAnsi="Times New Roman"/>
          <w:b/>
          <w:sz w:val="24"/>
          <w:szCs w:val="24"/>
        </w:rPr>
        <w:t xml:space="preserve">Código </w:t>
      </w:r>
      <w:r>
        <w:rPr>
          <w:rFonts w:ascii="Times New Roman" w:hAnsi="Times New Roman"/>
          <w:b/>
          <w:i/>
          <w:sz w:val="24"/>
          <w:szCs w:val="24"/>
        </w:rPr>
        <w:t>JEL</w:t>
      </w:r>
      <w:r>
        <w:rPr>
          <w:rFonts w:ascii="Times New Roman" w:hAnsi="Times New Roman"/>
          <w:b/>
          <w:sz w:val="24"/>
          <w:szCs w:val="24"/>
        </w:rPr>
        <w:t xml:space="preserve">: </w:t>
      </w:r>
      <w:r w:rsidR="00CE3033" w:rsidRPr="00CE3033">
        <w:rPr>
          <w:rFonts w:ascii="Times New Roman" w:hAnsi="Times New Roman"/>
          <w:sz w:val="24"/>
          <w:szCs w:val="24"/>
        </w:rPr>
        <w:t>R11, R58.</w:t>
      </w:r>
    </w:p>
    <w:p w:rsidR="00973477" w:rsidRDefault="00973477" w:rsidP="00621C12">
      <w:pPr>
        <w:spacing w:after="0" w:line="240" w:lineRule="auto"/>
        <w:jc w:val="both"/>
        <w:rPr>
          <w:rFonts w:ascii="Times New Roman" w:hAnsi="Times New Roman"/>
          <w:b/>
          <w:sz w:val="24"/>
          <w:szCs w:val="24"/>
        </w:rPr>
      </w:pPr>
    </w:p>
    <w:p w:rsidR="00973477" w:rsidRDefault="00973477" w:rsidP="00621C12">
      <w:pPr>
        <w:spacing w:after="0" w:line="240" w:lineRule="auto"/>
        <w:jc w:val="both"/>
        <w:rPr>
          <w:rFonts w:ascii="Times New Roman" w:hAnsi="Times New Roman"/>
          <w:b/>
          <w:sz w:val="24"/>
          <w:szCs w:val="24"/>
        </w:rPr>
      </w:pPr>
    </w:p>
    <w:p w:rsidR="00973477" w:rsidRDefault="00973477" w:rsidP="00621C12">
      <w:pPr>
        <w:spacing w:after="0" w:line="240" w:lineRule="auto"/>
        <w:jc w:val="both"/>
        <w:rPr>
          <w:rFonts w:ascii="Times New Roman" w:hAnsi="Times New Roman"/>
          <w:b/>
          <w:sz w:val="24"/>
          <w:szCs w:val="24"/>
        </w:rPr>
      </w:pPr>
    </w:p>
    <w:p w:rsidR="00973477" w:rsidRDefault="00973477" w:rsidP="00621C12">
      <w:pPr>
        <w:spacing w:after="0" w:line="240" w:lineRule="auto"/>
        <w:jc w:val="both"/>
        <w:rPr>
          <w:rFonts w:ascii="Times New Roman" w:hAnsi="Times New Roman"/>
          <w:b/>
          <w:sz w:val="24"/>
          <w:szCs w:val="24"/>
        </w:rPr>
      </w:pPr>
    </w:p>
    <w:p w:rsidR="00973477" w:rsidRDefault="00973477" w:rsidP="00621C12">
      <w:pPr>
        <w:spacing w:after="0" w:line="240" w:lineRule="auto"/>
        <w:jc w:val="both"/>
        <w:rPr>
          <w:rFonts w:ascii="Times New Roman" w:hAnsi="Times New Roman"/>
          <w:b/>
          <w:sz w:val="24"/>
          <w:szCs w:val="24"/>
        </w:rPr>
      </w:pPr>
    </w:p>
    <w:p w:rsidR="00973477" w:rsidRDefault="00973477" w:rsidP="00621C12">
      <w:pPr>
        <w:spacing w:after="0" w:line="240" w:lineRule="auto"/>
        <w:jc w:val="both"/>
        <w:rPr>
          <w:rFonts w:ascii="Times New Roman" w:hAnsi="Times New Roman"/>
          <w:b/>
          <w:sz w:val="24"/>
          <w:szCs w:val="24"/>
        </w:rPr>
      </w:pPr>
    </w:p>
    <w:p w:rsidR="00973477" w:rsidRDefault="00973477" w:rsidP="00621C12">
      <w:pPr>
        <w:spacing w:after="0" w:line="240" w:lineRule="auto"/>
        <w:jc w:val="both"/>
        <w:rPr>
          <w:rFonts w:ascii="Times New Roman" w:hAnsi="Times New Roman"/>
          <w:b/>
          <w:sz w:val="24"/>
          <w:szCs w:val="24"/>
        </w:rPr>
      </w:pPr>
    </w:p>
    <w:p w:rsidR="00973477" w:rsidRDefault="00973477" w:rsidP="00621C12">
      <w:pPr>
        <w:spacing w:after="0" w:line="240" w:lineRule="auto"/>
        <w:jc w:val="both"/>
        <w:rPr>
          <w:rFonts w:ascii="Times New Roman" w:hAnsi="Times New Roman"/>
          <w:b/>
          <w:sz w:val="24"/>
          <w:szCs w:val="24"/>
        </w:rPr>
      </w:pPr>
    </w:p>
    <w:p w:rsidR="00973477" w:rsidRDefault="00973477" w:rsidP="00621C12">
      <w:pPr>
        <w:spacing w:after="0" w:line="240" w:lineRule="auto"/>
        <w:jc w:val="both"/>
        <w:rPr>
          <w:rFonts w:ascii="Times New Roman" w:hAnsi="Times New Roman"/>
          <w:b/>
          <w:sz w:val="24"/>
          <w:szCs w:val="24"/>
        </w:rPr>
      </w:pPr>
    </w:p>
    <w:p w:rsidR="00973477" w:rsidRDefault="00973477" w:rsidP="00621C12">
      <w:pPr>
        <w:spacing w:after="0" w:line="240" w:lineRule="auto"/>
        <w:jc w:val="both"/>
        <w:rPr>
          <w:rFonts w:ascii="Times New Roman" w:hAnsi="Times New Roman"/>
          <w:b/>
          <w:sz w:val="24"/>
          <w:szCs w:val="24"/>
        </w:rPr>
      </w:pPr>
    </w:p>
    <w:p w:rsidR="00D77005" w:rsidRDefault="00D77005" w:rsidP="00D77005">
      <w:pPr>
        <w:spacing w:line="240" w:lineRule="auto"/>
        <w:jc w:val="both"/>
        <w:rPr>
          <w:rFonts w:ascii="Times New Roman" w:hAnsi="Times New Roman"/>
          <w:b/>
          <w:sz w:val="24"/>
          <w:szCs w:val="24"/>
        </w:rPr>
      </w:pPr>
      <w:r>
        <w:rPr>
          <w:rFonts w:ascii="Times New Roman" w:hAnsi="Times New Roman"/>
          <w:b/>
          <w:sz w:val="24"/>
          <w:szCs w:val="24"/>
        </w:rPr>
        <w:lastRenderedPageBreak/>
        <w:t xml:space="preserve">Redução Recente da Desigualdade Regional de Renda no Brasil: Desconcentração Industrial ou Políticas Sociais? </w:t>
      </w:r>
    </w:p>
    <w:p w:rsidR="00F2728C" w:rsidRDefault="00F2728C" w:rsidP="00F2728C">
      <w:pPr>
        <w:jc w:val="both"/>
        <w:rPr>
          <w:rFonts w:ascii="Times New Roman" w:hAnsi="Times New Roman"/>
          <w:b/>
          <w:sz w:val="24"/>
          <w:szCs w:val="24"/>
        </w:rPr>
      </w:pPr>
      <w:r>
        <w:rPr>
          <w:rFonts w:ascii="Times New Roman" w:hAnsi="Times New Roman"/>
          <w:b/>
          <w:sz w:val="24"/>
          <w:szCs w:val="24"/>
        </w:rPr>
        <w:t>1. Introdução</w:t>
      </w:r>
    </w:p>
    <w:p w:rsidR="00255317" w:rsidRDefault="00255317" w:rsidP="00621C12">
      <w:pPr>
        <w:spacing w:after="0" w:line="240" w:lineRule="auto"/>
        <w:jc w:val="both"/>
        <w:rPr>
          <w:rFonts w:ascii="Times New Roman" w:hAnsi="Times New Roman"/>
          <w:color w:val="000000"/>
          <w:sz w:val="24"/>
        </w:rPr>
      </w:pPr>
      <w:r>
        <w:rPr>
          <w:rFonts w:ascii="Times New Roman" w:hAnsi="Times New Roman"/>
          <w:b/>
          <w:sz w:val="24"/>
          <w:szCs w:val="24"/>
        </w:rPr>
        <w:tab/>
      </w:r>
      <w:r w:rsidR="00755F02" w:rsidRPr="00755F02">
        <w:rPr>
          <w:rFonts w:ascii="Times New Roman" w:hAnsi="Times New Roman"/>
          <w:sz w:val="24"/>
          <w:szCs w:val="24"/>
        </w:rPr>
        <w:t>Como apontaram uma série de pesquisadores</w:t>
      </w:r>
      <w:r w:rsidR="00755F02">
        <w:rPr>
          <w:rFonts w:ascii="Times New Roman" w:hAnsi="Times New Roman"/>
          <w:b/>
          <w:sz w:val="24"/>
          <w:szCs w:val="24"/>
        </w:rPr>
        <w:t xml:space="preserve"> (</w:t>
      </w:r>
      <w:r w:rsidR="00755F02" w:rsidRPr="00255317">
        <w:rPr>
          <w:rFonts w:ascii="Times New Roman" w:hAnsi="Times New Roman"/>
          <w:color w:val="000000"/>
          <w:sz w:val="24"/>
        </w:rPr>
        <w:t xml:space="preserve">BARROS </w:t>
      </w:r>
      <w:r w:rsidR="00755F02" w:rsidRPr="005237B9">
        <w:rPr>
          <w:rFonts w:ascii="Times New Roman" w:hAnsi="Times New Roman"/>
          <w:i/>
          <w:color w:val="000000"/>
          <w:sz w:val="24"/>
        </w:rPr>
        <w:t>et al</w:t>
      </w:r>
      <w:r w:rsidR="005237B9">
        <w:rPr>
          <w:rFonts w:ascii="Times New Roman" w:hAnsi="Times New Roman"/>
          <w:color w:val="000000"/>
          <w:sz w:val="24"/>
        </w:rPr>
        <w:t>. 2006;</w:t>
      </w:r>
      <w:r w:rsidR="00755F02" w:rsidRPr="00255317">
        <w:rPr>
          <w:rFonts w:ascii="Times New Roman" w:hAnsi="Times New Roman"/>
          <w:color w:val="000000"/>
          <w:sz w:val="24"/>
        </w:rPr>
        <w:t xml:space="preserve">. FERREIRA et al. </w:t>
      </w:r>
      <w:r w:rsidR="005237B9">
        <w:rPr>
          <w:rFonts w:ascii="Times New Roman" w:hAnsi="Times New Roman"/>
          <w:color w:val="000000"/>
          <w:sz w:val="24"/>
        </w:rPr>
        <w:t xml:space="preserve">2006; HOFFMANN, 2006; SOARES </w:t>
      </w:r>
      <w:r w:rsidR="00755F02" w:rsidRPr="00755F02">
        <w:rPr>
          <w:rFonts w:ascii="Times New Roman" w:hAnsi="Times New Roman"/>
          <w:color w:val="000000"/>
          <w:sz w:val="24"/>
        </w:rPr>
        <w:t>2006a. 2006b)</w:t>
      </w:r>
      <w:r w:rsidR="00755F02">
        <w:rPr>
          <w:rFonts w:ascii="Times New Roman" w:hAnsi="Times New Roman"/>
          <w:color w:val="000000"/>
          <w:sz w:val="24"/>
        </w:rPr>
        <w:t xml:space="preserve">, ao menos desde 2001, o Brasil tem apresentado uma performance bastante auspiciosa, para seus padrões, no que diz respeito à redução da desigualdade de renda entre sua população. </w:t>
      </w:r>
      <w:r w:rsidR="005C59E9">
        <w:rPr>
          <w:rFonts w:ascii="Times New Roman" w:hAnsi="Times New Roman"/>
          <w:color w:val="000000"/>
          <w:sz w:val="24"/>
        </w:rPr>
        <w:t xml:space="preserve">Mais </w:t>
      </w:r>
      <w:r w:rsidR="00755F02">
        <w:rPr>
          <w:rFonts w:ascii="Times New Roman" w:hAnsi="Times New Roman"/>
          <w:color w:val="000000"/>
          <w:sz w:val="24"/>
        </w:rPr>
        <w:t>recentemente</w:t>
      </w:r>
      <w:r w:rsidR="005C59E9">
        <w:rPr>
          <w:rFonts w:ascii="Times New Roman" w:hAnsi="Times New Roman"/>
          <w:color w:val="000000"/>
          <w:sz w:val="24"/>
        </w:rPr>
        <w:t>, Silveira Neto e Azzoni (2010) mostraram que</w:t>
      </w:r>
      <w:r w:rsidR="00755F02">
        <w:rPr>
          <w:rFonts w:ascii="Times New Roman" w:hAnsi="Times New Roman"/>
          <w:color w:val="000000"/>
          <w:sz w:val="24"/>
        </w:rPr>
        <w:t xml:space="preserve"> tal trajetória vem acompanha de </w:t>
      </w:r>
      <w:r w:rsidR="005C59E9">
        <w:rPr>
          <w:rFonts w:ascii="Times New Roman" w:hAnsi="Times New Roman"/>
          <w:color w:val="000000"/>
          <w:sz w:val="24"/>
        </w:rPr>
        <w:t xml:space="preserve">uma </w:t>
      </w:r>
      <w:r w:rsidR="00755F02">
        <w:rPr>
          <w:rFonts w:ascii="Times New Roman" w:hAnsi="Times New Roman"/>
          <w:color w:val="000000"/>
          <w:sz w:val="24"/>
        </w:rPr>
        <w:t>não menos auspiciosa diminuição da desigualdade regional de renda entre as unidades federativas do país. Tal redução, é possível argumentar</w:t>
      </w:r>
      <w:r w:rsidR="005C59E9">
        <w:rPr>
          <w:rFonts w:ascii="Times New Roman" w:hAnsi="Times New Roman"/>
          <w:color w:val="000000"/>
          <w:sz w:val="24"/>
        </w:rPr>
        <w:t xml:space="preserve"> de imediato</w:t>
      </w:r>
      <w:r w:rsidR="00755F02">
        <w:rPr>
          <w:rFonts w:ascii="Times New Roman" w:hAnsi="Times New Roman"/>
          <w:color w:val="000000"/>
          <w:sz w:val="24"/>
        </w:rPr>
        <w:t>, pode refletir não mais que a trajetória de convergência da pr</w:t>
      </w:r>
      <w:r w:rsidR="005C59E9">
        <w:rPr>
          <w:rFonts w:ascii="Times New Roman" w:hAnsi="Times New Roman"/>
          <w:color w:val="000000"/>
          <w:sz w:val="24"/>
        </w:rPr>
        <w:t>odutividade do trabalho esperada</w:t>
      </w:r>
      <w:r w:rsidR="00755F02">
        <w:rPr>
          <w:rFonts w:ascii="Times New Roman" w:hAnsi="Times New Roman"/>
          <w:color w:val="000000"/>
          <w:sz w:val="24"/>
        </w:rPr>
        <w:t>, de resto, a partir do Modelo Neoclássico de Crescimento.</w:t>
      </w:r>
    </w:p>
    <w:p w:rsidR="00755F02" w:rsidRDefault="00755F02" w:rsidP="00621C12">
      <w:pPr>
        <w:spacing w:after="0" w:line="240" w:lineRule="auto"/>
        <w:jc w:val="both"/>
        <w:rPr>
          <w:rFonts w:ascii="Times New Roman" w:hAnsi="Times New Roman"/>
          <w:color w:val="000000"/>
          <w:sz w:val="24"/>
        </w:rPr>
      </w:pPr>
      <w:r>
        <w:rPr>
          <w:rFonts w:ascii="Times New Roman" w:hAnsi="Times New Roman"/>
          <w:color w:val="000000"/>
          <w:sz w:val="24"/>
        </w:rPr>
        <w:tab/>
      </w:r>
      <w:r w:rsidR="005237B9">
        <w:rPr>
          <w:rFonts w:ascii="Times New Roman" w:hAnsi="Times New Roman"/>
          <w:color w:val="000000"/>
          <w:sz w:val="24"/>
        </w:rPr>
        <w:t>Existem boas razões, contudo, para que tal argumento seja insuficiente para capturar a natureza da redução da desigualdade regional de renda recente no Brasil.</w:t>
      </w:r>
      <w:r w:rsidR="00E50D70">
        <w:rPr>
          <w:rFonts w:ascii="Times New Roman" w:hAnsi="Times New Roman"/>
          <w:color w:val="000000"/>
          <w:sz w:val="24"/>
        </w:rPr>
        <w:t xml:space="preserve"> Primeiro, as políticas sociais de transferências de renda levado a efeito pelo governo federal (ex. Programa Bolsa Família, Programa de Benefício de Prestação Continuada) apresentam imediatas repercussões espaciais ou regionais.</w:t>
      </w:r>
      <w:r w:rsidR="005C59E9">
        <w:rPr>
          <w:rFonts w:ascii="Times New Roman" w:hAnsi="Times New Roman"/>
          <w:color w:val="000000"/>
          <w:sz w:val="24"/>
        </w:rPr>
        <w:t xml:space="preserve"> </w:t>
      </w:r>
      <w:r w:rsidR="00E50D70">
        <w:rPr>
          <w:rFonts w:ascii="Times New Roman" w:hAnsi="Times New Roman"/>
          <w:color w:val="000000"/>
          <w:sz w:val="24"/>
        </w:rPr>
        <w:t>Segundo, ainda que não se possa garantir sua efetividade generalizada, como mostraram Manoel, Resende e Silveira Neto (2009) em sua análise das aplicações dos Fundos Constitucionais de Desenvolvimento (FNE, FNO e FCO), as políticas de crédito  direcionados a setores específicos (principalmente industrial) parecem ter algum poder de fomentar o desenvolvimento setorial nos estados mais pobres do país. Terceiro, como se mostra adiante, seja em resposta a incentivos, seja em função da elevação do</w:t>
      </w:r>
      <w:r w:rsidR="005C59E9">
        <w:rPr>
          <w:rFonts w:ascii="Times New Roman" w:hAnsi="Times New Roman"/>
          <w:color w:val="000000"/>
          <w:sz w:val="24"/>
        </w:rPr>
        <w:t>s</w:t>
      </w:r>
      <w:r w:rsidR="00E50D70">
        <w:rPr>
          <w:rFonts w:ascii="Times New Roman" w:hAnsi="Times New Roman"/>
          <w:color w:val="000000"/>
          <w:sz w:val="24"/>
        </w:rPr>
        <w:t xml:space="preserve"> mercados as periferias, ou em razão do aproveitamento das vantagens comparativas em contexto de maior competição, o período recente caracteriza-se por apresentar tendência de desconcentração da atividade industrial, implicando melhora no perfil da demanda por trabalho nas unidades federativas mais pobres.</w:t>
      </w:r>
    </w:p>
    <w:p w:rsidR="00F2728C" w:rsidRDefault="00E50D70" w:rsidP="00621C12">
      <w:pPr>
        <w:spacing w:after="0" w:line="240" w:lineRule="auto"/>
        <w:jc w:val="both"/>
        <w:rPr>
          <w:rFonts w:ascii="Times New Roman" w:hAnsi="Times New Roman"/>
          <w:color w:val="000000"/>
          <w:sz w:val="24"/>
        </w:rPr>
      </w:pPr>
      <w:r>
        <w:rPr>
          <w:rFonts w:ascii="Times New Roman" w:hAnsi="Times New Roman"/>
          <w:color w:val="000000"/>
          <w:sz w:val="24"/>
        </w:rPr>
        <w:tab/>
        <w:t>Em verdade,</w:t>
      </w:r>
      <w:r w:rsidR="00FF7F67">
        <w:rPr>
          <w:rFonts w:ascii="Times New Roman" w:hAnsi="Times New Roman"/>
          <w:color w:val="000000"/>
          <w:sz w:val="24"/>
        </w:rPr>
        <w:t xml:space="preserve"> a partir de uma </w:t>
      </w:r>
      <w:r w:rsidR="00454441">
        <w:rPr>
          <w:rFonts w:ascii="Times New Roman" w:hAnsi="Times New Roman"/>
          <w:color w:val="000000"/>
          <w:sz w:val="24"/>
        </w:rPr>
        <w:t xml:space="preserve">estratégia de </w:t>
      </w:r>
      <w:r w:rsidR="00FF7F67">
        <w:rPr>
          <w:rFonts w:ascii="Times New Roman" w:hAnsi="Times New Roman"/>
          <w:color w:val="000000"/>
          <w:sz w:val="24"/>
        </w:rPr>
        <w:t xml:space="preserve">decomposição do índice de Gini para a desigualdade regional de renda </w:t>
      </w:r>
      <w:r w:rsidR="00FF7F67">
        <w:rPr>
          <w:rFonts w:ascii="Times New Roman" w:hAnsi="Times New Roman"/>
          <w:i/>
          <w:color w:val="000000"/>
          <w:sz w:val="24"/>
        </w:rPr>
        <w:t>per capita</w:t>
      </w:r>
      <w:r w:rsidR="00FF7F67">
        <w:rPr>
          <w:rFonts w:ascii="Times New Roman" w:hAnsi="Times New Roman"/>
          <w:color w:val="000000"/>
          <w:sz w:val="24"/>
        </w:rPr>
        <w:t xml:space="preserve">, </w:t>
      </w:r>
      <w:r>
        <w:rPr>
          <w:rFonts w:ascii="Times New Roman" w:hAnsi="Times New Roman"/>
          <w:color w:val="000000"/>
          <w:sz w:val="24"/>
        </w:rPr>
        <w:t>Silveira Neto e Azzoni (2010) já haviam</w:t>
      </w:r>
      <w:r w:rsidR="00FF7F67">
        <w:rPr>
          <w:rFonts w:ascii="Times New Roman" w:hAnsi="Times New Roman"/>
          <w:color w:val="000000"/>
          <w:sz w:val="24"/>
        </w:rPr>
        <w:t xml:space="preserve"> mostrado o importante papel das políticas sociais de transferências de renda na redução da desigualdade  a partir de 1995. </w:t>
      </w:r>
      <w:r w:rsidR="00454441">
        <w:rPr>
          <w:rFonts w:ascii="Times New Roman" w:hAnsi="Times New Roman"/>
          <w:color w:val="000000"/>
          <w:sz w:val="24"/>
        </w:rPr>
        <w:t xml:space="preserve">O presente trabalho estende o esforço destes pesquisadores no sentido da mensuração das fontes da redução da desigualdade regional entre 1995 e 2006 em três direções. Primeiro, considera não apenas a importância do Programa Bolsa Família (BF), mas também aquela do Programa de Benefício de Prestação Continuada (BPC) na redução da desigualdade regional de renda </w:t>
      </w:r>
      <w:r w:rsidR="00454441">
        <w:rPr>
          <w:rFonts w:ascii="Times New Roman" w:hAnsi="Times New Roman"/>
          <w:i/>
          <w:color w:val="000000"/>
          <w:sz w:val="24"/>
        </w:rPr>
        <w:t xml:space="preserve">per capita </w:t>
      </w:r>
      <w:r w:rsidR="00454441">
        <w:rPr>
          <w:rFonts w:ascii="Times New Roman" w:hAnsi="Times New Roman"/>
          <w:color w:val="000000"/>
          <w:sz w:val="24"/>
        </w:rPr>
        <w:t>no Brasil</w:t>
      </w:r>
      <w:r w:rsidR="00BA3242">
        <w:rPr>
          <w:rFonts w:ascii="Times New Roman" w:hAnsi="Times New Roman"/>
          <w:color w:val="000000"/>
          <w:sz w:val="24"/>
        </w:rPr>
        <w:t xml:space="preserve"> </w:t>
      </w:r>
      <w:r w:rsidR="00454441">
        <w:rPr>
          <w:rFonts w:ascii="Times New Roman" w:hAnsi="Times New Roman"/>
          <w:color w:val="000000"/>
          <w:sz w:val="24"/>
        </w:rPr>
        <w:t>no referido período. Segundo, ao separar a renda do trabalho de acordo com os setores econômicos (agricultura, indústria, serviços e administração pública)</w:t>
      </w:r>
      <w:r w:rsidR="005C59E9">
        <w:rPr>
          <w:rFonts w:ascii="Times New Roman" w:hAnsi="Times New Roman"/>
          <w:color w:val="000000"/>
          <w:sz w:val="24"/>
        </w:rPr>
        <w:t>, o trabalho permite apontar, através da renda do trabalho, o papel da recente desconcentração industrial na redução das disparidades regionais de renda</w:t>
      </w:r>
      <w:r w:rsidR="00BA3242">
        <w:rPr>
          <w:rFonts w:ascii="Times New Roman" w:hAnsi="Times New Roman"/>
          <w:color w:val="000000"/>
          <w:sz w:val="24"/>
        </w:rPr>
        <w:t xml:space="preserve"> (</w:t>
      </w:r>
      <w:r w:rsidR="005C59E9">
        <w:rPr>
          <w:rFonts w:ascii="Times New Roman" w:hAnsi="Times New Roman"/>
          <w:color w:val="000000"/>
          <w:sz w:val="24"/>
        </w:rPr>
        <w:t>bem como a dos demais grandes setores</w:t>
      </w:r>
      <w:r w:rsidR="00BA3242">
        <w:rPr>
          <w:rFonts w:ascii="Times New Roman" w:hAnsi="Times New Roman"/>
          <w:color w:val="000000"/>
          <w:sz w:val="24"/>
        </w:rPr>
        <w:t>)</w:t>
      </w:r>
      <w:r w:rsidR="005C59E9">
        <w:rPr>
          <w:rFonts w:ascii="Times New Roman" w:hAnsi="Times New Roman"/>
          <w:color w:val="000000"/>
          <w:sz w:val="24"/>
        </w:rPr>
        <w:t>.</w:t>
      </w:r>
      <w:r w:rsidR="00BA3242">
        <w:rPr>
          <w:rFonts w:ascii="Times New Roman" w:hAnsi="Times New Roman"/>
          <w:color w:val="000000"/>
          <w:sz w:val="24"/>
        </w:rPr>
        <w:t xml:space="preserve"> </w:t>
      </w:r>
      <w:r w:rsidR="005C59E9">
        <w:rPr>
          <w:rFonts w:ascii="Times New Roman" w:hAnsi="Times New Roman"/>
          <w:color w:val="000000"/>
          <w:sz w:val="24"/>
        </w:rPr>
        <w:t>Finalmente, ao aplicar uma decomposição alterna</w:t>
      </w:r>
      <w:r w:rsidR="004F1844">
        <w:rPr>
          <w:rFonts w:ascii="Times New Roman" w:hAnsi="Times New Roman"/>
          <w:color w:val="000000"/>
          <w:sz w:val="24"/>
        </w:rPr>
        <w:t>tiva do índice de Gini, devida a</w:t>
      </w:r>
      <w:r w:rsidR="005C59E9">
        <w:rPr>
          <w:rFonts w:ascii="Times New Roman" w:hAnsi="Times New Roman"/>
          <w:color w:val="000000"/>
          <w:sz w:val="24"/>
        </w:rPr>
        <w:t xml:space="preserve"> Leman e Yithzaki (1985), a presente investigação fornece medidas (elasticidades) da reação da desigualdade regional de renda </w:t>
      </w:r>
      <w:r w:rsidR="005C59E9">
        <w:rPr>
          <w:rFonts w:ascii="Times New Roman" w:hAnsi="Times New Roman"/>
          <w:i/>
          <w:color w:val="000000"/>
          <w:sz w:val="24"/>
        </w:rPr>
        <w:t>per capita</w:t>
      </w:r>
      <w:r w:rsidR="005C59E9">
        <w:rPr>
          <w:rFonts w:ascii="Times New Roman" w:hAnsi="Times New Roman"/>
          <w:color w:val="000000"/>
          <w:sz w:val="24"/>
        </w:rPr>
        <w:t xml:space="preserve"> com respeito a variações nos diferentes componentes de renda, uma informação bastante valiosa para a constituição e avaliação de políticas alternativas de combate às disparidades regionais.</w:t>
      </w:r>
    </w:p>
    <w:p w:rsidR="00F2728C" w:rsidRDefault="005C59E9" w:rsidP="00621C12">
      <w:pPr>
        <w:spacing w:after="0" w:line="240" w:lineRule="auto"/>
        <w:jc w:val="both"/>
        <w:rPr>
          <w:rFonts w:ascii="Times New Roman" w:hAnsi="Times New Roman"/>
          <w:color w:val="000000"/>
          <w:sz w:val="24"/>
        </w:rPr>
      </w:pPr>
      <w:r>
        <w:rPr>
          <w:rFonts w:ascii="Times New Roman" w:hAnsi="Times New Roman"/>
          <w:color w:val="000000"/>
          <w:sz w:val="24"/>
        </w:rPr>
        <w:tab/>
        <w:t xml:space="preserve">Além desta introdução, o trabalho apresenta mais quatro seções. Na próxima, descreve a decomposição da renda </w:t>
      </w:r>
      <w:r>
        <w:rPr>
          <w:rFonts w:ascii="Times New Roman" w:hAnsi="Times New Roman"/>
          <w:i/>
          <w:color w:val="000000"/>
          <w:sz w:val="24"/>
        </w:rPr>
        <w:t>per capita</w:t>
      </w:r>
      <w:r>
        <w:rPr>
          <w:rFonts w:ascii="Times New Roman" w:hAnsi="Times New Roman"/>
          <w:color w:val="000000"/>
          <w:sz w:val="24"/>
        </w:rPr>
        <w:t xml:space="preserve"> das unidades </w:t>
      </w:r>
      <w:r w:rsidR="00E51E29">
        <w:rPr>
          <w:rFonts w:ascii="Times New Roman" w:hAnsi="Times New Roman"/>
          <w:color w:val="000000"/>
          <w:sz w:val="24"/>
        </w:rPr>
        <w:t xml:space="preserve">federativas </w:t>
      </w:r>
      <w:r>
        <w:rPr>
          <w:rFonts w:ascii="Times New Roman" w:hAnsi="Times New Roman"/>
          <w:color w:val="000000"/>
          <w:sz w:val="24"/>
        </w:rPr>
        <w:t xml:space="preserve">através das diferentes fontes de renda consideradas neste trabalho, além </w:t>
      </w:r>
      <w:r w:rsidR="002D4CA2">
        <w:rPr>
          <w:rFonts w:ascii="Times New Roman" w:hAnsi="Times New Roman"/>
          <w:color w:val="000000"/>
          <w:sz w:val="24"/>
        </w:rPr>
        <w:t>apontar as importantes dimensões espaciais dos programas de transferências de renda e caracterizar a desconcentração industrial verificada no Brasil entre 1995 e 2006. Na seção três são apresentados os resultados do trabalho com respeito à importância de cada fonte de renda para explicar a redução da desigualdade regional de renda observada no país. Na quarta seção, são fornecidas estimativas das elasticidades da desigualdade, medida pelo índice de Gini, em relação à cada fonte de renda considerada. Na quinta seção são apresentadas conclusões e implicações de política do trabalho.</w:t>
      </w:r>
    </w:p>
    <w:p w:rsidR="002D4CA2" w:rsidRPr="00755F02" w:rsidRDefault="002D4CA2" w:rsidP="002D4CA2">
      <w:pPr>
        <w:spacing w:after="0" w:line="360" w:lineRule="auto"/>
        <w:jc w:val="both"/>
        <w:rPr>
          <w:rFonts w:ascii="Times New Roman" w:hAnsi="Times New Roman"/>
          <w:sz w:val="24"/>
          <w:szCs w:val="24"/>
        </w:rPr>
      </w:pPr>
    </w:p>
    <w:p w:rsidR="00F2728C" w:rsidRDefault="00F2728C" w:rsidP="00F2728C">
      <w:pPr>
        <w:jc w:val="both"/>
        <w:rPr>
          <w:rFonts w:ascii="Times New Roman" w:hAnsi="Times New Roman"/>
          <w:b/>
          <w:sz w:val="24"/>
          <w:szCs w:val="24"/>
        </w:rPr>
      </w:pPr>
      <w:r>
        <w:rPr>
          <w:rFonts w:ascii="Times New Roman" w:hAnsi="Times New Roman"/>
          <w:b/>
          <w:sz w:val="24"/>
          <w:szCs w:val="24"/>
        </w:rPr>
        <w:lastRenderedPageBreak/>
        <w:t xml:space="preserve">2. </w:t>
      </w:r>
      <w:r w:rsidR="006E6206">
        <w:rPr>
          <w:rFonts w:ascii="Times New Roman" w:hAnsi="Times New Roman"/>
          <w:b/>
          <w:sz w:val="24"/>
          <w:szCs w:val="24"/>
        </w:rPr>
        <w:t xml:space="preserve">Fontes de renda, </w:t>
      </w:r>
      <w:r>
        <w:rPr>
          <w:rFonts w:ascii="Times New Roman" w:hAnsi="Times New Roman"/>
          <w:b/>
          <w:sz w:val="24"/>
          <w:szCs w:val="24"/>
        </w:rPr>
        <w:t>dimensão espacial das políticas sociais e a recente desconcentração da atividade industrial</w:t>
      </w:r>
    </w:p>
    <w:p w:rsidR="006E6206" w:rsidRPr="006E6206" w:rsidRDefault="006E6206" w:rsidP="00367591">
      <w:pPr>
        <w:spacing w:after="0" w:line="360" w:lineRule="auto"/>
        <w:jc w:val="both"/>
        <w:rPr>
          <w:rFonts w:ascii="Times New Roman" w:hAnsi="Times New Roman"/>
          <w:b/>
          <w:sz w:val="24"/>
          <w:szCs w:val="24"/>
        </w:rPr>
      </w:pPr>
      <w:r w:rsidRPr="006E6206">
        <w:rPr>
          <w:rFonts w:ascii="Times New Roman" w:hAnsi="Times New Roman"/>
          <w:b/>
          <w:sz w:val="24"/>
          <w:szCs w:val="24"/>
        </w:rPr>
        <w:t xml:space="preserve">2.1 </w:t>
      </w:r>
      <w:r>
        <w:rPr>
          <w:rFonts w:ascii="Times New Roman" w:hAnsi="Times New Roman"/>
          <w:b/>
          <w:sz w:val="24"/>
          <w:szCs w:val="24"/>
        </w:rPr>
        <w:t>Fontes de renda</w:t>
      </w:r>
    </w:p>
    <w:p w:rsidR="00367591" w:rsidRDefault="00367591" w:rsidP="00621C12">
      <w:pPr>
        <w:spacing w:after="0" w:line="240" w:lineRule="auto"/>
        <w:ind w:firstLine="720"/>
        <w:jc w:val="both"/>
        <w:rPr>
          <w:rFonts w:ascii="Times New Roman" w:hAnsi="Times New Roman"/>
          <w:sz w:val="24"/>
          <w:szCs w:val="24"/>
        </w:rPr>
      </w:pPr>
      <w:r>
        <w:rPr>
          <w:rFonts w:ascii="Times New Roman" w:hAnsi="Times New Roman"/>
          <w:sz w:val="24"/>
          <w:szCs w:val="24"/>
        </w:rPr>
        <w:t xml:space="preserve">Nesta seção, ainda que rapidamente, são apresentadas evidências a respeito do destino espacialmente diferenciado dos recursos de duas importantes políticas sociais recentes implementadas pelo governo federal, </w:t>
      </w:r>
      <w:r w:rsidR="0096454F">
        <w:rPr>
          <w:rFonts w:ascii="Times New Roman" w:hAnsi="Times New Roman"/>
          <w:sz w:val="24"/>
          <w:szCs w:val="24"/>
        </w:rPr>
        <w:t>o</w:t>
      </w:r>
      <w:r>
        <w:rPr>
          <w:rFonts w:ascii="Times New Roman" w:hAnsi="Times New Roman"/>
          <w:sz w:val="24"/>
          <w:szCs w:val="24"/>
        </w:rPr>
        <w:t xml:space="preserve"> Programa Bolsa Família (BF) e </w:t>
      </w:r>
      <w:r w:rsidR="0096454F">
        <w:rPr>
          <w:rFonts w:ascii="Times New Roman" w:hAnsi="Times New Roman"/>
          <w:sz w:val="24"/>
          <w:szCs w:val="24"/>
        </w:rPr>
        <w:t>o</w:t>
      </w:r>
      <w:r>
        <w:rPr>
          <w:rFonts w:ascii="Times New Roman" w:hAnsi="Times New Roman"/>
          <w:sz w:val="24"/>
          <w:szCs w:val="24"/>
        </w:rPr>
        <w:t xml:space="preserve"> Benefíci</w:t>
      </w:r>
      <w:r w:rsidR="0096454F">
        <w:rPr>
          <w:rFonts w:ascii="Times New Roman" w:hAnsi="Times New Roman"/>
          <w:sz w:val="24"/>
          <w:szCs w:val="24"/>
        </w:rPr>
        <w:t>o de Prestação Con</w:t>
      </w:r>
      <w:r w:rsidR="00E51E29">
        <w:rPr>
          <w:rFonts w:ascii="Times New Roman" w:hAnsi="Times New Roman"/>
          <w:sz w:val="24"/>
          <w:szCs w:val="24"/>
        </w:rPr>
        <w:t>tinuada (BPC). Adicionalmente, caracteriza-se</w:t>
      </w:r>
      <w:r w:rsidR="0096454F">
        <w:rPr>
          <w:rFonts w:ascii="Times New Roman" w:hAnsi="Times New Roman"/>
          <w:sz w:val="24"/>
          <w:szCs w:val="24"/>
        </w:rPr>
        <w:t xml:space="preserve"> o</w:t>
      </w:r>
      <w:r>
        <w:rPr>
          <w:rFonts w:ascii="Times New Roman" w:hAnsi="Times New Roman"/>
          <w:sz w:val="24"/>
          <w:szCs w:val="24"/>
        </w:rPr>
        <w:t xml:space="preserve"> processo da desconcentração do emprego e da renda do trabalho industrial verificada entre 1995 e 2006, período foco da análise deste trabalho. Como se </w:t>
      </w:r>
      <w:r w:rsidR="0096454F">
        <w:rPr>
          <w:rFonts w:ascii="Times New Roman" w:hAnsi="Times New Roman"/>
          <w:sz w:val="24"/>
          <w:szCs w:val="24"/>
        </w:rPr>
        <w:t>apresenta</w:t>
      </w:r>
      <w:r w:rsidR="00677E3F">
        <w:rPr>
          <w:rFonts w:ascii="Times New Roman" w:hAnsi="Times New Roman"/>
          <w:sz w:val="24"/>
          <w:szCs w:val="24"/>
        </w:rPr>
        <w:t xml:space="preserve"> em seguida, </w:t>
      </w:r>
      <w:r>
        <w:rPr>
          <w:rFonts w:ascii="Times New Roman" w:hAnsi="Times New Roman"/>
          <w:sz w:val="24"/>
          <w:szCs w:val="24"/>
        </w:rPr>
        <w:t xml:space="preserve">a despeito de representarem políticas originalmente não-espaciais, uma vez que o foco é o indivíduo ou sua família, as referidas políticas sociais apresentam </w:t>
      </w:r>
      <w:r w:rsidR="00677E3F">
        <w:rPr>
          <w:rFonts w:ascii="Times New Roman" w:hAnsi="Times New Roman"/>
          <w:sz w:val="24"/>
          <w:szCs w:val="24"/>
        </w:rPr>
        <w:t>evidentes impactos regionais ou espaciais diferenciados, beneficiando relativamente mais os estados mais pobres da federação. Tais impactos ocorrem</w:t>
      </w:r>
      <w:r w:rsidR="00A01A77">
        <w:rPr>
          <w:rFonts w:ascii="Times New Roman" w:hAnsi="Times New Roman"/>
          <w:sz w:val="24"/>
          <w:szCs w:val="24"/>
        </w:rPr>
        <w:t>, além disto,</w:t>
      </w:r>
      <w:r w:rsidR="00677E3F">
        <w:rPr>
          <w:rFonts w:ascii="Times New Roman" w:hAnsi="Times New Roman"/>
          <w:sz w:val="24"/>
          <w:szCs w:val="24"/>
        </w:rPr>
        <w:t xml:space="preserve"> em um contexto de desconcentração espacial do emprego e da renda do trabalho do setor industrial, movimento que, em virtude do perfil do emprego deste segmento, também </w:t>
      </w:r>
      <w:r w:rsidR="00A01A77">
        <w:rPr>
          <w:rFonts w:ascii="Times New Roman" w:hAnsi="Times New Roman"/>
          <w:sz w:val="24"/>
          <w:szCs w:val="24"/>
        </w:rPr>
        <w:t>concorre para</w:t>
      </w:r>
      <w:r w:rsidR="00677E3F">
        <w:rPr>
          <w:rFonts w:ascii="Times New Roman" w:hAnsi="Times New Roman"/>
          <w:sz w:val="24"/>
          <w:szCs w:val="24"/>
        </w:rPr>
        <w:t xml:space="preserve"> a diminuição da desigualdade regional de renda no Brasil no período recente.</w:t>
      </w:r>
    </w:p>
    <w:p w:rsidR="00155994" w:rsidRDefault="00367591" w:rsidP="00621C12">
      <w:pPr>
        <w:spacing w:after="0" w:line="240" w:lineRule="auto"/>
        <w:jc w:val="both"/>
        <w:rPr>
          <w:rFonts w:ascii="Times New Roman" w:hAnsi="Times New Roman"/>
          <w:sz w:val="24"/>
          <w:szCs w:val="24"/>
        </w:rPr>
      </w:pPr>
      <w:r>
        <w:rPr>
          <w:rFonts w:ascii="Times New Roman" w:hAnsi="Times New Roman"/>
          <w:sz w:val="24"/>
          <w:szCs w:val="24"/>
        </w:rPr>
        <w:tab/>
        <w:t>No sentido</w:t>
      </w:r>
      <w:r w:rsidR="00A01A77">
        <w:rPr>
          <w:rFonts w:ascii="Times New Roman" w:hAnsi="Times New Roman"/>
          <w:sz w:val="24"/>
          <w:szCs w:val="24"/>
        </w:rPr>
        <w:t xml:space="preserve"> de contextualizar as evidências</w:t>
      </w:r>
      <w:r w:rsidR="00677E3F">
        <w:rPr>
          <w:rFonts w:ascii="Times New Roman" w:hAnsi="Times New Roman"/>
          <w:sz w:val="24"/>
          <w:szCs w:val="24"/>
        </w:rPr>
        <w:t xml:space="preserve"> apresentadas nesta </w:t>
      </w:r>
      <w:r w:rsidR="0049646A">
        <w:rPr>
          <w:rFonts w:ascii="Times New Roman" w:hAnsi="Times New Roman"/>
          <w:sz w:val="24"/>
          <w:szCs w:val="24"/>
        </w:rPr>
        <w:t xml:space="preserve">seção </w:t>
      </w:r>
      <w:r w:rsidR="00677E3F">
        <w:rPr>
          <w:rFonts w:ascii="Times New Roman" w:hAnsi="Times New Roman"/>
          <w:sz w:val="24"/>
          <w:szCs w:val="24"/>
        </w:rPr>
        <w:t xml:space="preserve">a partir da perspectiva da decomposição da desigualdade regional de renda </w:t>
      </w:r>
      <w:r w:rsidR="00677E3F">
        <w:rPr>
          <w:rFonts w:ascii="Times New Roman" w:hAnsi="Times New Roman"/>
          <w:i/>
          <w:sz w:val="24"/>
          <w:szCs w:val="24"/>
        </w:rPr>
        <w:t>per capita</w:t>
      </w:r>
      <w:r w:rsidR="00677E3F">
        <w:rPr>
          <w:rFonts w:ascii="Times New Roman" w:hAnsi="Times New Roman"/>
          <w:sz w:val="24"/>
          <w:szCs w:val="24"/>
        </w:rPr>
        <w:t xml:space="preserve"> </w:t>
      </w:r>
      <w:r w:rsidR="00D04A54">
        <w:rPr>
          <w:rFonts w:ascii="Times New Roman" w:hAnsi="Times New Roman"/>
          <w:sz w:val="24"/>
          <w:szCs w:val="24"/>
        </w:rPr>
        <w:t>por fontes de renda apresentada</w:t>
      </w:r>
      <w:r w:rsidR="00677E3F">
        <w:rPr>
          <w:rFonts w:ascii="Times New Roman" w:hAnsi="Times New Roman"/>
          <w:sz w:val="24"/>
          <w:szCs w:val="24"/>
        </w:rPr>
        <w:t xml:space="preserve"> nas próximas seções, explicita-se aqui a decomposição da renda </w:t>
      </w:r>
      <w:r w:rsidR="00677E3F">
        <w:rPr>
          <w:rFonts w:ascii="Times New Roman" w:hAnsi="Times New Roman"/>
          <w:i/>
          <w:sz w:val="24"/>
          <w:szCs w:val="24"/>
        </w:rPr>
        <w:t xml:space="preserve">per capita </w:t>
      </w:r>
      <w:r w:rsidR="00677E3F">
        <w:rPr>
          <w:rFonts w:ascii="Times New Roman" w:hAnsi="Times New Roman"/>
          <w:sz w:val="24"/>
          <w:szCs w:val="24"/>
        </w:rPr>
        <w:t>dos estados brasileiros a partir das fontes consideradas na pesquisa</w:t>
      </w:r>
      <w:r w:rsidR="00A01A77">
        <w:rPr>
          <w:rFonts w:ascii="Times New Roman" w:hAnsi="Times New Roman"/>
          <w:sz w:val="24"/>
          <w:szCs w:val="24"/>
        </w:rPr>
        <w:t xml:space="preserve">, </w:t>
      </w:r>
      <w:r w:rsidR="00D04A54">
        <w:rPr>
          <w:rFonts w:ascii="Times New Roman" w:hAnsi="Times New Roman"/>
          <w:sz w:val="24"/>
          <w:szCs w:val="24"/>
        </w:rPr>
        <w:t>bem como</w:t>
      </w:r>
      <w:r w:rsidR="00A01A77">
        <w:rPr>
          <w:rFonts w:ascii="Times New Roman" w:hAnsi="Times New Roman"/>
          <w:sz w:val="24"/>
          <w:szCs w:val="24"/>
        </w:rPr>
        <w:t xml:space="preserve"> </w:t>
      </w:r>
      <w:r w:rsidR="0049646A">
        <w:rPr>
          <w:rFonts w:ascii="Times New Roman" w:hAnsi="Times New Roman"/>
          <w:sz w:val="24"/>
          <w:szCs w:val="24"/>
        </w:rPr>
        <w:t>suas motivações</w:t>
      </w:r>
      <w:r w:rsidR="00677E3F">
        <w:rPr>
          <w:rFonts w:ascii="Times New Roman" w:hAnsi="Times New Roman"/>
          <w:sz w:val="24"/>
          <w:szCs w:val="24"/>
        </w:rPr>
        <w:t xml:space="preserve">. </w:t>
      </w:r>
      <w:r w:rsidR="00155994">
        <w:rPr>
          <w:rFonts w:ascii="Times New Roman" w:hAnsi="Times New Roman"/>
          <w:sz w:val="24"/>
          <w:szCs w:val="24"/>
        </w:rPr>
        <w:t>O objetivo de tal decomposição, reafirme-se, é explorar as influências das mudanças das estruturas produtivas públicas dos estados e o impacto dos programas sociais federais de transferências de renda sobre a evolução da desigualdade regional entre 1995 e 2006.</w:t>
      </w:r>
    </w:p>
    <w:p w:rsidR="00367591" w:rsidRDefault="00D04A54" w:rsidP="00621C12">
      <w:pPr>
        <w:spacing w:after="0" w:line="240" w:lineRule="auto"/>
        <w:ind w:firstLine="720"/>
        <w:jc w:val="both"/>
        <w:rPr>
          <w:rFonts w:ascii="Times New Roman" w:hAnsi="Times New Roman"/>
          <w:sz w:val="24"/>
          <w:szCs w:val="24"/>
        </w:rPr>
      </w:pPr>
      <w:r>
        <w:rPr>
          <w:rFonts w:ascii="Times New Roman" w:hAnsi="Times New Roman"/>
          <w:sz w:val="24"/>
          <w:szCs w:val="24"/>
        </w:rPr>
        <w:t>Dentro desta perspectiva</w:t>
      </w:r>
      <w:r w:rsidR="00A01A77">
        <w:rPr>
          <w:rFonts w:ascii="Times New Roman" w:hAnsi="Times New Roman"/>
          <w:sz w:val="24"/>
          <w:szCs w:val="24"/>
        </w:rPr>
        <w:t>,</w:t>
      </w:r>
      <w:r w:rsidR="00677E3F">
        <w:rPr>
          <w:rFonts w:ascii="Times New Roman" w:hAnsi="Times New Roman"/>
          <w:sz w:val="24"/>
          <w:szCs w:val="24"/>
        </w:rPr>
        <w:t xml:space="preserve"> </w:t>
      </w:r>
      <w:r w:rsidR="00A01A77">
        <w:rPr>
          <w:rFonts w:ascii="Times New Roman" w:hAnsi="Times New Roman"/>
          <w:sz w:val="24"/>
          <w:szCs w:val="24"/>
        </w:rPr>
        <w:t>den</w:t>
      </w:r>
      <w:r w:rsidR="006D0467">
        <w:rPr>
          <w:rFonts w:ascii="Times New Roman" w:hAnsi="Times New Roman"/>
          <w:sz w:val="24"/>
          <w:szCs w:val="24"/>
        </w:rPr>
        <w:t>o</w:t>
      </w:r>
      <w:r w:rsidR="00A01A77">
        <w:rPr>
          <w:rFonts w:ascii="Times New Roman" w:hAnsi="Times New Roman"/>
          <w:sz w:val="24"/>
          <w:szCs w:val="24"/>
        </w:rPr>
        <w:t>tando-se</w:t>
      </w:r>
      <w:r w:rsidR="00677E3F">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m:t>
            </m:r>
          </m:sub>
        </m:sSub>
      </m:oMath>
      <w:r w:rsidR="00677E3F">
        <w:rPr>
          <w:rFonts w:ascii="Times New Roman" w:hAnsi="Times New Roman"/>
          <w:sz w:val="24"/>
          <w:szCs w:val="24"/>
        </w:rPr>
        <w:t xml:space="preserve"> </w:t>
      </w:r>
      <w:r w:rsidR="00A01A77">
        <w:rPr>
          <w:rFonts w:ascii="Times New Roman" w:hAnsi="Times New Roman"/>
          <w:sz w:val="24"/>
          <w:szCs w:val="24"/>
        </w:rPr>
        <w:t xml:space="preserve">como </w:t>
      </w:r>
      <w:r w:rsidR="00677E3F">
        <w:rPr>
          <w:rFonts w:ascii="Times New Roman" w:hAnsi="Times New Roman"/>
          <w:sz w:val="24"/>
          <w:szCs w:val="24"/>
        </w:rPr>
        <w:t xml:space="preserve">a renda </w:t>
      </w:r>
      <w:r w:rsidR="006D0467">
        <w:rPr>
          <w:rFonts w:ascii="Times New Roman" w:hAnsi="Times New Roman"/>
          <w:sz w:val="24"/>
          <w:szCs w:val="24"/>
        </w:rPr>
        <w:t xml:space="preserve">total </w:t>
      </w:r>
      <w:r w:rsidR="00677E3F">
        <w:rPr>
          <w:rFonts w:ascii="Times New Roman" w:hAnsi="Times New Roman"/>
          <w:i/>
          <w:sz w:val="24"/>
          <w:szCs w:val="24"/>
        </w:rPr>
        <w:t xml:space="preserve">per capita </w:t>
      </w:r>
      <w:r w:rsidR="00677E3F">
        <w:rPr>
          <w:rFonts w:ascii="Times New Roman" w:hAnsi="Times New Roman"/>
          <w:sz w:val="24"/>
          <w:szCs w:val="24"/>
        </w:rPr>
        <w:t xml:space="preserve">da unidade da federação </w:t>
      </w:r>
      <w:r w:rsidR="00677E3F">
        <w:rPr>
          <w:rFonts w:ascii="Times New Roman" w:hAnsi="Times New Roman"/>
          <w:i/>
          <w:sz w:val="24"/>
          <w:szCs w:val="24"/>
        </w:rPr>
        <w:t>e</w:t>
      </w:r>
      <w:r w:rsidR="00486CFB">
        <w:rPr>
          <w:rFonts w:ascii="Times New Roman" w:hAnsi="Times New Roman"/>
          <w:sz w:val="24"/>
          <w:szCs w:val="24"/>
        </w:rPr>
        <w:t xml:space="preserve">, é adotada a seguinte decomposição desta renda a partir de </w:t>
      </w:r>
      <w:r w:rsidR="004F18AA">
        <w:rPr>
          <w:rFonts w:ascii="Times New Roman" w:hAnsi="Times New Roman"/>
          <w:sz w:val="24"/>
          <w:szCs w:val="24"/>
        </w:rPr>
        <w:t>nove</w:t>
      </w:r>
      <w:r w:rsidR="00486CFB">
        <w:rPr>
          <w:rFonts w:ascii="Times New Roman" w:hAnsi="Times New Roman"/>
          <w:sz w:val="24"/>
          <w:szCs w:val="24"/>
        </w:rPr>
        <w:t xml:space="preserve"> diferentes fontes:</w:t>
      </w:r>
    </w:p>
    <w:p w:rsidR="00486CFB" w:rsidRDefault="00486CFB" w:rsidP="00367591">
      <w:pPr>
        <w:spacing w:after="0" w:line="360" w:lineRule="auto"/>
        <w:jc w:val="both"/>
        <w:rPr>
          <w:rFonts w:ascii="Times New Roman" w:hAnsi="Times New Roman"/>
          <w:sz w:val="24"/>
          <w:szCs w:val="24"/>
        </w:rPr>
      </w:pPr>
    </w:p>
    <w:p w:rsidR="00486CFB" w:rsidRDefault="00486CFB" w:rsidP="00367591">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eta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eap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eal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eca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eBF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eBPC</m:t>
            </m:r>
          </m:sub>
        </m:sSub>
      </m:oMath>
      <w:r>
        <w:rPr>
          <w:rFonts w:ascii="Times New Roman" w:eastAsia="Times New Roman" w:hAnsi="Times New Roman"/>
          <w:sz w:val="24"/>
          <w:szCs w:val="24"/>
        </w:rPr>
        <w:t xml:space="preserve"> ,  </w:t>
      </w:r>
      <w:r>
        <w:rPr>
          <w:rFonts w:ascii="Times New Roman" w:hAnsi="Times New Roman"/>
          <w:i/>
          <w:sz w:val="24"/>
          <w:szCs w:val="24"/>
        </w:rPr>
        <w:t xml:space="preserve"> e </w:t>
      </w:r>
      <w:r>
        <w:rPr>
          <w:rFonts w:ascii="Times New Roman" w:hAnsi="Times New Roman"/>
          <w:sz w:val="24"/>
          <w:szCs w:val="24"/>
        </w:rPr>
        <w:t>= 1,.......,27</w:t>
      </w:r>
      <w:r>
        <w:rPr>
          <w:rFonts w:ascii="Times New Roman" w:eastAsia="Times New Roman" w:hAnsi="Times New Roman"/>
          <w:sz w:val="24"/>
          <w:szCs w:val="24"/>
        </w:rPr>
        <w:t xml:space="preserve">.     </w:t>
      </w:r>
      <w:r w:rsidR="00973477">
        <w:rPr>
          <w:rFonts w:ascii="Times New Roman" w:eastAsia="Times New Roman" w:hAnsi="Times New Roman"/>
          <w:sz w:val="24"/>
          <w:szCs w:val="24"/>
        </w:rPr>
        <w:t xml:space="preserve">         </w:t>
      </w:r>
      <w:r w:rsidR="001411F8">
        <w:rPr>
          <w:rFonts w:ascii="Times New Roman" w:eastAsia="Times New Roman" w:hAnsi="Times New Roman"/>
          <w:sz w:val="24"/>
          <w:szCs w:val="24"/>
        </w:rPr>
        <w:t xml:space="preserve"> </w:t>
      </w:r>
      <w:r>
        <w:rPr>
          <w:rFonts w:ascii="Times New Roman" w:eastAsia="Times New Roman" w:hAnsi="Times New Roman"/>
          <w:sz w:val="24"/>
          <w:szCs w:val="24"/>
        </w:rPr>
        <w:t xml:space="preserve">(1)    </w:t>
      </w:r>
    </w:p>
    <w:p w:rsidR="00486CFB" w:rsidRDefault="00486CFB" w:rsidP="00367591">
      <w:pPr>
        <w:spacing w:after="0" w:line="360" w:lineRule="auto"/>
        <w:jc w:val="both"/>
        <w:rPr>
          <w:rFonts w:ascii="Times New Roman" w:eastAsia="Times New Roman" w:hAnsi="Times New Roman"/>
          <w:sz w:val="24"/>
          <w:szCs w:val="24"/>
        </w:rPr>
      </w:pPr>
    </w:p>
    <w:p w:rsidR="00486CFB" w:rsidRDefault="00486CFB" w:rsidP="00621C1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Onde</w:t>
      </w:r>
      <w:r w:rsidR="006E6206">
        <w:rPr>
          <w:rFonts w:ascii="Times New Roman" w:eastAsia="Times New Roman" w:hAnsi="Times New Roman"/>
          <w:sz w:val="24"/>
          <w:szCs w:val="24"/>
        </w:rPr>
        <w:t>,</w:t>
      </w:r>
      <w:r>
        <w:rPr>
          <w:rFonts w:ascii="Times New Roman" w:eastAsia="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eta</m:t>
            </m:r>
          </m:sub>
        </m:sSub>
      </m:oMath>
      <w:r>
        <w:rPr>
          <w:rFonts w:ascii="Times New Roman" w:eastAsia="Times New Roman" w:hAnsi="Times New Roman"/>
          <w:sz w:val="24"/>
          <w:szCs w:val="24"/>
        </w:rPr>
        <w:t>= renda</w:t>
      </w:r>
      <w:r w:rsidR="006D0467" w:rsidRPr="006D0467">
        <w:rPr>
          <w:rFonts w:ascii="Times New Roman" w:eastAsia="Times New Roman" w:hAnsi="Times New Roman"/>
          <w:sz w:val="24"/>
          <w:szCs w:val="24"/>
        </w:rPr>
        <w:t xml:space="preserve"> </w:t>
      </w:r>
      <w:r w:rsidR="006D0467">
        <w:rPr>
          <w:rFonts w:ascii="Times New Roman" w:eastAsia="Times New Roman" w:hAnsi="Times New Roman"/>
          <w:sz w:val="24"/>
          <w:szCs w:val="24"/>
        </w:rPr>
        <w:t>do trabalho da agricultura</w:t>
      </w:r>
      <w:r>
        <w:rPr>
          <w:rFonts w:ascii="Times New Roman" w:eastAsia="Times New Roman" w:hAnsi="Times New Roman"/>
          <w:sz w:val="24"/>
          <w:szCs w:val="24"/>
        </w:rPr>
        <w:t xml:space="preserve"> </w:t>
      </w:r>
      <w:r>
        <w:rPr>
          <w:rFonts w:ascii="Times New Roman" w:eastAsia="Times New Roman" w:hAnsi="Times New Roman"/>
          <w:i/>
          <w:sz w:val="24"/>
          <w:szCs w:val="24"/>
        </w:rPr>
        <w:t>per capita</w:t>
      </w:r>
      <w:r>
        <w:rPr>
          <w:rFonts w:ascii="Times New Roman" w:eastAsia="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eti</m:t>
            </m:r>
          </m:sub>
        </m:sSub>
      </m:oMath>
      <w:r>
        <w:rPr>
          <w:rFonts w:ascii="Times New Roman" w:eastAsia="Times New Roman" w:hAnsi="Times New Roman"/>
          <w:sz w:val="24"/>
          <w:szCs w:val="24"/>
        </w:rPr>
        <w:t xml:space="preserve">= renda </w:t>
      </w:r>
      <w:r w:rsidR="006D0467">
        <w:rPr>
          <w:rFonts w:ascii="Times New Roman" w:eastAsia="Times New Roman" w:hAnsi="Times New Roman"/>
          <w:sz w:val="24"/>
          <w:szCs w:val="24"/>
        </w:rPr>
        <w:t>do trabalho da indústria</w:t>
      </w:r>
      <w:r w:rsidR="006D0467">
        <w:rPr>
          <w:rFonts w:ascii="Times New Roman" w:eastAsia="Times New Roman" w:hAnsi="Times New Roman"/>
          <w:i/>
          <w:sz w:val="24"/>
          <w:szCs w:val="24"/>
        </w:rPr>
        <w:t xml:space="preserve"> </w:t>
      </w:r>
      <w:r>
        <w:rPr>
          <w:rFonts w:ascii="Times New Roman" w:eastAsia="Times New Roman" w:hAnsi="Times New Roman"/>
          <w:i/>
          <w:sz w:val="24"/>
          <w:szCs w:val="24"/>
        </w:rPr>
        <w:t>per capita</w:t>
      </w:r>
      <w:r>
        <w:rPr>
          <w:rFonts w:ascii="Times New Roman" w:eastAsia="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ets</m:t>
            </m:r>
          </m:sub>
        </m:sSub>
      </m:oMath>
      <w:r w:rsidR="006E6206">
        <w:rPr>
          <w:rFonts w:ascii="Times New Roman" w:eastAsia="Times New Roman" w:hAnsi="Times New Roman"/>
          <w:sz w:val="24"/>
          <w:szCs w:val="24"/>
        </w:rPr>
        <w:t xml:space="preserve"> = renda </w:t>
      </w:r>
      <w:r w:rsidR="006D0467">
        <w:rPr>
          <w:rFonts w:ascii="Times New Roman" w:eastAsia="Times New Roman" w:hAnsi="Times New Roman"/>
          <w:sz w:val="24"/>
          <w:szCs w:val="24"/>
        </w:rPr>
        <w:t>do trabalho dos serviços</w:t>
      </w:r>
      <w:r w:rsidR="006D0467">
        <w:rPr>
          <w:rFonts w:ascii="Times New Roman" w:eastAsia="Times New Roman" w:hAnsi="Times New Roman"/>
          <w:i/>
          <w:sz w:val="24"/>
          <w:szCs w:val="24"/>
        </w:rPr>
        <w:t xml:space="preserve"> </w:t>
      </w:r>
      <w:r w:rsidR="006E6206">
        <w:rPr>
          <w:rFonts w:ascii="Times New Roman" w:eastAsia="Times New Roman" w:hAnsi="Times New Roman"/>
          <w:i/>
          <w:sz w:val="24"/>
          <w:szCs w:val="24"/>
        </w:rPr>
        <w:t>per capita</w:t>
      </w:r>
      <w:r w:rsidR="006E6206">
        <w:rPr>
          <w:rFonts w:ascii="Times New Roman" w:eastAsia="Times New Roman" w:hAnsi="Times New Roman"/>
          <w:sz w:val="24"/>
          <w:szCs w:val="24"/>
        </w:rPr>
        <w:t>,</w:t>
      </w:r>
      <m:oMath>
        <m:r>
          <w:rPr>
            <w:rFonts w:ascii="Cambria Math" w:eastAsia="Times New Roman"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etg</m:t>
            </m:r>
          </m:sub>
        </m:sSub>
      </m:oMath>
      <w:r w:rsidR="006E6206">
        <w:rPr>
          <w:rFonts w:ascii="Times New Roman" w:eastAsia="Times New Roman" w:hAnsi="Times New Roman"/>
          <w:sz w:val="24"/>
          <w:szCs w:val="24"/>
        </w:rPr>
        <w:t xml:space="preserve"> = renda </w:t>
      </w:r>
      <w:r w:rsidR="006D0467">
        <w:rPr>
          <w:rFonts w:ascii="Times New Roman" w:eastAsia="Times New Roman" w:hAnsi="Times New Roman"/>
          <w:sz w:val="24"/>
          <w:szCs w:val="24"/>
        </w:rPr>
        <w:t>do trabalho da administração pública</w:t>
      </w:r>
      <w:r w:rsidR="006D0467">
        <w:rPr>
          <w:rFonts w:ascii="Times New Roman" w:eastAsia="Times New Roman" w:hAnsi="Times New Roman"/>
          <w:i/>
          <w:sz w:val="24"/>
          <w:szCs w:val="24"/>
        </w:rPr>
        <w:t xml:space="preserve"> </w:t>
      </w:r>
      <w:r w:rsidR="006E6206">
        <w:rPr>
          <w:rFonts w:ascii="Times New Roman" w:eastAsia="Times New Roman" w:hAnsi="Times New Roman"/>
          <w:i/>
          <w:sz w:val="24"/>
          <w:szCs w:val="24"/>
        </w:rPr>
        <w:t>per capita</w:t>
      </w:r>
      <w:r w:rsidR="006E6206">
        <w:rPr>
          <w:rFonts w:ascii="Times New Roman" w:eastAsia="Times New Roman" w:hAnsi="Times New Roman"/>
          <w:sz w:val="24"/>
          <w:szCs w:val="24"/>
        </w:rPr>
        <w:t>,</w:t>
      </w:r>
      <w:r>
        <w:rPr>
          <w:rFonts w:ascii="Times New Roman" w:eastAsia="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eap</m:t>
            </m:r>
          </m:sub>
        </m:sSub>
      </m:oMath>
      <w:r w:rsidR="006E6206">
        <w:rPr>
          <w:rFonts w:ascii="Times New Roman" w:eastAsia="Times New Roman" w:hAnsi="Times New Roman"/>
          <w:sz w:val="24"/>
          <w:szCs w:val="24"/>
        </w:rPr>
        <w:t xml:space="preserve"> = renda</w:t>
      </w:r>
      <w:r w:rsidR="006D0467" w:rsidRPr="006D0467">
        <w:rPr>
          <w:rFonts w:ascii="Times New Roman" w:eastAsia="Times New Roman" w:hAnsi="Times New Roman"/>
          <w:sz w:val="24"/>
          <w:szCs w:val="24"/>
        </w:rPr>
        <w:t xml:space="preserve"> </w:t>
      </w:r>
      <w:r w:rsidR="006D0467">
        <w:rPr>
          <w:rFonts w:ascii="Times New Roman" w:eastAsia="Times New Roman" w:hAnsi="Times New Roman"/>
          <w:sz w:val="24"/>
          <w:szCs w:val="24"/>
        </w:rPr>
        <w:t>de aposentadorias e pensões</w:t>
      </w:r>
      <w:r w:rsidR="006D0467">
        <w:rPr>
          <w:rFonts w:ascii="Times New Roman" w:eastAsia="Times New Roman" w:hAnsi="Times New Roman"/>
          <w:i/>
          <w:sz w:val="24"/>
          <w:szCs w:val="24"/>
        </w:rPr>
        <w:t xml:space="preserve"> </w:t>
      </w:r>
      <w:r w:rsidR="006E6206">
        <w:rPr>
          <w:rFonts w:ascii="Times New Roman" w:eastAsia="Times New Roman" w:hAnsi="Times New Roman"/>
          <w:i/>
          <w:sz w:val="24"/>
          <w:szCs w:val="24"/>
        </w:rPr>
        <w:t>per capita</w:t>
      </w:r>
      <w:r w:rsidR="006E6206">
        <w:rPr>
          <w:rFonts w:ascii="Times New Roman" w:eastAsia="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eal</m:t>
            </m:r>
          </m:sub>
        </m:sSub>
      </m:oMath>
      <w:r w:rsidR="006E6206">
        <w:rPr>
          <w:rFonts w:ascii="Times New Roman" w:eastAsia="Times New Roman" w:hAnsi="Times New Roman"/>
          <w:sz w:val="24"/>
          <w:szCs w:val="24"/>
        </w:rPr>
        <w:t xml:space="preserve"> = renda</w:t>
      </w:r>
      <w:r w:rsidR="006D0467" w:rsidRPr="006D0467">
        <w:rPr>
          <w:rFonts w:ascii="Times New Roman" w:eastAsia="Times New Roman" w:hAnsi="Times New Roman"/>
          <w:sz w:val="24"/>
          <w:szCs w:val="24"/>
        </w:rPr>
        <w:t xml:space="preserve"> </w:t>
      </w:r>
      <w:r w:rsidR="006D0467">
        <w:rPr>
          <w:rFonts w:ascii="Times New Roman" w:eastAsia="Times New Roman" w:hAnsi="Times New Roman"/>
          <w:sz w:val="24"/>
          <w:szCs w:val="24"/>
        </w:rPr>
        <w:t>de aluguéis e doações</w:t>
      </w:r>
      <w:r w:rsidR="006E6206">
        <w:rPr>
          <w:rFonts w:ascii="Times New Roman" w:eastAsia="Times New Roman" w:hAnsi="Times New Roman"/>
          <w:sz w:val="24"/>
          <w:szCs w:val="24"/>
        </w:rPr>
        <w:t xml:space="preserve"> </w:t>
      </w:r>
      <w:r w:rsidR="006E6206">
        <w:rPr>
          <w:rFonts w:ascii="Times New Roman" w:eastAsia="Times New Roman" w:hAnsi="Times New Roman"/>
          <w:i/>
          <w:sz w:val="24"/>
          <w:szCs w:val="24"/>
        </w:rPr>
        <w:t>per capita</w:t>
      </w:r>
      <w:r w:rsidR="006E6206">
        <w:rPr>
          <w:rFonts w:ascii="Times New Roman" w:eastAsia="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eca</m:t>
            </m:r>
          </m:sub>
        </m:sSub>
      </m:oMath>
      <w:r w:rsidR="006E6206">
        <w:rPr>
          <w:rFonts w:ascii="Times New Roman" w:eastAsia="Times New Roman" w:hAnsi="Times New Roman"/>
          <w:sz w:val="24"/>
          <w:szCs w:val="24"/>
        </w:rPr>
        <w:t xml:space="preserve"> = renda </w:t>
      </w:r>
      <w:r w:rsidR="006D0467">
        <w:rPr>
          <w:rFonts w:ascii="Times New Roman" w:eastAsia="Times New Roman" w:hAnsi="Times New Roman"/>
          <w:sz w:val="24"/>
          <w:szCs w:val="24"/>
        </w:rPr>
        <w:t xml:space="preserve">do capital (juros, dividendos, etc.) </w:t>
      </w:r>
      <w:r w:rsidR="006E6206">
        <w:rPr>
          <w:rFonts w:ascii="Times New Roman" w:eastAsia="Times New Roman" w:hAnsi="Times New Roman"/>
          <w:i/>
          <w:sz w:val="24"/>
          <w:szCs w:val="24"/>
        </w:rPr>
        <w:t>per capita</w:t>
      </w:r>
      <w:r w:rsidR="006E6206">
        <w:rPr>
          <w:rFonts w:ascii="Times New Roman" w:eastAsia="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eBF</m:t>
            </m:r>
          </m:sub>
        </m:sSub>
      </m:oMath>
      <w:r w:rsidR="006E6206">
        <w:rPr>
          <w:rFonts w:ascii="Times New Roman" w:eastAsia="Times New Roman" w:hAnsi="Times New Roman"/>
          <w:sz w:val="24"/>
          <w:szCs w:val="24"/>
        </w:rPr>
        <w:t xml:space="preserve"> = renda </w:t>
      </w:r>
      <w:r w:rsidR="006D0467">
        <w:rPr>
          <w:rFonts w:ascii="Times New Roman" w:eastAsia="Times New Roman" w:hAnsi="Times New Roman"/>
          <w:sz w:val="24"/>
          <w:szCs w:val="24"/>
        </w:rPr>
        <w:t xml:space="preserve">derivada do Programa Bolsa Família </w:t>
      </w:r>
      <w:r w:rsidR="006E6206">
        <w:rPr>
          <w:rFonts w:ascii="Times New Roman" w:eastAsia="Times New Roman" w:hAnsi="Times New Roman"/>
          <w:i/>
          <w:sz w:val="24"/>
          <w:szCs w:val="24"/>
        </w:rPr>
        <w:t xml:space="preserve">per capita </w:t>
      </w:r>
      <w:r w:rsidR="006E6206">
        <w:rPr>
          <w:rFonts w:ascii="Times New Roman" w:eastAsia="Times New Roman" w:hAnsi="Times New Roman"/>
          <w:sz w:val="24"/>
          <w:szCs w:val="24"/>
        </w:rPr>
        <w:t xml:space="preserve">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eBPC</m:t>
            </m:r>
          </m:sub>
        </m:sSub>
      </m:oMath>
      <w:r w:rsidR="006E6206">
        <w:rPr>
          <w:rFonts w:ascii="Times New Roman" w:eastAsia="Times New Roman" w:hAnsi="Times New Roman"/>
          <w:sz w:val="24"/>
          <w:szCs w:val="24"/>
        </w:rPr>
        <w:t xml:space="preserve"> = renda </w:t>
      </w:r>
      <w:r w:rsidR="006D0467">
        <w:rPr>
          <w:rFonts w:ascii="Times New Roman" w:eastAsia="Times New Roman" w:hAnsi="Times New Roman"/>
          <w:sz w:val="24"/>
          <w:szCs w:val="24"/>
        </w:rPr>
        <w:t>derivada dos recursos do Benefício de Prestação Continuada</w:t>
      </w:r>
      <w:r w:rsidR="006D0467">
        <w:rPr>
          <w:rFonts w:ascii="Times New Roman" w:eastAsia="Times New Roman" w:hAnsi="Times New Roman"/>
          <w:i/>
          <w:sz w:val="24"/>
          <w:szCs w:val="24"/>
        </w:rPr>
        <w:t xml:space="preserve"> </w:t>
      </w:r>
      <w:r w:rsidR="006E6206">
        <w:rPr>
          <w:rFonts w:ascii="Times New Roman" w:eastAsia="Times New Roman" w:hAnsi="Times New Roman"/>
          <w:i/>
          <w:sz w:val="24"/>
          <w:szCs w:val="24"/>
        </w:rPr>
        <w:t>per capita</w:t>
      </w:r>
      <w:r w:rsidR="006E6206">
        <w:rPr>
          <w:rFonts w:ascii="Times New Roman" w:eastAsia="Times New Roman" w:hAnsi="Times New Roman"/>
          <w:sz w:val="24"/>
          <w:szCs w:val="24"/>
        </w:rPr>
        <w:t>.</w:t>
      </w:r>
    </w:p>
    <w:p w:rsidR="006E6206" w:rsidRDefault="006E6206" w:rsidP="00621C12">
      <w:pPr>
        <w:spacing w:after="0" w:line="240" w:lineRule="auto"/>
        <w:jc w:val="both"/>
        <w:rPr>
          <w:rFonts w:ascii="Times New Roman" w:hAnsi="Times New Roman"/>
          <w:sz w:val="24"/>
          <w:szCs w:val="24"/>
        </w:rPr>
      </w:pPr>
      <w:r>
        <w:rPr>
          <w:rFonts w:ascii="Times New Roman" w:hAnsi="Times New Roman"/>
          <w:sz w:val="24"/>
          <w:szCs w:val="24"/>
        </w:rPr>
        <w:tab/>
      </w:r>
      <w:r w:rsidR="009771A9">
        <w:rPr>
          <w:rFonts w:ascii="Times New Roman" w:hAnsi="Times New Roman"/>
          <w:sz w:val="24"/>
          <w:szCs w:val="24"/>
        </w:rPr>
        <w:t>Uma série de qualificações se f</w:t>
      </w:r>
      <w:r w:rsidR="00D04A54">
        <w:rPr>
          <w:rFonts w:ascii="Times New Roman" w:hAnsi="Times New Roman"/>
          <w:sz w:val="24"/>
          <w:szCs w:val="24"/>
        </w:rPr>
        <w:t xml:space="preserve">az, aqui, necessária. Primeiro, </w:t>
      </w:r>
      <w:r w:rsidR="009771A9">
        <w:rPr>
          <w:rFonts w:ascii="Times New Roman" w:hAnsi="Times New Roman"/>
          <w:sz w:val="24"/>
          <w:szCs w:val="24"/>
        </w:rPr>
        <w:t>tal decomposição só é possível através do uso de micro-informações dos indivíduos e famílias, que são agregadas para obtenção dos totais estaduais. Como levado a efeito por Silveira Neto e Azzoni (2010</w:t>
      </w:r>
      <w:r w:rsidR="00E51E29">
        <w:rPr>
          <w:rFonts w:ascii="Times New Roman" w:hAnsi="Times New Roman"/>
          <w:sz w:val="24"/>
          <w:szCs w:val="24"/>
        </w:rPr>
        <w:t xml:space="preserve">), os valores trabalhados nesta pesquisa </w:t>
      </w:r>
      <w:r w:rsidR="009771A9">
        <w:rPr>
          <w:rFonts w:ascii="Times New Roman" w:hAnsi="Times New Roman"/>
          <w:sz w:val="24"/>
          <w:szCs w:val="24"/>
        </w:rPr>
        <w:t xml:space="preserve">derivam </w:t>
      </w:r>
      <w:r w:rsidR="00E51E29">
        <w:rPr>
          <w:rFonts w:ascii="Times New Roman" w:hAnsi="Times New Roman"/>
          <w:sz w:val="24"/>
          <w:szCs w:val="24"/>
        </w:rPr>
        <w:t>dos microdados</w:t>
      </w:r>
      <w:r w:rsidR="009771A9">
        <w:rPr>
          <w:rFonts w:ascii="Times New Roman" w:hAnsi="Times New Roman"/>
          <w:sz w:val="24"/>
          <w:szCs w:val="24"/>
        </w:rPr>
        <w:t xml:space="preserve"> da PNAD. Segundo, a decomposição expressa pela equação (1), diferentemente daquelas utilizadas por Hoffman (2006), Soares</w:t>
      </w:r>
      <w:r w:rsidR="00F36F82">
        <w:rPr>
          <w:rFonts w:ascii="Times New Roman" w:hAnsi="Times New Roman"/>
          <w:sz w:val="24"/>
          <w:szCs w:val="24"/>
        </w:rPr>
        <w:t xml:space="preserve">, </w:t>
      </w:r>
      <w:r w:rsidR="00F36F82">
        <w:rPr>
          <w:rFonts w:ascii="Times New Roman" w:hAnsi="Times New Roman"/>
          <w:i/>
          <w:sz w:val="24"/>
          <w:szCs w:val="24"/>
        </w:rPr>
        <w:t>et al.</w:t>
      </w:r>
      <w:r w:rsidR="009771A9">
        <w:rPr>
          <w:rFonts w:ascii="Times New Roman" w:hAnsi="Times New Roman"/>
          <w:sz w:val="24"/>
          <w:szCs w:val="24"/>
        </w:rPr>
        <w:t xml:space="preserve"> (2006) e Silveira Neto e Azzoni (2010), considera as diferentes fontes de renda do trabalho a partir dos diferentes setores. Do ponto de vista da distribuição regional da renda, </w:t>
      </w:r>
      <w:r w:rsidR="00480799">
        <w:rPr>
          <w:rFonts w:ascii="Times New Roman" w:hAnsi="Times New Roman"/>
          <w:sz w:val="24"/>
          <w:szCs w:val="24"/>
        </w:rPr>
        <w:t>o expediente deste trabalho é</w:t>
      </w:r>
      <w:r w:rsidR="009771A9">
        <w:rPr>
          <w:rFonts w:ascii="Times New Roman" w:hAnsi="Times New Roman"/>
          <w:sz w:val="24"/>
          <w:szCs w:val="24"/>
        </w:rPr>
        <w:t xml:space="preserve"> mais informativo, uma vez que parte importante das políticas de desenvolvimento regional no Brasil</w:t>
      </w:r>
      <w:r w:rsidR="00480799">
        <w:rPr>
          <w:rFonts w:ascii="Times New Roman" w:hAnsi="Times New Roman"/>
          <w:sz w:val="24"/>
          <w:szCs w:val="24"/>
        </w:rPr>
        <w:t xml:space="preserve"> está associada à concessão de incentivos fiscais para atração, principalmente, de segmentos industriais. Terceiro, de forma semelhante ao levado a efeito por Soares e Sártyro (2009) no estudo da desigualdade da renda pessoal, mas diferentemente da aplicação da decomposição proposta por Silveira Neto e Azzoni (2010) no caso da desigualdade regional, considera-se neste trabalho a influência específica dos recursos do Benefício de Prestação Continuada (BPC). Por fim, é sempre importante reconhecer a limitação de tais decomposições a partir de informações domiciliares relacionada às dificuldades de captura das rendas do capital</w:t>
      </w:r>
      <w:r w:rsidR="00A01A77">
        <w:rPr>
          <w:rFonts w:ascii="Times New Roman" w:hAnsi="Times New Roman"/>
          <w:sz w:val="24"/>
          <w:szCs w:val="24"/>
        </w:rPr>
        <w:t>, praxe em estudos que se utilizam da PNAD</w:t>
      </w:r>
      <w:r w:rsidR="00480799">
        <w:rPr>
          <w:rFonts w:ascii="Times New Roman" w:hAnsi="Times New Roman"/>
          <w:sz w:val="24"/>
          <w:szCs w:val="24"/>
        </w:rPr>
        <w:t>.</w:t>
      </w:r>
    </w:p>
    <w:p w:rsidR="00480799" w:rsidRDefault="00480799" w:rsidP="00621C12">
      <w:pPr>
        <w:spacing w:after="0" w:line="240" w:lineRule="auto"/>
        <w:jc w:val="both"/>
        <w:rPr>
          <w:rFonts w:ascii="Times New Roman" w:hAnsi="Times New Roman"/>
          <w:sz w:val="24"/>
          <w:szCs w:val="24"/>
        </w:rPr>
      </w:pPr>
      <w:r>
        <w:rPr>
          <w:rFonts w:ascii="Times New Roman" w:hAnsi="Times New Roman"/>
          <w:sz w:val="24"/>
          <w:szCs w:val="24"/>
        </w:rPr>
        <w:lastRenderedPageBreak/>
        <w:tab/>
        <w:t>Com respeito às possibilidades de registro destas diferentes fontes</w:t>
      </w:r>
      <w:r w:rsidR="00F36F82">
        <w:rPr>
          <w:rFonts w:ascii="Times New Roman" w:hAnsi="Times New Roman"/>
          <w:sz w:val="24"/>
          <w:szCs w:val="24"/>
        </w:rPr>
        <w:t xml:space="preserve"> a partir dos microdados da PNAD, além das imprecisões com respeito às rendas do capital, dificuldades </w:t>
      </w:r>
      <w:r w:rsidR="00A01A77">
        <w:rPr>
          <w:rFonts w:ascii="Times New Roman" w:hAnsi="Times New Roman"/>
          <w:sz w:val="24"/>
          <w:szCs w:val="24"/>
        </w:rPr>
        <w:t xml:space="preserve">adicionais </w:t>
      </w:r>
      <w:r w:rsidR="00F36F82">
        <w:rPr>
          <w:rFonts w:ascii="Times New Roman" w:hAnsi="Times New Roman"/>
          <w:sz w:val="24"/>
          <w:szCs w:val="24"/>
        </w:rPr>
        <w:t>dizem respeito</w:t>
      </w:r>
      <w:r w:rsidR="0096454F">
        <w:rPr>
          <w:rFonts w:ascii="Times New Roman" w:hAnsi="Times New Roman"/>
          <w:sz w:val="24"/>
          <w:szCs w:val="24"/>
        </w:rPr>
        <w:t>, por um lado,</w:t>
      </w:r>
      <w:r w:rsidR="00F36F82">
        <w:rPr>
          <w:rFonts w:ascii="Times New Roman" w:hAnsi="Times New Roman"/>
          <w:sz w:val="24"/>
          <w:szCs w:val="24"/>
        </w:rPr>
        <w:t xml:space="preserve"> </w:t>
      </w:r>
      <w:r w:rsidR="00A01A77">
        <w:rPr>
          <w:rFonts w:ascii="Times New Roman" w:hAnsi="Times New Roman"/>
          <w:sz w:val="24"/>
          <w:szCs w:val="24"/>
        </w:rPr>
        <w:t>à</w:t>
      </w:r>
      <w:r w:rsidR="00F36F82">
        <w:rPr>
          <w:rFonts w:ascii="Times New Roman" w:hAnsi="Times New Roman"/>
          <w:sz w:val="24"/>
          <w:szCs w:val="24"/>
        </w:rPr>
        <w:t xml:space="preserve"> atribuição da renda dos programas federais do Bolsa Família e Benefício de Prestação Continuada</w:t>
      </w:r>
      <w:r w:rsidR="0096454F">
        <w:rPr>
          <w:rFonts w:ascii="Times New Roman" w:hAnsi="Times New Roman"/>
          <w:sz w:val="24"/>
          <w:szCs w:val="24"/>
        </w:rPr>
        <w:t xml:space="preserve"> e, por outro, a imputação da renda do trabalho de cada setor</w:t>
      </w:r>
      <w:r w:rsidR="00F36F82">
        <w:rPr>
          <w:rFonts w:ascii="Times New Roman" w:hAnsi="Times New Roman"/>
          <w:sz w:val="24"/>
          <w:szCs w:val="24"/>
        </w:rPr>
        <w:t>. Neste sentido</w:t>
      </w:r>
      <w:r w:rsidR="0096454F">
        <w:rPr>
          <w:rFonts w:ascii="Times New Roman" w:hAnsi="Times New Roman"/>
          <w:sz w:val="24"/>
          <w:szCs w:val="24"/>
        </w:rPr>
        <w:t xml:space="preserve"> e para as políticas sociais</w:t>
      </w:r>
      <w:r w:rsidR="00F36F82">
        <w:rPr>
          <w:rFonts w:ascii="Times New Roman" w:hAnsi="Times New Roman"/>
          <w:sz w:val="24"/>
          <w:szCs w:val="24"/>
        </w:rPr>
        <w:t xml:space="preserve">, é a adotada a metodologia proposta e explicitada em Soares, </w:t>
      </w:r>
      <w:r w:rsidR="00F36F82">
        <w:rPr>
          <w:rFonts w:ascii="Times New Roman" w:hAnsi="Times New Roman"/>
          <w:i/>
          <w:sz w:val="24"/>
          <w:szCs w:val="24"/>
        </w:rPr>
        <w:t>et al.</w:t>
      </w:r>
      <w:r w:rsidR="00F36F82">
        <w:rPr>
          <w:rFonts w:ascii="Times New Roman" w:hAnsi="Times New Roman"/>
          <w:sz w:val="24"/>
          <w:szCs w:val="24"/>
        </w:rPr>
        <w:t xml:space="preserve"> (2006), o que difere daquela utilizada por Silveira Neto e Azzoni (2010)</w:t>
      </w:r>
      <w:r w:rsidR="00F36F82">
        <w:rPr>
          <w:rStyle w:val="FootnoteReference"/>
          <w:rFonts w:ascii="Times New Roman" w:hAnsi="Times New Roman"/>
          <w:sz w:val="24"/>
          <w:szCs w:val="24"/>
        </w:rPr>
        <w:footnoteReference w:id="1"/>
      </w:r>
      <w:r w:rsidR="00F36F82">
        <w:rPr>
          <w:rFonts w:ascii="Times New Roman" w:hAnsi="Times New Roman"/>
          <w:sz w:val="24"/>
          <w:szCs w:val="24"/>
        </w:rPr>
        <w:t>.</w:t>
      </w:r>
      <w:r w:rsidR="0096454F">
        <w:rPr>
          <w:rFonts w:ascii="Times New Roman" w:hAnsi="Times New Roman"/>
          <w:sz w:val="24"/>
          <w:szCs w:val="24"/>
        </w:rPr>
        <w:t xml:space="preserve"> Já para a renda do trabalho dos setores, considerou-se a renda total do trabalho de cada indivíduo como derivada da renda do segmento de atividade do trabalho principal.</w:t>
      </w:r>
    </w:p>
    <w:p w:rsidR="0049646A" w:rsidRDefault="0049646A" w:rsidP="00621C12">
      <w:pPr>
        <w:spacing w:after="0" w:line="240" w:lineRule="auto"/>
        <w:jc w:val="both"/>
        <w:rPr>
          <w:rFonts w:ascii="Times New Roman" w:hAnsi="Times New Roman"/>
          <w:sz w:val="24"/>
          <w:szCs w:val="24"/>
        </w:rPr>
      </w:pPr>
      <w:r>
        <w:rPr>
          <w:rFonts w:ascii="Times New Roman" w:hAnsi="Times New Roman"/>
          <w:sz w:val="24"/>
          <w:szCs w:val="24"/>
        </w:rPr>
        <w:tab/>
        <w:t xml:space="preserve">Feitas tais qualificações, as diferenças regionais </w:t>
      </w:r>
      <w:r w:rsidR="004B5029">
        <w:rPr>
          <w:rFonts w:ascii="Times New Roman" w:hAnsi="Times New Roman"/>
          <w:sz w:val="24"/>
          <w:szCs w:val="24"/>
        </w:rPr>
        <w:t xml:space="preserve">constatadas </w:t>
      </w:r>
      <w:r>
        <w:rPr>
          <w:rFonts w:ascii="Times New Roman" w:hAnsi="Times New Roman"/>
          <w:sz w:val="24"/>
          <w:szCs w:val="24"/>
        </w:rPr>
        <w:t>no país quanto ao</w:t>
      </w:r>
      <w:r w:rsidR="004B5029">
        <w:rPr>
          <w:rFonts w:ascii="Times New Roman" w:hAnsi="Times New Roman"/>
          <w:sz w:val="24"/>
          <w:szCs w:val="24"/>
        </w:rPr>
        <w:t>s</w:t>
      </w:r>
      <w:r>
        <w:rPr>
          <w:rFonts w:ascii="Times New Roman" w:hAnsi="Times New Roman"/>
          <w:sz w:val="24"/>
          <w:szCs w:val="24"/>
        </w:rPr>
        <w:t xml:space="preserve"> níveis e evolução </w:t>
      </w:r>
      <w:r w:rsidR="004B5029">
        <w:rPr>
          <w:rFonts w:ascii="Times New Roman" w:hAnsi="Times New Roman"/>
          <w:sz w:val="24"/>
          <w:szCs w:val="24"/>
        </w:rPr>
        <w:t xml:space="preserve">da </w:t>
      </w:r>
      <w:r>
        <w:rPr>
          <w:rFonts w:ascii="Times New Roman" w:hAnsi="Times New Roman"/>
          <w:sz w:val="24"/>
          <w:szCs w:val="24"/>
        </w:rPr>
        <w:t>importância das diferentes fontes de rendas</w:t>
      </w:r>
      <w:r w:rsidR="004B5029">
        <w:rPr>
          <w:rFonts w:ascii="Times New Roman" w:hAnsi="Times New Roman"/>
          <w:sz w:val="24"/>
          <w:szCs w:val="24"/>
        </w:rPr>
        <w:t xml:space="preserve"> para a renda total </w:t>
      </w:r>
      <w:r w:rsidR="004B5029">
        <w:rPr>
          <w:rFonts w:ascii="Times New Roman" w:hAnsi="Times New Roman"/>
          <w:i/>
          <w:sz w:val="24"/>
          <w:szCs w:val="24"/>
        </w:rPr>
        <w:t xml:space="preserve">per capita </w:t>
      </w:r>
      <w:r w:rsidR="004B5029">
        <w:rPr>
          <w:rFonts w:ascii="Times New Roman" w:hAnsi="Times New Roman"/>
          <w:sz w:val="24"/>
          <w:szCs w:val="24"/>
        </w:rPr>
        <w:t xml:space="preserve">dos estados brasileiros são </w:t>
      </w:r>
      <w:r w:rsidR="00A01A77">
        <w:rPr>
          <w:rFonts w:ascii="Times New Roman" w:hAnsi="Times New Roman"/>
          <w:sz w:val="24"/>
          <w:szCs w:val="24"/>
        </w:rPr>
        <w:t>dignas de nota</w:t>
      </w:r>
      <w:r w:rsidR="004B5029">
        <w:rPr>
          <w:rFonts w:ascii="Times New Roman" w:hAnsi="Times New Roman"/>
          <w:sz w:val="24"/>
          <w:szCs w:val="24"/>
        </w:rPr>
        <w:t>.</w:t>
      </w:r>
      <w:r w:rsidR="007A1FD5">
        <w:rPr>
          <w:rFonts w:ascii="Times New Roman" w:hAnsi="Times New Roman"/>
          <w:sz w:val="24"/>
          <w:szCs w:val="24"/>
        </w:rPr>
        <w:t xml:space="preserve"> </w:t>
      </w:r>
      <w:r w:rsidR="00A01A77">
        <w:rPr>
          <w:rFonts w:ascii="Times New Roman" w:hAnsi="Times New Roman"/>
          <w:sz w:val="24"/>
          <w:szCs w:val="24"/>
        </w:rPr>
        <w:t>Neste sentido, a</w:t>
      </w:r>
      <w:r w:rsidR="007A1FD5">
        <w:rPr>
          <w:rFonts w:ascii="Times New Roman" w:hAnsi="Times New Roman"/>
          <w:sz w:val="24"/>
          <w:szCs w:val="24"/>
        </w:rPr>
        <w:t xml:space="preserve"> tabela 1, a seguir, apresenta por região, para o ano de 2006, a</w:t>
      </w:r>
      <w:r w:rsidR="00E51E29">
        <w:rPr>
          <w:rFonts w:ascii="Times New Roman" w:hAnsi="Times New Roman"/>
          <w:sz w:val="24"/>
          <w:szCs w:val="24"/>
        </w:rPr>
        <w:t>s</w:t>
      </w:r>
      <w:r w:rsidR="007A1FD5">
        <w:rPr>
          <w:rFonts w:ascii="Times New Roman" w:hAnsi="Times New Roman"/>
          <w:sz w:val="24"/>
          <w:szCs w:val="24"/>
        </w:rPr>
        <w:t xml:space="preserve"> média</w:t>
      </w:r>
      <w:r w:rsidR="00E51E29">
        <w:rPr>
          <w:rFonts w:ascii="Times New Roman" w:hAnsi="Times New Roman"/>
          <w:sz w:val="24"/>
          <w:szCs w:val="24"/>
        </w:rPr>
        <w:t>s regionais</w:t>
      </w:r>
      <w:r w:rsidR="007A1FD5">
        <w:rPr>
          <w:rFonts w:ascii="Times New Roman" w:hAnsi="Times New Roman"/>
          <w:sz w:val="24"/>
          <w:szCs w:val="24"/>
        </w:rPr>
        <w:t xml:space="preserve"> das participações </w:t>
      </w:r>
      <w:r w:rsidR="00E51E29">
        <w:rPr>
          <w:rFonts w:ascii="Times New Roman" w:hAnsi="Times New Roman"/>
          <w:sz w:val="24"/>
          <w:szCs w:val="24"/>
        </w:rPr>
        <w:t>das diferentes fontes de renda n</w:t>
      </w:r>
      <w:r w:rsidR="007A1FD5">
        <w:rPr>
          <w:rFonts w:ascii="Times New Roman" w:hAnsi="Times New Roman"/>
          <w:sz w:val="24"/>
          <w:szCs w:val="24"/>
        </w:rPr>
        <w:t>os estados.</w:t>
      </w:r>
    </w:p>
    <w:p w:rsidR="0096454F" w:rsidRDefault="0096454F" w:rsidP="00105936">
      <w:pPr>
        <w:spacing w:after="0" w:line="240" w:lineRule="auto"/>
        <w:jc w:val="both"/>
        <w:rPr>
          <w:rFonts w:ascii="Times New Roman" w:hAnsi="Times New Roman"/>
          <w:b/>
          <w:sz w:val="20"/>
          <w:szCs w:val="24"/>
        </w:rPr>
      </w:pPr>
    </w:p>
    <w:p w:rsidR="007A1FD5" w:rsidRPr="00973477" w:rsidRDefault="007A1FD5" w:rsidP="00105936">
      <w:pPr>
        <w:spacing w:after="0" w:line="240" w:lineRule="auto"/>
        <w:jc w:val="both"/>
        <w:rPr>
          <w:rFonts w:ascii="Times New Roman" w:hAnsi="Times New Roman"/>
          <w:b/>
          <w:sz w:val="24"/>
          <w:szCs w:val="24"/>
        </w:rPr>
      </w:pPr>
      <w:r w:rsidRPr="00973477">
        <w:rPr>
          <w:rFonts w:ascii="Times New Roman" w:hAnsi="Times New Roman"/>
          <w:b/>
          <w:sz w:val="24"/>
          <w:szCs w:val="24"/>
        </w:rPr>
        <w:t>Tabela 1 – Participação das fontes de renda do total da renda</w:t>
      </w:r>
      <w:r w:rsidR="0001619E" w:rsidRPr="00973477">
        <w:rPr>
          <w:rFonts w:ascii="Times New Roman" w:hAnsi="Times New Roman"/>
          <w:b/>
          <w:sz w:val="24"/>
          <w:szCs w:val="24"/>
        </w:rPr>
        <w:t xml:space="preserve"> mensal</w:t>
      </w:r>
      <w:r w:rsidRPr="00973477">
        <w:rPr>
          <w:rFonts w:ascii="Times New Roman" w:hAnsi="Times New Roman"/>
          <w:b/>
          <w:sz w:val="24"/>
          <w:szCs w:val="24"/>
        </w:rPr>
        <w:t xml:space="preserve"> </w:t>
      </w:r>
      <w:r w:rsidRPr="00973477">
        <w:rPr>
          <w:rFonts w:ascii="Times New Roman" w:hAnsi="Times New Roman"/>
          <w:b/>
          <w:i/>
          <w:sz w:val="24"/>
          <w:szCs w:val="24"/>
        </w:rPr>
        <w:t>per capita</w:t>
      </w:r>
      <w:r w:rsidRPr="00973477">
        <w:rPr>
          <w:rFonts w:ascii="Times New Roman" w:hAnsi="Times New Roman"/>
          <w:b/>
          <w:sz w:val="24"/>
          <w:szCs w:val="24"/>
        </w:rPr>
        <w:t xml:space="preserve"> </w:t>
      </w:r>
      <w:r w:rsidR="00A97297" w:rsidRPr="00973477">
        <w:rPr>
          <w:rFonts w:ascii="Times New Roman" w:hAnsi="Times New Roman"/>
          <w:b/>
          <w:sz w:val="24"/>
          <w:szCs w:val="24"/>
        </w:rPr>
        <w:t>–</w:t>
      </w:r>
      <w:r w:rsidRPr="00973477">
        <w:rPr>
          <w:rFonts w:ascii="Times New Roman" w:hAnsi="Times New Roman"/>
          <w:b/>
          <w:sz w:val="24"/>
          <w:szCs w:val="24"/>
        </w:rPr>
        <w:t xml:space="preserve"> </w:t>
      </w:r>
      <w:r w:rsidR="00A97297" w:rsidRPr="00973477">
        <w:rPr>
          <w:rFonts w:ascii="Times New Roman" w:hAnsi="Times New Roman"/>
          <w:b/>
          <w:sz w:val="24"/>
          <w:szCs w:val="24"/>
        </w:rPr>
        <w:t xml:space="preserve">média dos estados da região – </w:t>
      </w:r>
      <w:r w:rsidRPr="00973477">
        <w:rPr>
          <w:rFonts w:ascii="Times New Roman" w:hAnsi="Times New Roman"/>
          <w:b/>
          <w:sz w:val="24"/>
          <w:szCs w:val="24"/>
        </w:rPr>
        <w:t>2006</w:t>
      </w:r>
      <w:r w:rsidR="00A97297" w:rsidRPr="00973477">
        <w:rPr>
          <w:rFonts w:ascii="Times New Roman" w:hAnsi="Times New Roman"/>
          <w:b/>
          <w:sz w:val="24"/>
          <w:szCs w:val="24"/>
        </w:rPr>
        <w:t xml:space="preserv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559"/>
        <w:gridCol w:w="1418"/>
        <w:gridCol w:w="1134"/>
        <w:gridCol w:w="1417"/>
        <w:gridCol w:w="1843"/>
      </w:tblGrid>
      <w:tr w:rsidR="007A1FD5" w:rsidRPr="00973477" w:rsidTr="00621C12">
        <w:tc>
          <w:tcPr>
            <w:tcW w:w="3085" w:type="dxa"/>
            <w:tcBorders>
              <w:left w:val="nil"/>
              <w:bottom w:val="nil"/>
            </w:tcBorders>
          </w:tcPr>
          <w:p w:rsidR="007A1FD5" w:rsidRPr="00973477" w:rsidRDefault="007A1FD5" w:rsidP="00E82DC1">
            <w:pPr>
              <w:spacing w:after="0" w:line="240" w:lineRule="auto"/>
              <w:rPr>
                <w:rFonts w:ascii="Times New Roman" w:hAnsi="Times New Roman"/>
                <w:b/>
                <w:sz w:val="24"/>
                <w:szCs w:val="24"/>
              </w:rPr>
            </w:pPr>
          </w:p>
        </w:tc>
        <w:tc>
          <w:tcPr>
            <w:tcW w:w="1559" w:type="dxa"/>
            <w:tcBorders>
              <w:bottom w:val="nil"/>
            </w:tcBorders>
            <w:vAlign w:val="bottom"/>
          </w:tcPr>
          <w:p w:rsidR="007A1FD5" w:rsidRPr="00973477" w:rsidRDefault="007A1FD5" w:rsidP="00E82DC1">
            <w:pPr>
              <w:spacing w:after="0" w:line="240" w:lineRule="auto"/>
              <w:jc w:val="center"/>
              <w:rPr>
                <w:rFonts w:ascii="Times New Roman" w:hAnsi="Times New Roman"/>
                <w:b/>
                <w:color w:val="000000"/>
                <w:sz w:val="24"/>
                <w:szCs w:val="24"/>
              </w:rPr>
            </w:pPr>
            <w:r w:rsidRPr="00973477">
              <w:rPr>
                <w:rFonts w:ascii="Times New Roman" w:hAnsi="Times New Roman"/>
                <w:b/>
                <w:color w:val="000000"/>
                <w:sz w:val="24"/>
                <w:szCs w:val="24"/>
              </w:rPr>
              <w:t>NO</w:t>
            </w:r>
          </w:p>
        </w:tc>
        <w:tc>
          <w:tcPr>
            <w:tcW w:w="1418" w:type="dxa"/>
            <w:tcBorders>
              <w:bottom w:val="nil"/>
            </w:tcBorders>
          </w:tcPr>
          <w:p w:rsidR="007A1FD5" w:rsidRPr="00973477" w:rsidRDefault="007A1FD5" w:rsidP="00E82DC1">
            <w:pPr>
              <w:spacing w:after="0" w:line="240" w:lineRule="auto"/>
              <w:jc w:val="center"/>
              <w:rPr>
                <w:rFonts w:ascii="Times New Roman" w:hAnsi="Times New Roman"/>
                <w:b/>
                <w:color w:val="000000"/>
                <w:sz w:val="24"/>
                <w:szCs w:val="24"/>
              </w:rPr>
            </w:pPr>
            <w:r w:rsidRPr="00973477">
              <w:rPr>
                <w:rFonts w:ascii="Times New Roman" w:hAnsi="Times New Roman"/>
                <w:b/>
                <w:color w:val="000000"/>
                <w:sz w:val="24"/>
                <w:szCs w:val="24"/>
              </w:rPr>
              <w:t>NE</w:t>
            </w:r>
          </w:p>
        </w:tc>
        <w:tc>
          <w:tcPr>
            <w:tcW w:w="1134" w:type="dxa"/>
            <w:tcBorders>
              <w:bottom w:val="nil"/>
            </w:tcBorders>
            <w:vAlign w:val="bottom"/>
          </w:tcPr>
          <w:p w:rsidR="007A1FD5" w:rsidRPr="00973477" w:rsidRDefault="007A1FD5" w:rsidP="00E82DC1">
            <w:pPr>
              <w:spacing w:after="0" w:line="240" w:lineRule="auto"/>
              <w:jc w:val="center"/>
              <w:rPr>
                <w:rFonts w:ascii="Times New Roman" w:hAnsi="Times New Roman"/>
                <w:b/>
                <w:color w:val="000000"/>
                <w:sz w:val="24"/>
                <w:szCs w:val="24"/>
              </w:rPr>
            </w:pPr>
            <w:r w:rsidRPr="00973477">
              <w:rPr>
                <w:rFonts w:ascii="Times New Roman" w:hAnsi="Times New Roman"/>
                <w:b/>
                <w:color w:val="000000"/>
                <w:sz w:val="24"/>
                <w:szCs w:val="24"/>
              </w:rPr>
              <w:t>SE</w:t>
            </w:r>
          </w:p>
        </w:tc>
        <w:tc>
          <w:tcPr>
            <w:tcW w:w="1417" w:type="dxa"/>
            <w:tcBorders>
              <w:bottom w:val="nil"/>
              <w:right w:val="nil"/>
            </w:tcBorders>
          </w:tcPr>
          <w:p w:rsidR="007A1FD5" w:rsidRPr="00973477" w:rsidRDefault="007A1FD5" w:rsidP="00E82DC1">
            <w:pPr>
              <w:spacing w:after="0" w:line="240" w:lineRule="auto"/>
              <w:jc w:val="center"/>
              <w:rPr>
                <w:rFonts w:ascii="Times New Roman" w:hAnsi="Times New Roman"/>
                <w:b/>
                <w:color w:val="000000"/>
                <w:sz w:val="24"/>
                <w:szCs w:val="24"/>
              </w:rPr>
            </w:pPr>
            <w:r w:rsidRPr="00973477">
              <w:rPr>
                <w:rFonts w:ascii="Times New Roman" w:hAnsi="Times New Roman"/>
                <w:b/>
                <w:color w:val="000000"/>
                <w:sz w:val="24"/>
                <w:szCs w:val="24"/>
              </w:rPr>
              <w:t>Sul</w:t>
            </w:r>
          </w:p>
        </w:tc>
        <w:tc>
          <w:tcPr>
            <w:tcW w:w="1843" w:type="dxa"/>
            <w:tcBorders>
              <w:bottom w:val="nil"/>
              <w:right w:val="nil"/>
            </w:tcBorders>
          </w:tcPr>
          <w:p w:rsidR="007A1FD5" w:rsidRPr="00973477" w:rsidRDefault="007A1FD5" w:rsidP="00E82DC1">
            <w:pPr>
              <w:spacing w:after="0" w:line="240" w:lineRule="auto"/>
              <w:jc w:val="center"/>
              <w:rPr>
                <w:rFonts w:ascii="Times New Roman" w:hAnsi="Times New Roman"/>
                <w:b/>
                <w:color w:val="000000"/>
                <w:sz w:val="24"/>
                <w:szCs w:val="24"/>
              </w:rPr>
            </w:pPr>
            <w:r w:rsidRPr="00973477">
              <w:rPr>
                <w:rFonts w:ascii="Times New Roman" w:hAnsi="Times New Roman"/>
                <w:b/>
                <w:color w:val="000000"/>
                <w:sz w:val="24"/>
                <w:szCs w:val="24"/>
              </w:rPr>
              <w:t>CO</w:t>
            </w:r>
          </w:p>
        </w:tc>
      </w:tr>
      <w:tr w:rsidR="007A1FD5" w:rsidRPr="00973477" w:rsidTr="00621C12">
        <w:trPr>
          <w:trHeight w:val="111"/>
        </w:trPr>
        <w:tc>
          <w:tcPr>
            <w:tcW w:w="3085" w:type="dxa"/>
            <w:tcBorders>
              <w:left w:val="nil"/>
              <w:bottom w:val="nil"/>
            </w:tcBorders>
          </w:tcPr>
          <w:p w:rsidR="007A1FD5" w:rsidRPr="00973477" w:rsidRDefault="007A1FD5"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Agricultura</w:t>
            </w:r>
          </w:p>
        </w:tc>
        <w:tc>
          <w:tcPr>
            <w:tcW w:w="1559" w:type="dxa"/>
            <w:tcBorders>
              <w:bottom w:val="nil"/>
            </w:tcBorders>
            <w:vAlign w:val="bottom"/>
          </w:tcPr>
          <w:p w:rsidR="007A1FD5" w:rsidRPr="00973477" w:rsidRDefault="007A1FD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4,5</w:t>
            </w:r>
          </w:p>
        </w:tc>
        <w:tc>
          <w:tcPr>
            <w:tcW w:w="1418" w:type="dxa"/>
            <w:tcBorders>
              <w:bottom w:val="nil"/>
            </w:tcBorders>
            <w:vAlign w:val="bottom"/>
          </w:tcPr>
          <w:p w:rsidR="007A1FD5" w:rsidRPr="00973477" w:rsidRDefault="007A1FD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6,9</w:t>
            </w:r>
          </w:p>
        </w:tc>
        <w:tc>
          <w:tcPr>
            <w:tcW w:w="1134" w:type="dxa"/>
            <w:tcBorders>
              <w:bottom w:val="nil"/>
            </w:tcBorders>
            <w:vAlign w:val="bottom"/>
          </w:tcPr>
          <w:p w:rsidR="007A1FD5" w:rsidRPr="00973477" w:rsidRDefault="007A1FD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4,2</w:t>
            </w:r>
          </w:p>
        </w:tc>
        <w:tc>
          <w:tcPr>
            <w:tcW w:w="1417" w:type="dxa"/>
            <w:tcBorders>
              <w:bottom w:val="nil"/>
              <w:right w:val="nil"/>
            </w:tcBorders>
            <w:vAlign w:val="bottom"/>
          </w:tcPr>
          <w:p w:rsidR="007A1FD5" w:rsidRPr="00973477" w:rsidRDefault="007A1FD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7,4</w:t>
            </w:r>
          </w:p>
        </w:tc>
        <w:tc>
          <w:tcPr>
            <w:tcW w:w="1843" w:type="dxa"/>
            <w:tcBorders>
              <w:bottom w:val="nil"/>
              <w:right w:val="nil"/>
            </w:tcBorders>
          </w:tcPr>
          <w:p w:rsidR="007A1FD5" w:rsidRPr="00973477" w:rsidRDefault="007A1FD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9,9</w:t>
            </w:r>
          </w:p>
        </w:tc>
      </w:tr>
      <w:tr w:rsidR="007A1FD5" w:rsidRPr="00973477" w:rsidTr="00621C12">
        <w:tc>
          <w:tcPr>
            <w:tcW w:w="3085" w:type="dxa"/>
            <w:tcBorders>
              <w:top w:val="nil"/>
              <w:left w:val="nil"/>
              <w:bottom w:val="nil"/>
            </w:tcBorders>
          </w:tcPr>
          <w:p w:rsidR="007A1FD5" w:rsidRPr="00973477" w:rsidRDefault="007A1FD5"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Indústria</w:t>
            </w:r>
          </w:p>
        </w:tc>
        <w:tc>
          <w:tcPr>
            <w:tcW w:w="1559"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14,8</w:t>
            </w:r>
          </w:p>
        </w:tc>
        <w:tc>
          <w:tcPr>
            <w:tcW w:w="1418"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12,3</w:t>
            </w:r>
          </w:p>
        </w:tc>
        <w:tc>
          <w:tcPr>
            <w:tcW w:w="1134"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17,8</w:t>
            </w:r>
          </w:p>
        </w:tc>
        <w:tc>
          <w:tcPr>
            <w:tcW w:w="1417" w:type="dxa"/>
            <w:tcBorders>
              <w:top w:val="nil"/>
              <w:bottom w:val="nil"/>
              <w:right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18,3</w:t>
            </w:r>
          </w:p>
        </w:tc>
        <w:tc>
          <w:tcPr>
            <w:tcW w:w="1843" w:type="dxa"/>
            <w:tcBorders>
              <w:top w:val="nil"/>
              <w:bottom w:val="nil"/>
              <w:right w:val="nil"/>
            </w:tcBorders>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12,1</w:t>
            </w:r>
          </w:p>
        </w:tc>
      </w:tr>
      <w:tr w:rsidR="007A1FD5" w:rsidRPr="00973477" w:rsidTr="00621C12">
        <w:tc>
          <w:tcPr>
            <w:tcW w:w="3085" w:type="dxa"/>
            <w:tcBorders>
              <w:top w:val="nil"/>
              <w:left w:val="nil"/>
              <w:bottom w:val="nil"/>
            </w:tcBorders>
          </w:tcPr>
          <w:p w:rsidR="007A1FD5" w:rsidRPr="00973477" w:rsidRDefault="007A1FD5" w:rsidP="00E82DC1">
            <w:pPr>
              <w:spacing w:after="0" w:line="240" w:lineRule="auto"/>
              <w:rPr>
                <w:rFonts w:ascii="Times New Roman" w:hAnsi="Times New Roman"/>
                <w:b/>
                <w:sz w:val="24"/>
                <w:szCs w:val="24"/>
              </w:rPr>
            </w:pPr>
            <w:r w:rsidRPr="00973477">
              <w:rPr>
                <w:rFonts w:ascii="Times New Roman" w:hAnsi="Times New Roman"/>
                <w:b/>
                <w:sz w:val="24"/>
                <w:szCs w:val="24"/>
              </w:rPr>
              <w:t>R. Trabalho dos Serviços</w:t>
            </w:r>
          </w:p>
        </w:tc>
        <w:tc>
          <w:tcPr>
            <w:tcW w:w="1559"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46,2</w:t>
            </w:r>
          </w:p>
        </w:tc>
        <w:tc>
          <w:tcPr>
            <w:tcW w:w="1418"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42,1</w:t>
            </w:r>
          </w:p>
        </w:tc>
        <w:tc>
          <w:tcPr>
            <w:tcW w:w="1134"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45,5</w:t>
            </w:r>
          </w:p>
        </w:tc>
        <w:tc>
          <w:tcPr>
            <w:tcW w:w="1417" w:type="dxa"/>
            <w:tcBorders>
              <w:top w:val="nil"/>
              <w:bottom w:val="nil"/>
              <w:right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44,3</w:t>
            </w:r>
          </w:p>
        </w:tc>
        <w:tc>
          <w:tcPr>
            <w:tcW w:w="1843" w:type="dxa"/>
            <w:tcBorders>
              <w:top w:val="nil"/>
              <w:bottom w:val="nil"/>
              <w:right w:val="nil"/>
            </w:tcBorders>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46,0</w:t>
            </w:r>
          </w:p>
        </w:tc>
      </w:tr>
      <w:tr w:rsidR="007A1FD5" w:rsidRPr="00973477" w:rsidTr="00621C12">
        <w:tc>
          <w:tcPr>
            <w:tcW w:w="3085" w:type="dxa"/>
            <w:tcBorders>
              <w:top w:val="nil"/>
              <w:left w:val="nil"/>
              <w:bottom w:val="nil"/>
            </w:tcBorders>
          </w:tcPr>
          <w:p w:rsidR="007A1FD5" w:rsidRPr="00973477" w:rsidRDefault="007A1FD5"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Ad. Pública</w:t>
            </w:r>
          </w:p>
        </w:tc>
        <w:tc>
          <w:tcPr>
            <w:tcW w:w="1559"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17,5</w:t>
            </w:r>
          </w:p>
        </w:tc>
        <w:tc>
          <w:tcPr>
            <w:tcW w:w="1418"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10,0</w:t>
            </w:r>
          </w:p>
        </w:tc>
        <w:tc>
          <w:tcPr>
            <w:tcW w:w="1134"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7,0</w:t>
            </w:r>
          </w:p>
        </w:tc>
        <w:tc>
          <w:tcPr>
            <w:tcW w:w="1417" w:type="dxa"/>
            <w:tcBorders>
              <w:top w:val="nil"/>
              <w:bottom w:val="nil"/>
              <w:right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6,1</w:t>
            </w:r>
          </w:p>
        </w:tc>
        <w:tc>
          <w:tcPr>
            <w:tcW w:w="1843" w:type="dxa"/>
            <w:tcBorders>
              <w:top w:val="nil"/>
              <w:bottom w:val="nil"/>
              <w:right w:val="nil"/>
            </w:tcBorders>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12,7</w:t>
            </w:r>
          </w:p>
        </w:tc>
      </w:tr>
      <w:tr w:rsidR="007A1FD5" w:rsidRPr="00973477" w:rsidTr="00621C12">
        <w:tc>
          <w:tcPr>
            <w:tcW w:w="3085" w:type="dxa"/>
            <w:tcBorders>
              <w:top w:val="nil"/>
              <w:left w:val="nil"/>
              <w:bottom w:val="nil"/>
            </w:tcBorders>
          </w:tcPr>
          <w:p w:rsidR="007A1FD5" w:rsidRPr="00973477" w:rsidRDefault="007A1FD5" w:rsidP="00E82DC1">
            <w:pPr>
              <w:spacing w:after="0" w:line="240" w:lineRule="auto"/>
              <w:rPr>
                <w:rFonts w:ascii="Times New Roman" w:hAnsi="Times New Roman"/>
                <w:b/>
                <w:sz w:val="24"/>
                <w:szCs w:val="24"/>
              </w:rPr>
            </w:pPr>
            <w:r w:rsidRPr="00973477">
              <w:rPr>
                <w:rFonts w:ascii="Times New Roman" w:hAnsi="Times New Roman"/>
                <w:b/>
                <w:sz w:val="24"/>
                <w:szCs w:val="24"/>
              </w:rPr>
              <w:t>Aposentadorias e Pensões</w:t>
            </w:r>
          </w:p>
        </w:tc>
        <w:tc>
          <w:tcPr>
            <w:tcW w:w="1559"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11,6</w:t>
            </w:r>
          </w:p>
        </w:tc>
        <w:tc>
          <w:tcPr>
            <w:tcW w:w="1418"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22,5</w:t>
            </w:r>
          </w:p>
        </w:tc>
        <w:tc>
          <w:tcPr>
            <w:tcW w:w="1134"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21,3</w:t>
            </w:r>
          </w:p>
        </w:tc>
        <w:tc>
          <w:tcPr>
            <w:tcW w:w="1417" w:type="dxa"/>
            <w:tcBorders>
              <w:top w:val="nil"/>
              <w:bottom w:val="nil"/>
              <w:right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19,0</w:t>
            </w:r>
          </w:p>
        </w:tc>
        <w:tc>
          <w:tcPr>
            <w:tcW w:w="1843" w:type="dxa"/>
            <w:tcBorders>
              <w:top w:val="nil"/>
              <w:bottom w:val="nil"/>
              <w:right w:val="nil"/>
            </w:tcBorders>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14,1</w:t>
            </w:r>
          </w:p>
        </w:tc>
      </w:tr>
      <w:tr w:rsidR="007A1FD5" w:rsidRPr="00973477" w:rsidTr="00621C12">
        <w:tc>
          <w:tcPr>
            <w:tcW w:w="3085" w:type="dxa"/>
            <w:tcBorders>
              <w:top w:val="nil"/>
              <w:left w:val="nil"/>
              <w:bottom w:val="nil"/>
            </w:tcBorders>
          </w:tcPr>
          <w:p w:rsidR="007A1FD5" w:rsidRPr="00973477" w:rsidRDefault="007A1FD5" w:rsidP="00E82DC1">
            <w:pPr>
              <w:spacing w:after="0" w:line="240" w:lineRule="auto"/>
              <w:rPr>
                <w:rFonts w:ascii="Times New Roman" w:hAnsi="Times New Roman"/>
                <w:b/>
                <w:sz w:val="24"/>
                <w:szCs w:val="24"/>
              </w:rPr>
            </w:pPr>
            <w:r w:rsidRPr="00973477">
              <w:rPr>
                <w:rFonts w:ascii="Times New Roman" w:hAnsi="Times New Roman"/>
                <w:b/>
                <w:sz w:val="24"/>
                <w:szCs w:val="24"/>
              </w:rPr>
              <w:t>Aluguéis e donativos</w:t>
            </w:r>
          </w:p>
        </w:tc>
        <w:tc>
          <w:tcPr>
            <w:tcW w:w="1559"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0,6</w:t>
            </w:r>
          </w:p>
        </w:tc>
        <w:tc>
          <w:tcPr>
            <w:tcW w:w="1418"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0,7</w:t>
            </w:r>
          </w:p>
        </w:tc>
        <w:tc>
          <w:tcPr>
            <w:tcW w:w="1134"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w:t>
            </w:r>
          </w:p>
        </w:tc>
        <w:tc>
          <w:tcPr>
            <w:tcW w:w="1417" w:type="dxa"/>
            <w:tcBorders>
              <w:top w:val="nil"/>
              <w:bottom w:val="nil"/>
              <w:right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1,4</w:t>
            </w:r>
          </w:p>
        </w:tc>
        <w:tc>
          <w:tcPr>
            <w:tcW w:w="1843" w:type="dxa"/>
            <w:tcBorders>
              <w:top w:val="nil"/>
              <w:bottom w:val="nil"/>
              <w:right w:val="nil"/>
            </w:tcBorders>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0,7</w:t>
            </w:r>
          </w:p>
        </w:tc>
      </w:tr>
      <w:tr w:rsidR="007A1FD5" w:rsidRPr="00973477" w:rsidTr="00621C12">
        <w:tc>
          <w:tcPr>
            <w:tcW w:w="3085" w:type="dxa"/>
            <w:tcBorders>
              <w:top w:val="nil"/>
              <w:left w:val="nil"/>
              <w:bottom w:val="nil"/>
            </w:tcBorders>
          </w:tcPr>
          <w:p w:rsidR="007A1FD5" w:rsidRPr="00973477" w:rsidRDefault="007A1FD5" w:rsidP="00E82DC1">
            <w:pPr>
              <w:spacing w:after="0" w:line="240" w:lineRule="auto"/>
              <w:rPr>
                <w:rFonts w:ascii="Times New Roman" w:hAnsi="Times New Roman"/>
                <w:b/>
                <w:sz w:val="24"/>
                <w:szCs w:val="24"/>
              </w:rPr>
            </w:pPr>
            <w:r w:rsidRPr="00973477">
              <w:rPr>
                <w:rFonts w:ascii="Times New Roman" w:hAnsi="Times New Roman"/>
                <w:b/>
                <w:sz w:val="24"/>
                <w:szCs w:val="24"/>
              </w:rPr>
              <w:t>Renda do Capital</w:t>
            </w:r>
          </w:p>
        </w:tc>
        <w:tc>
          <w:tcPr>
            <w:tcW w:w="1559"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2,5</w:t>
            </w:r>
          </w:p>
        </w:tc>
        <w:tc>
          <w:tcPr>
            <w:tcW w:w="1418"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2,1</w:t>
            </w:r>
          </w:p>
        </w:tc>
        <w:tc>
          <w:tcPr>
            <w:tcW w:w="1134"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2,4</w:t>
            </w:r>
          </w:p>
        </w:tc>
        <w:tc>
          <w:tcPr>
            <w:tcW w:w="1417" w:type="dxa"/>
            <w:tcBorders>
              <w:top w:val="nil"/>
              <w:bottom w:val="nil"/>
              <w:right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2,8</w:t>
            </w:r>
          </w:p>
        </w:tc>
        <w:tc>
          <w:tcPr>
            <w:tcW w:w="1843" w:type="dxa"/>
            <w:tcBorders>
              <w:top w:val="nil"/>
              <w:bottom w:val="nil"/>
              <w:right w:val="nil"/>
            </w:tcBorders>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2,9</w:t>
            </w:r>
          </w:p>
        </w:tc>
      </w:tr>
      <w:tr w:rsidR="007A1FD5" w:rsidRPr="00973477" w:rsidTr="00621C12">
        <w:tc>
          <w:tcPr>
            <w:tcW w:w="3085" w:type="dxa"/>
            <w:tcBorders>
              <w:top w:val="nil"/>
              <w:left w:val="nil"/>
              <w:bottom w:val="nil"/>
            </w:tcBorders>
          </w:tcPr>
          <w:p w:rsidR="007A1FD5" w:rsidRPr="00973477" w:rsidRDefault="007A1FD5" w:rsidP="00E82DC1">
            <w:pPr>
              <w:spacing w:after="0" w:line="240" w:lineRule="auto"/>
              <w:rPr>
                <w:rFonts w:ascii="Times New Roman" w:hAnsi="Times New Roman"/>
                <w:b/>
                <w:sz w:val="24"/>
                <w:szCs w:val="24"/>
              </w:rPr>
            </w:pPr>
            <w:r w:rsidRPr="00973477">
              <w:rPr>
                <w:rFonts w:ascii="Times New Roman" w:hAnsi="Times New Roman"/>
                <w:b/>
                <w:sz w:val="24"/>
                <w:szCs w:val="24"/>
              </w:rPr>
              <w:t>Bolsa Família</w:t>
            </w:r>
          </w:p>
        </w:tc>
        <w:tc>
          <w:tcPr>
            <w:tcW w:w="1559"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1,2</w:t>
            </w:r>
          </w:p>
        </w:tc>
        <w:tc>
          <w:tcPr>
            <w:tcW w:w="1418"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2,1</w:t>
            </w:r>
          </w:p>
        </w:tc>
        <w:tc>
          <w:tcPr>
            <w:tcW w:w="1134" w:type="dxa"/>
            <w:tcBorders>
              <w:top w:val="nil"/>
              <w:bottom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0,4</w:t>
            </w:r>
          </w:p>
        </w:tc>
        <w:tc>
          <w:tcPr>
            <w:tcW w:w="1417" w:type="dxa"/>
            <w:tcBorders>
              <w:top w:val="nil"/>
              <w:bottom w:val="nil"/>
              <w:right w:val="nil"/>
            </w:tcBorders>
            <w:vAlign w:val="bottom"/>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0,3</w:t>
            </w:r>
          </w:p>
        </w:tc>
        <w:tc>
          <w:tcPr>
            <w:tcW w:w="1843" w:type="dxa"/>
            <w:tcBorders>
              <w:top w:val="nil"/>
              <w:bottom w:val="nil"/>
              <w:right w:val="nil"/>
            </w:tcBorders>
          </w:tcPr>
          <w:p w:rsidR="007A1FD5" w:rsidRPr="00973477" w:rsidRDefault="00A9729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0,7</w:t>
            </w:r>
          </w:p>
        </w:tc>
      </w:tr>
      <w:tr w:rsidR="007A1FD5" w:rsidRPr="00973477" w:rsidTr="00621C12">
        <w:tc>
          <w:tcPr>
            <w:tcW w:w="3085" w:type="dxa"/>
            <w:tcBorders>
              <w:top w:val="nil"/>
              <w:left w:val="nil"/>
            </w:tcBorders>
          </w:tcPr>
          <w:p w:rsidR="007A1FD5" w:rsidRPr="00973477" w:rsidRDefault="007A1FD5" w:rsidP="00E82DC1">
            <w:pPr>
              <w:spacing w:after="0" w:line="240" w:lineRule="auto"/>
              <w:rPr>
                <w:rFonts w:ascii="Times New Roman" w:hAnsi="Times New Roman"/>
                <w:b/>
                <w:sz w:val="24"/>
                <w:szCs w:val="24"/>
              </w:rPr>
            </w:pPr>
            <w:r w:rsidRPr="00973477">
              <w:rPr>
                <w:rFonts w:ascii="Times New Roman" w:hAnsi="Times New Roman"/>
                <w:b/>
                <w:sz w:val="24"/>
                <w:szCs w:val="24"/>
              </w:rPr>
              <w:t>BPC</w:t>
            </w:r>
          </w:p>
        </w:tc>
        <w:tc>
          <w:tcPr>
            <w:tcW w:w="1559" w:type="dxa"/>
            <w:tcBorders>
              <w:top w:val="nil"/>
            </w:tcBorders>
            <w:vAlign w:val="bottom"/>
          </w:tcPr>
          <w:p w:rsidR="007A1FD5" w:rsidRPr="00973477" w:rsidRDefault="00105936"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w:t>
            </w:r>
          </w:p>
        </w:tc>
        <w:tc>
          <w:tcPr>
            <w:tcW w:w="1418" w:type="dxa"/>
            <w:tcBorders>
              <w:top w:val="nil"/>
            </w:tcBorders>
            <w:vAlign w:val="bottom"/>
          </w:tcPr>
          <w:p w:rsidR="007A1FD5" w:rsidRPr="00973477" w:rsidRDefault="00105936"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1,2</w:t>
            </w:r>
          </w:p>
        </w:tc>
        <w:tc>
          <w:tcPr>
            <w:tcW w:w="1134" w:type="dxa"/>
            <w:tcBorders>
              <w:top w:val="nil"/>
            </w:tcBorders>
            <w:vAlign w:val="bottom"/>
          </w:tcPr>
          <w:p w:rsidR="007A1FD5" w:rsidRPr="00973477" w:rsidRDefault="00105936"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0,3</w:t>
            </w:r>
          </w:p>
        </w:tc>
        <w:tc>
          <w:tcPr>
            <w:tcW w:w="1417" w:type="dxa"/>
            <w:tcBorders>
              <w:top w:val="nil"/>
              <w:right w:val="nil"/>
            </w:tcBorders>
            <w:vAlign w:val="bottom"/>
          </w:tcPr>
          <w:p w:rsidR="007A1FD5" w:rsidRPr="00973477" w:rsidRDefault="00105936"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w:t>
            </w:r>
          </w:p>
        </w:tc>
        <w:tc>
          <w:tcPr>
            <w:tcW w:w="1843" w:type="dxa"/>
            <w:tcBorders>
              <w:top w:val="nil"/>
              <w:right w:val="nil"/>
            </w:tcBorders>
          </w:tcPr>
          <w:p w:rsidR="007A1FD5" w:rsidRPr="00973477" w:rsidRDefault="00105936"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0,7</w:t>
            </w:r>
          </w:p>
        </w:tc>
      </w:tr>
    </w:tbl>
    <w:p w:rsidR="007A1FD5" w:rsidRPr="00973477" w:rsidRDefault="007A1FD5" w:rsidP="007A1FD5">
      <w:pPr>
        <w:spacing w:after="0"/>
        <w:rPr>
          <w:rFonts w:ascii="Times New Roman" w:hAnsi="Times New Roman"/>
          <w:sz w:val="24"/>
          <w:szCs w:val="24"/>
        </w:rPr>
      </w:pPr>
      <w:r w:rsidRPr="00973477">
        <w:rPr>
          <w:rFonts w:ascii="Times New Roman" w:hAnsi="Times New Roman"/>
          <w:sz w:val="24"/>
          <w:szCs w:val="24"/>
        </w:rPr>
        <w:t xml:space="preserve">Fonte: estimativas do autor a partir dos microdados da PNAD-IBGE. </w:t>
      </w:r>
    </w:p>
    <w:p w:rsidR="00973477" w:rsidRDefault="00973477" w:rsidP="00621C12">
      <w:pPr>
        <w:spacing w:after="0" w:line="240" w:lineRule="auto"/>
        <w:jc w:val="both"/>
        <w:rPr>
          <w:rFonts w:ascii="Times New Roman" w:hAnsi="Times New Roman"/>
          <w:sz w:val="24"/>
          <w:szCs w:val="24"/>
        </w:rPr>
      </w:pPr>
    </w:p>
    <w:p w:rsidR="007A1FD5" w:rsidRDefault="00105936" w:rsidP="00BA3242">
      <w:pPr>
        <w:spacing w:after="0" w:line="240" w:lineRule="auto"/>
        <w:jc w:val="both"/>
        <w:rPr>
          <w:rFonts w:ascii="Times New Roman" w:hAnsi="Times New Roman"/>
          <w:sz w:val="24"/>
          <w:szCs w:val="24"/>
        </w:rPr>
      </w:pPr>
      <w:r>
        <w:rPr>
          <w:rFonts w:ascii="Times New Roman" w:hAnsi="Times New Roman"/>
          <w:sz w:val="24"/>
          <w:szCs w:val="24"/>
        </w:rPr>
        <w:tab/>
        <w:t>Há uma série de constatações possíveis. Para o interesse deste trabalho destacam-se</w:t>
      </w:r>
      <w:r w:rsidR="00D04A54">
        <w:rPr>
          <w:rFonts w:ascii="Times New Roman" w:hAnsi="Times New Roman"/>
          <w:sz w:val="24"/>
          <w:szCs w:val="24"/>
        </w:rPr>
        <w:t xml:space="preserve"> </w:t>
      </w:r>
      <w:r w:rsidR="00A01A77">
        <w:rPr>
          <w:rFonts w:ascii="Times New Roman" w:hAnsi="Times New Roman"/>
          <w:sz w:val="24"/>
          <w:szCs w:val="24"/>
        </w:rPr>
        <w:t>aqui</w:t>
      </w:r>
      <w:r w:rsidR="00D04A54">
        <w:rPr>
          <w:rFonts w:ascii="Times New Roman" w:hAnsi="Times New Roman"/>
          <w:sz w:val="24"/>
          <w:szCs w:val="24"/>
        </w:rPr>
        <w:t>, apenas, aquela</w:t>
      </w:r>
      <w:r w:rsidR="00A01A77">
        <w:rPr>
          <w:rFonts w:ascii="Times New Roman" w:hAnsi="Times New Roman"/>
          <w:sz w:val="24"/>
          <w:szCs w:val="24"/>
        </w:rPr>
        <w:t>s mais associados às disparidades regionais.</w:t>
      </w:r>
      <w:r>
        <w:rPr>
          <w:rFonts w:ascii="Times New Roman" w:hAnsi="Times New Roman"/>
          <w:sz w:val="24"/>
          <w:szCs w:val="24"/>
        </w:rPr>
        <w:t xml:space="preserve"> </w:t>
      </w:r>
      <w:r w:rsidR="00A01A77">
        <w:rPr>
          <w:rFonts w:ascii="Times New Roman" w:hAnsi="Times New Roman"/>
          <w:sz w:val="24"/>
          <w:szCs w:val="24"/>
        </w:rPr>
        <w:t xml:space="preserve">Sob tal perspectiva, </w:t>
      </w:r>
      <w:r>
        <w:rPr>
          <w:rFonts w:ascii="Times New Roman" w:hAnsi="Times New Roman"/>
          <w:sz w:val="24"/>
          <w:szCs w:val="24"/>
        </w:rPr>
        <w:t xml:space="preserve">os valores da tabela 1 indicam que, em média, </w:t>
      </w:r>
      <w:r w:rsidR="00D04A54">
        <w:rPr>
          <w:rFonts w:ascii="Times New Roman" w:hAnsi="Times New Roman"/>
          <w:sz w:val="24"/>
          <w:szCs w:val="24"/>
        </w:rPr>
        <w:t>é</w:t>
      </w:r>
      <w:r>
        <w:rPr>
          <w:rFonts w:ascii="Times New Roman" w:hAnsi="Times New Roman"/>
          <w:sz w:val="24"/>
          <w:szCs w:val="24"/>
        </w:rPr>
        <w:t xml:space="preserve"> nos estados das regiões Nordeste e Norte que as políticas sociais não espaciais apresentam </w:t>
      </w:r>
      <w:r w:rsidR="00A01A77">
        <w:rPr>
          <w:rFonts w:ascii="Times New Roman" w:hAnsi="Times New Roman"/>
          <w:sz w:val="24"/>
          <w:szCs w:val="24"/>
        </w:rPr>
        <w:t xml:space="preserve">bem </w:t>
      </w:r>
      <w:r>
        <w:rPr>
          <w:rFonts w:ascii="Times New Roman" w:hAnsi="Times New Roman"/>
          <w:sz w:val="24"/>
          <w:szCs w:val="24"/>
        </w:rPr>
        <w:t xml:space="preserve">maior importância relativa na renda (3,2% e 2,2% do total, respectivamente). Por outro lado, a </w:t>
      </w:r>
      <w:r w:rsidR="00A01A77">
        <w:rPr>
          <w:rFonts w:ascii="Times New Roman" w:hAnsi="Times New Roman"/>
          <w:sz w:val="24"/>
          <w:szCs w:val="24"/>
        </w:rPr>
        <w:t xml:space="preserve">renda do trabalho da indústria </w:t>
      </w:r>
      <w:r>
        <w:rPr>
          <w:rFonts w:ascii="Times New Roman" w:hAnsi="Times New Roman"/>
          <w:sz w:val="24"/>
          <w:szCs w:val="24"/>
        </w:rPr>
        <w:t xml:space="preserve">é </w:t>
      </w:r>
      <w:r w:rsidR="00A01A77">
        <w:rPr>
          <w:rFonts w:ascii="Times New Roman" w:hAnsi="Times New Roman"/>
          <w:sz w:val="24"/>
          <w:szCs w:val="24"/>
        </w:rPr>
        <w:t>significativamente</w:t>
      </w:r>
      <w:r>
        <w:rPr>
          <w:rFonts w:ascii="Times New Roman" w:hAnsi="Times New Roman"/>
          <w:sz w:val="24"/>
          <w:szCs w:val="24"/>
        </w:rPr>
        <w:t xml:space="preserve"> mai</w:t>
      </w:r>
      <w:r w:rsidR="00A01A77">
        <w:rPr>
          <w:rFonts w:ascii="Times New Roman" w:hAnsi="Times New Roman"/>
          <w:sz w:val="24"/>
          <w:szCs w:val="24"/>
        </w:rPr>
        <w:t xml:space="preserve">s importante para os estados das </w:t>
      </w:r>
      <w:r>
        <w:rPr>
          <w:rFonts w:ascii="Times New Roman" w:hAnsi="Times New Roman"/>
          <w:sz w:val="24"/>
          <w:szCs w:val="24"/>
        </w:rPr>
        <w:t>regiões Sudeste e Sul do país, apresentando</w:t>
      </w:r>
      <w:r w:rsidR="00D04A54">
        <w:rPr>
          <w:rFonts w:ascii="Times New Roman" w:hAnsi="Times New Roman"/>
          <w:sz w:val="24"/>
          <w:szCs w:val="24"/>
        </w:rPr>
        <w:t xml:space="preserve"> a região mais rica (Sudeste) também </w:t>
      </w:r>
      <w:r w:rsidR="00A01A77">
        <w:rPr>
          <w:rFonts w:ascii="Times New Roman" w:hAnsi="Times New Roman"/>
          <w:sz w:val="24"/>
          <w:szCs w:val="24"/>
        </w:rPr>
        <w:t>o</w:t>
      </w:r>
      <w:r>
        <w:rPr>
          <w:rFonts w:ascii="Times New Roman" w:hAnsi="Times New Roman"/>
          <w:sz w:val="24"/>
          <w:szCs w:val="24"/>
        </w:rPr>
        <w:t xml:space="preserve"> menor peso da renda do trabalho da agricultura na renda total.</w:t>
      </w:r>
      <w:r w:rsidR="00A01A77">
        <w:rPr>
          <w:rFonts w:ascii="Times New Roman" w:hAnsi="Times New Roman"/>
          <w:sz w:val="24"/>
          <w:szCs w:val="24"/>
        </w:rPr>
        <w:t xml:space="preserve"> </w:t>
      </w:r>
    </w:p>
    <w:p w:rsidR="0001619E" w:rsidRDefault="0001619E" w:rsidP="00BA3242">
      <w:pPr>
        <w:spacing w:after="0" w:line="240" w:lineRule="auto"/>
        <w:jc w:val="both"/>
        <w:rPr>
          <w:rFonts w:ascii="Times New Roman" w:hAnsi="Times New Roman"/>
          <w:sz w:val="24"/>
          <w:szCs w:val="24"/>
        </w:rPr>
      </w:pPr>
      <w:r>
        <w:rPr>
          <w:rFonts w:ascii="Times New Roman" w:hAnsi="Times New Roman"/>
          <w:sz w:val="24"/>
          <w:szCs w:val="24"/>
        </w:rPr>
        <w:tab/>
        <w:t xml:space="preserve">Nas próximas seções serão apresentados detalhes de como cada uma das fontes de renda está distribuída entre os estados brasileiros, tomando-se como referência a distribuição da renda total </w:t>
      </w:r>
      <w:r>
        <w:rPr>
          <w:rFonts w:ascii="Times New Roman" w:hAnsi="Times New Roman"/>
          <w:i/>
          <w:sz w:val="24"/>
          <w:szCs w:val="24"/>
        </w:rPr>
        <w:t>per capita</w:t>
      </w:r>
      <w:r>
        <w:rPr>
          <w:rFonts w:ascii="Times New Roman" w:hAnsi="Times New Roman"/>
          <w:sz w:val="24"/>
          <w:szCs w:val="24"/>
        </w:rPr>
        <w:t>. A continuação desta seção explora os três pontos ressaltados no parágrafo anterior.</w:t>
      </w:r>
    </w:p>
    <w:p w:rsidR="00BA3242" w:rsidRDefault="00BA3242" w:rsidP="005D6046">
      <w:pPr>
        <w:jc w:val="both"/>
        <w:rPr>
          <w:rFonts w:ascii="Times New Roman" w:hAnsi="Times New Roman"/>
          <w:b/>
          <w:sz w:val="24"/>
          <w:szCs w:val="24"/>
        </w:rPr>
      </w:pPr>
    </w:p>
    <w:p w:rsidR="005D6046" w:rsidRDefault="006E6206" w:rsidP="005D6046">
      <w:pPr>
        <w:jc w:val="both"/>
        <w:rPr>
          <w:rFonts w:ascii="Times New Roman" w:hAnsi="Times New Roman"/>
          <w:b/>
          <w:sz w:val="24"/>
          <w:szCs w:val="24"/>
        </w:rPr>
      </w:pPr>
      <w:r>
        <w:rPr>
          <w:rFonts w:ascii="Times New Roman" w:hAnsi="Times New Roman"/>
          <w:b/>
          <w:sz w:val="24"/>
          <w:szCs w:val="24"/>
        </w:rPr>
        <w:t>2.2</w:t>
      </w:r>
      <w:r w:rsidR="005B0EB5">
        <w:rPr>
          <w:rFonts w:ascii="Times New Roman" w:hAnsi="Times New Roman"/>
          <w:b/>
          <w:sz w:val="24"/>
          <w:szCs w:val="24"/>
        </w:rPr>
        <w:t xml:space="preserve"> </w:t>
      </w:r>
      <w:r w:rsidR="005D6046">
        <w:rPr>
          <w:rFonts w:ascii="Times New Roman" w:hAnsi="Times New Roman"/>
          <w:b/>
          <w:sz w:val="24"/>
          <w:szCs w:val="24"/>
        </w:rPr>
        <w:t>Dimensão espacial das políticas sociais: Bolsa Família (BF) e Benefício de Prestação Continuada (BPC)</w:t>
      </w:r>
    </w:p>
    <w:p w:rsidR="00107DFF" w:rsidRDefault="004F18AA" w:rsidP="00621C12">
      <w:pPr>
        <w:tabs>
          <w:tab w:val="left" w:pos="720"/>
          <w:tab w:val="left" w:pos="1605"/>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O Programa Bolsa Família é o mais conhecido programa social de transferência de renda levado a efeito pelo governo federal que, dado o foco nas famílias mais pobres,</w:t>
      </w:r>
      <w:r w:rsidR="00107DFF">
        <w:rPr>
          <w:rFonts w:ascii="Times New Roman" w:hAnsi="Times New Roman"/>
          <w:sz w:val="24"/>
          <w:szCs w:val="24"/>
        </w:rPr>
        <w:t xml:space="preserve"> termina por beneficiar relativamente mais os estados mais pobres do Brasil. Em 2006, as linhas de pobreza e de extrema pobreza adotadas no </w:t>
      </w:r>
      <w:r w:rsidR="00107DFF">
        <w:rPr>
          <w:rFonts w:ascii="Times New Roman" w:hAnsi="Times New Roman"/>
          <w:sz w:val="24"/>
          <w:szCs w:val="24"/>
        </w:rPr>
        <w:lastRenderedPageBreak/>
        <w:t xml:space="preserve">Programa, limites de renda familiar </w:t>
      </w:r>
      <w:r w:rsidR="00107DFF" w:rsidRPr="0049646A">
        <w:rPr>
          <w:rFonts w:ascii="Times New Roman" w:hAnsi="Times New Roman"/>
          <w:sz w:val="24"/>
          <w:szCs w:val="24"/>
        </w:rPr>
        <w:t>per capita</w:t>
      </w:r>
      <w:r w:rsidR="00107DFF">
        <w:rPr>
          <w:rFonts w:ascii="Times New Roman" w:hAnsi="Times New Roman"/>
          <w:sz w:val="24"/>
          <w:szCs w:val="24"/>
        </w:rPr>
        <w:t xml:space="preserve"> para obtenção de benefícios, correspondiam, respectivamente, a R$ 100,00 e R$ 50,00, sendo possível o recebimento de um benefício fixo de R$ 50,00 mais variáveis de R$ 15,00 por crianças de 0 a 14 anos (limite de três crianças).</w:t>
      </w:r>
    </w:p>
    <w:p w:rsidR="00770208" w:rsidRDefault="00107DFF" w:rsidP="00621C12">
      <w:pPr>
        <w:tabs>
          <w:tab w:val="left" w:pos="720"/>
          <w:tab w:val="left" w:pos="1605"/>
        </w:tabs>
        <w:spacing w:after="0" w:line="240" w:lineRule="auto"/>
        <w:jc w:val="both"/>
        <w:rPr>
          <w:rFonts w:ascii="Times New Roman" w:hAnsi="Times New Roman"/>
          <w:sz w:val="24"/>
          <w:szCs w:val="24"/>
        </w:rPr>
      </w:pPr>
      <w:r>
        <w:rPr>
          <w:rFonts w:ascii="Times New Roman" w:hAnsi="Times New Roman"/>
          <w:sz w:val="24"/>
          <w:szCs w:val="24"/>
        </w:rPr>
        <w:tab/>
      </w:r>
      <w:r w:rsidR="00E03D5B">
        <w:rPr>
          <w:rFonts w:ascii="Times New Roman" w:hAnsi="Times New Roman"/>
          <w:sz w:val="24"/>
          <w:szCs w:val="24"/>
        </w:rPr>
        <w:t xml:space="preserve">No estado mais pobre do Brasil (renda </w:t>
      </w:r>
      <w:r w:rsidR="00E03D5B">
        <w:rPr>
          <w:rFonts w:ascii="Times New Roman" w:hAnsi="Times New Roman"/>
          <w:i/>
          <w:sz w:val="24"/>
          <w:szCs w:val="24"/>
        </w:rPr>
        <w:t>per capita</w:t>
      </w:r>
      <w:r w:rsidR="00E03D5B">
        <w:rPr>
          <w:rFonts w:ascii="Times New Roman" w:hAnsi="Times New Roman"/>
          <w:sz w:val="24"/>
          <w:szCs w:val="24"/>
        </w:rPr>
        <w:t>), o Maranhão, na região Nordeste, existiam 39,5% e 16,6% de pessoas com renda até os limites, respectivamente, de R100,00 e R$ 50,00 em 2006. Já no estado mais rico, São Paulo, situado no Sudeste, tais percentuais correspondiam</w:t>
      </w:r>
      <w:r w:rsidR="00770208">
        <w:rPr>
          <w:rFonts w:ascii="Times New Roman" w:hAnsi="Times New Roman"/>
          <w:sz w:val="24"/>
          <w:szCs w:val="24"/>
        </w:rPr>
        <w:t xml:space="preserve">, na mesma ordem, a 5,8% e </w:t>
      </w:r>
      <w:r w:rsidR="00E03D5B">
        <w:rPr>
          <w:rFonts w:ascii="Times New Roman" w:hAnsi="Times New Roman"/>
          <w:sz w:val="24"/>
          <w:szCs w:val="24"/>
        </w:rPr>
        <w:t xml:space="preserve">2,0%. Tais diferenças permanecem com maior agregação espacial: os percentuais de pessoas no Nordeste e no Sudeste com renda familiar </w:t>
      </w:r>
      <w:r w:rsidR="00E03D5B">
        <w:rPr>
          <w:rFonts w:ascii="Times New Roman" w:hAnsi="Times New Roman"/>
          <w:i/>
          <w:sz w:val="24"/>
          <w:szCs w:val="24"/>
        </w:rPr>
        <w:t>per capita</w:t>
      </w:r>
      <w:r w:rsidR="00E03D5B">
        <w:rPr>
          <w:rFonts w:ascii="Times New Roman" w:hAnsi="Times New Roman"/>
          <w:sz w:val="24"/>
          <w:szCs w:val="24"/>
        </w:rPr>
        <w:t xml:space="preserve"> até os dois limites acima eram, em 2006, de 31,9% e 11,9%, no primeiro caso, e de </w:t>
      </w:r>
      <w:r w:rsidR="00770208">
        <w:rPr>
          <w:rFonts w:ascii="Times New Roman" w:hAnsi="Times New Roman"/>
          <w:sz w:val="24"/>
          <w:szCs w:val="24"/>
        </w:rPr>
        <w:t>7,9% e 2,4%, no segundo.</w:t>
      </w:r>
    </w:p>
    <w:p w:rsidR="00770208" w:rsidRPr="00770208" w:rsidRDefault="00770208" w:rsidP="00621C12">
      <w:pPr>
        <w:tabs>
          <w:tab w:val="left" w:pos="720"/>
          <w:tab w:val="left" w:pos="1605"/>
        </w:tabs>
        <w:spacing w:after="0" w:line="240" w:lineRule="auto"/>
        <w:jc w:val="both"/>
        <w:rPr>
          <w:rFonts w:ascii="Times New Roman" w:hAnsi="Times New Roman"/>
          <w:sz w:val="24"/>
          <w:szCs w:val="24"/>
        </w:rPr>
      </w:pPr>
      <w:r>
        <w:rPr>
          <w:rFonts w:ascii="Times New Roman" w:hAnsi="Times New Roman"/>
          <w:sz w:val="24"/>
          <w:szCs w:val="24"/>
        </w:rPr>
        <w:tab/>
        <w:t xml:space="preserve">Um retrato mais amplo da distribuição da renda </w:t>
      </w:r>
      <w:r>
        <w:rPr>
          <w:rFonts w:ascii="Times New Roman" w:hAnsi="Times New Roman"/>
          <w:i/>
          <w:sz w:val="24"/>
          <w:szCs w:val="24"/>
        </w:rPr>
        <w:t>per cap</w:t>
      </w:r>
      <w:r w:rsidRPr="00770208">
        <w:rPr>
          <w:rFonts w:ascii="Times New Roman" w:hAnsi="Times New Roman"/>
          <w:i/>
          <w:sz w:val="24"/>
          <w:szCs w:val="24"/>
        </w:rPr>
        <w:t>ita</w:t>
      </w:r>
      <w:r>
        <w:rPr>
          <w:rFonts w:ascii="Times New Roman" w:hAnsi="Times New Roman"/>
          <w:i/>
          <w:sz w:val="24"/>
          <w:szCs w:val="24"/>
        </w:rPr>
        <w:t xml:space="preserve"> </w:t>
      </w:r>
      <w:r>
        <w:rPr>
          <w:rFonts w:ascii="Times New Roman" w:hAnsi="Times New Roman"/>
          <w:sz w:val="24"/>
          <w:szCs w:val="24"/>
        </w:rPr>
        <w:t xml:space="preserve">derivada dos recursos do BF, componente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eBF</m:t>
            </m:r>
          </m:sub>
        </m:sSub>
      </m:oMath>
      <w:r>
        <w:rPr>
          <w:rFonts w:ascii="Times New Roman" w:eastAsia="Times New Roman" w:hAnsi="Times New Roman"/>
          <w:sz w:val="24"/>
          <w:szCs w:val="24"/>
        </w:rPr>
        <w:t xml:space="preserve"> da equação (1),</w:t>
      </w:r>
      <w:r>
        <w:rPr>
          <w:rFonts w:ascii="Times New Roman" w:hAnsi="Times New Roman"/>
          <w:sz w:val="24"/>
          <w:szCs w:val="24"/>
        </w:rPr>
        <w:t xml:space="preserve"> entre as unidades federativas brasileiras é apresentado a partir do gráfico 1, a seguir, onde, para enfatizar o caráter progressivo desta fonte de recursos, </w:t>
      </w:r>
      <w:r w:rsidR="00D04A54">
        <w:rPr>
          <w:rFonts w:ascii="Times New Roman" w:hAnsi="Times New Roman"/>
          <w:sz w:val="24"/>
          <w:szCs w:val="24"/>
        </w:rPr>
        <w:t>as unidades federativas são ordenada</w:t>
      </w:r>
      <w:r>
        <w:rPr>
          <w:rFonts w:ascii="Times New Roman" w:hAnsi="Times New Roman"/>
          <w:sz w:val="24"/>
          <w:szCs w:val="24"/>
        </w:rPr>
        <w:t xml:space="preserve">s de forma crescente com respeito à renda total </w:t>
      </w:r>
      <w:r>
        <w:rPr>
          <w:rFonts w:ascii="Times New Roman" w:hAnsi="Times New Roman"/>
          <w:i/>
          <w:sz w:val="24"/>
          <w:szCs w:val="24"/>
        </w:rPr>
        <w:t>per capita</w:t>
      </w:r>
      <w:r>
        <w:rPr>
          <w:rFonts w:ascii="Times New Roman" w:hAnsi="Times New Roman"/>
          <w:sz w:val="24"/>
          <w:szCs w:val="24"/>
        </w:rPr>
        <w:t>.</w:t>
      </w:r>
    </w:p>
    <w:p w:rsidR="005D6046" w:rsidRDefault="00E03D5B" w:rsidP="00770208">
      <w:pPr>
        <w:tabs>
          <w:tab w:val="left" w:pos="720"/>
          <w:tab w:val="left" w:pos="1605"/>
        </w:tabs>
        <w:spacing w:after="0"/>
        <w:jc w:val="both"/>
        <w:rPr>
          <w:rFonts w:ascii="Times New Roman" w:hAnsi="Times New Roman"/>
          <w:b/>
          <w:sz w:val="24"/>
          <w:szCs w:val="24"/>
        </w:rPr>
      </w:pPr>
      <w:r>
        <w:rPr>
          <w:rFonts w:ascii="Times New Roman" w:hAnsi="Times New Roman"/>
          <w:sz w:val="24"/>
          <w:szCs w:val="24"/>
        </w:rPr>
        <w:t xml:space="preserve"> </w:t>
      </w:r>
      <w:r w:rsidR="00770208">
        <w:rPr>
          <w:rFonts w:ascii="Times New Roman" w:hAnsi="Times New Roman"/>
          <w:sz w:val="24"/>
          <w:szCs w:val="24"/>
        </w:rPr>
        <w:tab/>
      </w:r>
      <w:r w:rsidR="00107DFF">
        <w:rPr>
          <w:rFonts w:ascii="Times New Roman" w:hAnsi="Times New Roman"/>
          <w:sz w:val="24"/>
          <w:szCs w:val="24"/>
        </w:rPr>
        <w:tab/>
        <w:t xml:space="preserve"> </w:t>
      </w:r>
      <w:r w:rsidR="00770208">
        <w:rPr>
          <w:rFonts w:ascii="Times New Roman" w:hAnsi="Times New Roman"/>
          <w:sz w:val="24"/>
          <w:szCs w:val="24"/>
        </w:rPr>
        <w:t xml:space="preserve">                                       </w:t>
      </w:r>
      <w:r w:rsidR="00973477">
        <w:rPr>
          <w:rFonts w:ascii="Times New Roman" w:hAnsi="Times New Roman"/>
          <w:b/>
          <w:noProof/>
          <w:sz w:val="24"/>
          <w:szCs w:val="24"/>
          <w:lang w:val="en-US"/>
        </w:rPr>
        <w:drawing>
          <wp:inline distT="0" distB="0" distL="0" distR="0">
            <wp:extent cx="5943600" cy="2981325"/>
            <wp:effectExtent l="0" t="0" r="0" b="0"/>
            <wp:docPr id="2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0208" w:rsidRDefault="00770208">
      <w:pPr>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0"/>
          <w:szCs w:val="24"/>
        </w:rPr>
        <w:t>Fonte: cálculo do autor a partir dos microdados da PNAD 2006.</w:t>
      </w:r>
      <w:r w:rsidR="00A46894">
        <w:rPr>
          <w:rFonts w:ascii="Times New Roman" w:hAnsi="Times New Roman"/>
          <w:b/>
          <w:sz w:val="24"/>
          <w:szCs w:val="24"/>
        </w:rPr>
        <w:t xml:space="preserve">   </w:t>
      </w:r>
    </w:p>
    <w:p w:rsidR="00770208" w:rsidRPr="00770208" w:rsidRDefault="00770208" w:rsidP="00621C12">
      <w:pPr>
        <w:spacing w:after="0" w:line="240" w:lineRule="auto"/>
        <w:jc w:val="both"/>
        <w:rPr>
          <w:rFonts w:ascii="Times New Roman" w:hAnsi="Times New Roman"/>
          <w:sz w:val="24"/>
          <w:szCs w:val="24"/>
        </w:rPr>
      </w:pPr>
      <w:r>
        <w:rPr>
          <w:rFonts w:ascii="Times New Roman" w:hAnsi="Times New Roman"/>
          <w:sz w:val="24"/>
          <w:szCs w:val="24"/>
        </w:rPr>
        <w:tab/>
        <w:t xml:space="preserve">Como o gráfico rapidamente deixa claro, os estados mais pobres do Brasil, situados nas regiões Nordeste e Norte do país, apresentam, em termos </w:t>
      </w:r>
      <w:r w:rsidRPr="00770208">
        <w:rPr>
          <w:rFonts w:ascii="Times New Roman" w:hAnsi="Times New Roman"/>
          <w:i/>
          <w:sz w:val="24"/>
          <w:szCs w:val="24"/>
        </w:rPr>
        <w:t>per capita</w:t>
      </w:r>
      <w:r>
        <w:rPr>
          <w:rFonts w:ascii="Times New Roman" w:hAnsi="Times New Roman"/>
          <w:sz w:val="24"/>
          <w:szCs w:val="24"/>
        </w:rPr>
        <w:t>, os maiores valores do componente Bolsa Fam</w:t>
      </w:r>
      <w:r w:rsidR="001E6E33">
        <w:rPr>
          <w:rFonts w:ascii="Times New Roman" w:hAnsi="Times New Roman"/>
          <w:sz w:val="24"/>
          <w:szCs w:val="24"/>
        </w:rPr>
        <w:t>ília d</w:t>
      </w:r>
      <w:r>
        <w:rPr>
          <w:rFonts w:ascii="Times New Roman" w:hAnsi="Times New Roman"/>
          <w:sz w:val="24"/>
          <w:szCs w:val="24"/>
        </w:rPr>
        <w:t>a renda total</w:t>
      </w:r>
      <w:r w:rsidR="001E6E33">
        <w:rPr>
          <w:rFonts w:ascii="Times New Roman" w:hAnsi="Times New Roman"/>
          <w:sz w:val="24"/>
          <w:szCs w:val="24"/>
        </w:rPr>
        <w:t>. Mais especificamente, por exemplo, o valor recebido pelo estado do Maranhão</w:t>
      </w:r>
      <w:r w:rsidR="000E214F">
        <w:rPr>
          <w:rFonts w:ascii="Times New Roman" w:hAnsi="Times New Roman"/>
          <w:sz w:val="24"/>
          <w:szCs w:val="24"/>
        </w:rPr>
        <w:t xml:space="preserve"> (R$ 6,7 mensais)</w:t>
      </w:r>
      <w:r w:rsidR="001E6E33">
        <w:rPr>
          <w:rFonts w:ascii="Times New Roman" w:hAnsi="Times New Roman"/>
          <w:sz w:val="24"/>
          <w:szCs w:val="24"/>
        </w:rPr>
        <w:t xml:space="preserve">, mais pobre, </w:t>
      </w:r>
      <w:r w:rsidR="00D04A54">
        <w:rPr>
          <w:rFonts w:ascii="Times New Roman" w:hAnsi="Times New Roman"/>
          <w:sz w:val="24"/>
          <w:szCs w:val="24"/>
        </w:rPr>
        <w:t>equivalia a</w:t>
      </w:r>
      <w:r w:rsidR="001E6E33">
        <w:rPr>
          <w:rFonts w:ascii="Times New Roman" w:hAnsi="Times New Roman"/>
          <w:sz w:val="24"/>
          <w:szCs w:val="24"/>
        </w:rPr>
        <w:t xml:space="preserve"> 1,8 e 4,7 vezes os valores recebidos, respectivamente</w:t>
      </w:r>
      <w:r w:rsidR="00D04A54">
        <w:rPr>
          <w:rFonts w:ascii="Times New Roman" w:hAnsi="Times New Roman"/>
          <w:sz w:val="24"/>
          <w:szCs w:val="24"/>
        </w:rPr>
        <w:t>,</w:t>
      </w:r>
      <w:r w:rsidR="001E6E33">
        <w:rPr>
          <w:rFonts w:ascii="Times New Roman" w:hAnsi="Times New Roman"/>
          <w:sz w:val="24"/>
          <w:szCs w:val="24"/>
        </w:rPr>
        <w:t xml:space="preserve"> pelas duas unidades mais ricas do Distrito Federal e São Paulo</w:t>
      </w:r>
      <w:r w:rsidR="000E214F">
        <w:rPr>
          <w:rFonts w:ascii="Times New Roman" w:hAnsi="Times New Roman"/>
          <w:sz w:val="24"/>
          <w:szCs w:val="24"/>
        </w:rPr>
        <w:t xml:space="preserve"> (R$ 3,7 e R$ 1,4 mensais, respectivamente)</w:t>
      </w:r>
      <w:r w:rsidR="001E6E33">
        <w:rPr>
          <w:rFonts w:ascii="Times New Roman" w:hAnsi="Times New Roman"/>
          <w:sz w:val="24"/>
          <w:szCs w:val="24"/>
        </w:rPr>
        <w:t>. No mesmo sentido, em termos médios, o valor recebido pelos 10 estado</w:t>
      </w:r>
      <w:r w:rsidR="00D04A54">
        <w:rPr>
          <w:rFonts w:ascii="Times New Roman" w:hAnsi="Times New Roman"/>
          <w:sz w:val="24"/>
          <w:szCs w:val="24"/>
        </w:rPr>
        <w:t>s</w:t>
      </w:r>
      <w:r w:rsidR="001E6E33">
        <w:rPr>
          <w:rFonts w:ascii="Times New Roman" w:hAnsi="Times New Roman"/>
          <w:sz w:val="24"/>
          <w:szCs w:val="24"/>
        </w:rPr>
        <w:t xml:space="preserve"> mais pobres (todos da região NE e NO) é quase o dobro (1,9 vezes) daquele recebido pelos 10 estados mais ricos (o que inclui todos do SE e do Sul do país).</w:t>
      </w:r>
    </w:p>
    <w:p w:rsidR="003619AC" w:rsidRPr="00197AF6" w:rsidRDefault="001E6E33" w:rsidP="00621C12">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Um padrão menos regionalmente marcado, mas ainda assim beneficiando, de forma geral, os estados mais pobres do país</w:t>
      </w:r>
      <w:r w:rsidR="00E51E29">
        <w:rPr>
          <w:rFonts w:ascii="Times New Roman" w:hAnsi="Times New Roman"/>
          <w:sz w:val="24"/>
          <w:szCs w:val="24"/>
        </w:rPr>
        <w:t>,</w:t>
      </w:r>
      <w:r>
        <w:rPr>
          <w:rFonts w:ascii="Times New Roman" w:hAnsi="Times New Roman"/>
          <w:sz w:val="24"/>
          <w:szCs w:val="24"/>
        </w:rPr>
        <w:t xml:space="preserve"> pode ser observado para o Benefício de Prestação Continuada, outra política social implementada pelo governo federal que não apresenta qualquer critério espacial ou regional para alocação dos recursos entre os estados, uma vez que, também, aqui, o foco </w:t>
      </w:r>
      <w:r w:rsidR="00197AF6">
        <w:rPr>
          <w:rFonts w:ascii="Times New Roman" w:hAnsi="Times New Roman"/>
          <w:sz w:val="24"/>
          <w:szCs w:val="24"/>
        </w:rPr>
        <w:t>é o indivíduo</w:t>
      </w:r>
      <w:r>
        <w:rPr>
          <w:rFonts w:ascii="Times New Roman" w:hAnsi="Times New Roman"/>
          <w:sz w:val="24"/>
          <w:szCs w:val="24"/>
        </w:rPr>
        <w:t>.</w:t>
      </w:r>
      <w:r w:rsidR="00197AF6">
        <w:rPr>
          <w:rFonts w:ascii="Times New Roman" w:hAnsi="Times New Roman"/>
          <w:sz w:val="24"/>
          <w:szCs w:val="24"/>
        </w:rPr>
        <w:t xml:space="preserve"> Na verdade, o BPC corresponde a uma transferência de renda sem condicionalidades, ao contrário do BF, para pessoas com 65 anos ou mais de idade ou para deficientes físicos inaptos para o trabalho que vivem em famílias com renda familiar </w:t>
      </w:r>
      <w:r w:rsidR="00197AF6">
        <w:rPr>
          <w:rFonts w:ascii="Times New Roman" w:hAnsi="Times New Roman"/>
          <w:i/>
          <w:sz w:val="24"/>
          <w:szCs w:val="24"/>
        </w:rPr>
        <w:t>per capita</w:t>
      </w:r>
      <w:r w:rsidR="00197AF6">
        <w:rPr>
          <w:rFonts w:ascii="Times New Roman" w:hAnsi="Times New Roman"/>
          <w:sz w:val="24"/>
          <w:szCs w:val="24"/>
        </w:rPr>
        <w:t xml:space="preserve"> abaixo de um quarto (1/4) do salário mínimo, que era de R$ 350,00 em 2006.</w:t>
      </w:r>
    </w:p>
    <w:p w:rsidR="0001619E" w:rsidRPr="0049646A" w:rsidRDefault="00197AF6" w:rsidP="00621C12">
      <w:pPr>
        <w:spacing w:after="0" w:line="240" w:lineRule="auto"/>
        <w:jc w:val="both"/>
        <w:rPr>
          <w:rFonts w:ascii="Times New Roman" w:hAnsi="Times New Roman"/>
          <w:sz w:val="24"/>
          <w:szCs w:val="24"/>
        </w:rPr>
      </w:pPr>
      <w:r>
        <w:rPr>
          <w:rFonts w:ascii="Times New Roman" w:hAnsi="Times New Roman"/>
          <w:b/>
          <w:sz w:val="24"/>
          <w:szCs w:val="24"/>
        </w:rPr>
        <w:tab/>
      </w:r>
      <w:r w:rsidR="0049646A">
        <w:rPr>
          <w:rFonts w:ascii="Times New Roman" w:hAnsi="Times New Roman"/>
          <w:sz w:val="24"/>
          <w:szCs w:val="24"/>
        </w:rPr>
        <w:t xml:space="preserve">No Brasil, em 2006, 12,6% das pessoas recebiam mensalmente recursos do BPC, percentual que chegava a cerca de 26,7% da região Nordeste do país, a mais pobre, e a apenas 5,9% na região Sudeste, a </w:t>
      </w:r>
      <w:r w:rsidR="0049646A">
        <w:rPr>
          <w:rFonts w:ascii="Times New Roman" w:hAnsi="Times New Roman"/>
          <w:sz w:val="24"/>
          <w:szCs w:val="24"/>
        </w:rPr>
        <w:lastRenderedPageBreak/>
        <w:t>mais rica.</w:t>
      </w:r>
      <w:r w:rsidR="00D04A54">
        <w:rPr>
          <w:rFonts w:ascii="Times New Roman" w:hAnsi="Times New Roman"/>
          <w:sz w:val="24"/>
          <w:szCs w:val="24"/>
        </w:rPr>
        <w:t xml:space="preserve"> O gráfico 2, a seguir, fornece</w:t>
      </w:r>
      <w:r w:rsidR="0001619E">
        <w:rPr>
          <w:rFonts w:ascii="Times New Roman" w:hAnsi="Times New Roman"/>
          <w:sz w:val="24"/>
          <w:szCs w:val="24"/>
        </w:rPr>
        <w:t xml:space="preserve"> um quadro mais abrangente da distribuição da renda </w:t>
      </w:r>
      <w:r w:rsidR="0001619E">
        <w:rPr>
          <w:rFonts w:ascii="Times New Roman" w:hAnsi="Times New Roman"/>
          <w:i/>
          <w:sz w:val="24"/>
          <w:szCs w:val="24"/>
        </w:rPr>
        <w:t>per cap</w:t>
      </w:r>
      <w:r w:rsidR="0001619E" w:rsidRPr="00770208">
        <w:rPr>
          <w:rFonts w:ascii="Times New Roman" w:hAnsi="Times New Roman"/>
          <w:i/>
          <w:sz w:val="24"/>
          <w:szCs w:val="24"/>
        </w:rPr>
        <w:t>ita</w:t>
      </w:r>
      <w:r w:rsidR="0001619E">
        <w:rPr>
          <w:rFonts w:ascii="Times New Roman" w:hAnsi="Times New Roman"/>
          <w:i/>
          <w:sz w:val="24"/>
          <w:szCs w:val="24"/>
        </w:rPr>
        <w:t xml:space="preserve"> </w:t>
      </w:r>
      <w:r w:rsidR="0001619E">
        <w:rPr>
          <w:rFonts w:ascii="Times New Roman" w:hAnsi="Times New Roman"/>
          <w:sz w:val="24"/>
          <w:szCs w:val="24"/>
        </w:rPr>
        <w:t xml:space="preserve">derivada dos recursos do BPC, componente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eBPC</m:t>
            </m:r>
          </m:sub>
        </m:sSub>
      </m:oMath>
      <w:r w:rsidR="0001619E">
        <w:rPr>
          <w:rFonts w:ascii="Times New Roman" w:eastAsia="Times New Roman" w:hAnsi="Times New Roman"/>
          <w:sz w:val="24"/>
          <w:szCs w:val="24"/>
        </w:rPr>
        <w:t xml:space="preserve"> da equação (1),</w:t>
      </w:r>
      <w:r w:rsidR="0001619E">
        <w:rPr>
          <w:rFonts w:ascii="Times New Roman" w:hAnsi="Times New Roman"/>
          <w:sz w:val="24"/>
          <w:szCs w:val="24"/>
        </w:rPr>
        <w:t xml:space="preserve"> entre as unidades federativas brasileiras</w:t>
      </w:r>
      <w:r w:rsidR="000E214F">
        <w:rPr>
          <w:rFonts w:ascii="Times New Roman" w:hAnsi="Times New Roman"/>
          <w:sz w:val="24"/>
          <w:szCs w:val="24"/>
        </w:rPr>
        <w:t xml:space="preserve">, mantida a ordenação crescente destas a partir da renda total </w:t>
      </w:r>
      <w:r w:rsidR="000E214F">
        <w:rPr>
          <w:rFonts w:ascii="Times New Roman" w:hAnsi="Times New Roman"/>
          <w:i/>
          <w:sz w:val="24"/>
          <w:szCs w:val="24"/>
        </w:rPr>
        <w:t>per capita</w:t>
      </w:r>
      <w:r w:rsidR="000E214F">
        <w:rPr>
          <w:rFonts w:ascii="Times New Roman" w:hAnsi="Times New Roman"/>
          <w:sz w:val="24"/>
          <w:szCs w:val="24"/>
        </w:rPr>
        <w:t>.</w:t>
      </w:r>
      <w:r w:rsidR="0001619E">
        <w:rPr>
          <w:rFonts w:ascii="Times New Roman" w:hAnsi="Times New Roman"/>
          <w:sz w:val="24"/>
          <w:szCs w:val="24"/>
        </w:rPr>
        <w:t xml:space="preserve"> </w:t>
      </w:r>
    </w:p>
    <w:p w:rsidR="005D6046" w:rsidRDefault="00973477">
      <w:pPr>
        <w:rPr>
          <w:rFonts w:ascii="Times New Roman" w:hAnsi="Times New Roman"/>
          <w:b/>
          <w:sz w:val="24"/>
          <w:szCs w:val="24"/>
        </w:rPr>
      </w:pPr>
      <w:r>
        <w:rPr>
          <w:rFonts w:ascii="Times New Roman" w:hAnsi="Times New Roman"/>
          <w:b/>
          <w:noProof/>
          <w:sz w:val="24"/>
          <w:szCs w:val="24"/>
          <w:lang w:val="en-US"/>
        </w:rPr>
        <w:drawing>
          <wp:inline distT="0" distB="0" distL="0" distR="0">
            <wp:extent cx="5943600" cy="2581275"/>
            <wp:effectExtent l="0" t="0" r="0" b="0"/>
            <wp:docPr id="2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4EFA" w:rsidRDefault="00E752B4" w:rsidP="00FA511E">
      <w:pPr>
        <w:spacing w:after="0" w:line="360" w:lineRule="auto"/>
        <w:jc w:val="both"/>
        <w:rPr>
          <w:rFonts w:ascii="Times New Roman" w:hAnsi="Times New Roman"/>
          <w:sz w:val="20"/>
          <w:szCs w:val="24"/>
        </w:rPr>
      </w:pPr>
      <w:r>
        <w:rPr>
          <w:rFonts w:ascii="Times New Roman" w:hAnsi="Times New Roman"/>
          <w:sz w:val="24"/>
          <w:szCs w:val="24"/>
        </w:rPr>
        <w:tab/>
      </w:r>
      <w:r w:rsidR="00584EFA">
        <w:rPr>
          <w:rFonts w:ascii="Times New Roman" w:hAnsi="Times New Roman"/>
          <w:sz w:val="20"/>
          <w:szCs w:val="24"/>
        </w:rPr>
        <w:t>Fonte: cálculo do autor a partir dos microdados da PNAD 2006</w:t>
      </w:r>
    </w:p>
    <w:p w:rsidR="00584EFA" w:rsidRDefault="00584EFA" w:rsidP="00FA511E">
      <w:pPr>
        <w:spacing w:after="0" w:line="360" w:lineRule="auto"/>
        <w:jc w:val="both"/>
        <w:rPr>
          <w:rFonts w:ascii="Times New Roman" w:hAnsi="Times New Roman"/>
          <w:sz w:val="24"/>
          <w:szCs w:val="24"/>
        </w:rPr>
      </w:pPr>
    </w:p>
    <w:p w:rsidR="005539C3" w:rsidRDefault="00E752B4" w:rsidP="00621C12">
      <w:pPr>
        <w:spacing w:after="0" w:line="240" w:lineRule="auto"/>
        <w:ind w:firstLine="720"/>
        <w:jc w:val="both"/>
        <w:rPr>
          <w:rFonts w:ascii="Times New Roman" w:hAnsi="Times New Roman"/>
          <w:sz w:val="24"/>
          <w:szCs w:val="24"/>
        </w:rPr>
      </w:pPr>
      <w:r>
        <w:rPr>
          <w:rFonts w:ascii="Times New Roman" w:hAnsi="Times New Roman"/>
          <w:sz w:val="24"/>
          <w:szCs w:val="24"/>
        </w:rPr>
        <w:t xml:space="preserve">O valores apresentados a partir do gráfico 2, embora menos contundentes que aqueles do gráfico anterior com respeito ao caráter </w:t>
      </w:r>
      <w:r w:rsidR="00D04A54">
        <w:rPr>
          <w:rFonts w:ascii="Times New Roman" w:hAnsi="Times New Roman"/>
          <w:sz w:val="24"/>
          <w:szCs w:val="24"/>
        </w:rPr>
        <w:t xml:space="preserve">regionalmente </w:t>
      </w:r>
      <w:r>
        <w:rPr>
          <w:rFonts w:ascii="Times New Roman" w:hAnsi="Times New Roman"/>
          <w:sz w:val="24"/>
          <w:szCs w:val="24"/>
        </w:rPr>
        <w:t xml:space="preserve">progressivo dos recursos do programa, também deixam poucas dúvidas com respeito à distribuição espacial ou regional dos maiores beneficiários. De fato, novamente comparando-se estados polares na distribuição da renda total </w:t>
      </w:r>
      <w:r>
        <w:rPr>
          <w:rFonts w:ascii="Times New Roman" w:hAnsi="Times New Roman"/>
          <w:i/>
          <w:sz w:val="24"/>
          <w:szCs w:val="24"/>
        </w:rPr>
        <w:t xml:space="preserve">per capita </w:t>
      </w:r>
      <w:r>
        <w:rPr>
          <w:rFonts w:ascii="Times New Roman" w:hAnsi="Times New Roman"/>
          <w:sz w:val="24"/>
          <w:szCs w:val="24"/>
        </w:rPr>
        <w:t>(eixo horizontal), é possível notar que os estados mais pobres como Maranhão e Piauí (valores mensais, respectivamente, R$ 3,70 e R$3,00), por exemplo,</w:t>
      </w:r>
      <w:r w:rsidR="003E28E8">
        <w:rPr>
          <w:rFonts w:ascii="Times New Roman" w:hAnsi="Times New Roman"/>
          <w:sz w:val="24"/>
          <w:szCs w:val="24"/>
        </w:rPr>
        <w:t xml:space="preserve"> recebem mais que os estados mais ricos do Sudeste e Sul do Brasil (São Paulo, valor de R$ 1,10; Rio de Janeiro, valor de R$ 0,64; Santa Catarina, valor de R$ 0,62; e Rio Grande do Sul, valor de R$ 1,30). Na verdade, tomando-se a razão entre as médias dos valores dos estados do Nordeste e Sudeste chega-se a uma razão de 2,3</w:t>
      </w:r>
      <w:r w:rsidR="00FA511E">
        <w:rPr>
          <w:rFonts w:ascii="Times New Roman" w:hAnsi="Times New Roman"/>
          <w:sz w:val="24"/>
          <w:szCs w:val="24"/>
        </w:rPr>
        <w:t xml:space="preserve"> e se a razão é entre a</w:t>
      </w:r>
      <w:r w:rsidR="003E28E8">
        <w:rPr>
          <w:rFonts w:ascii="Times New Roman" w:hAnsi="Times New Roman"/>
          <w:sz w:val="24"/>
          <w:szCs w:val="24"/>
        </w:rPr>
        <w:t xml:space="preserve"> média dos 10 estado</w:t>
      </w:r>
      <w:r w:rsidR="00FA511E">
        <w:rPr>
          <w:rFonts w:ascii="Times New Roman" w:hAnsi="Times New Roman"/>
          <w:sz w:val="24"/>
          <w:szCs w:val="24"/>
        </w:rPr>
        <w:t>s</w:t>
      </w:r>
      <w:r w:rsidR="003E28E8">
        <w:rPr>
          <w:rFonts w:ascii="Times New Roman" w:hAnsi="Times New Roman"/>
          <w:sz w:val="24"/>
          <w:szCs w:val="24"/>
        </w:rPr>
        <w:t xml:space="preserve"> mais pobres e a média dos 10 estados mais ricos esta assume valor 1,7.</w:t>
      </w:r>
    </w:p>
    <w:p w:rsidR="00FA511E" w:rsidRDefault="00FA511E" w:rsidP="00621C12">
      <w:pPr>
        <w:spacing w:after="0" w:line="240" w:lineRule="auto"/>
        <w:jc w:val="both"/>
        <w:rPr>
          <w:rFonts w:ascii="Times New Roman" w:hAnsi="Times New Roman"/>
          <w:sz w:val="24"/>
          <w:szCs w:val="24"/>
        </w:rPr>
      </w:pPr>
      <w:r>
        <w:rPr>
          <w:rFonts w:ascii="Times New Roman" w:hAnsi="Times New Roman"/>
          <w:sz w:val="24"/>
          <w:szCs w:val="24"/>
        </w:rPr>
        <w:tab/>
        <w:t>Como se mostra nas próximas seções, embora tais diferenças regionais entre os valores das fontes de renda representadas pelos programas Bolsa Família e Benefício de Prestação Continuada possam parecer, em valores absolutos, pequenas, a inexistência destes programas em 1995 juntamente com seus marcados padrões de distribuição espacial favorecendo, sobretudo, os estados do Norde</w:t>
      </w:r>
      <w:r w:rsidR="00584EFA">
        <w:rPr>
          <w:rFonts w:ascii="Times New Roman" w:hAnsi="Times New Roman"/>
          <w:sz w:val="24"/>
          <w:szCs w:val="24"/>
        </w:rPr>
        <w:t>ste, os faz</w:t>
      </w:r>
      <w:r>
        <w:rPr>
          <w:rFonts w:ascii="Times New Roman" w:hAnsi="Times New Roman"/>
          <w:sz w:val="24"/>
          <w:szCs w:val="24"/>
        </w:rPr>
        <w:t xml:space="preserve"> fontes não desprezíveis de redução da desigualdade </w:t>
      </w:r>
      <w:r w:rsidR="007F5AC4">
        <w:rPr>
          <w:rFonts w:ascii="Times New Roman" w:hAnsi="Times New Roman"/>
          <w:sz w:val="24"/>
          <w:szCs w:val="24"/>
        </w:rPr>
        <w:t xml:space="preserve">regional brasileira </w:t>
      </w:r>
      <w:r>
        <w:rPr>
          <w:rFonts w:ascii="Times New Roman" w:hAnsi="Times New Roman"/>
          <w:sz w:val="24"/>
          <w:szCs w:val="24"/>
        </w:rPr>
        <w:t>entre 1995 e 2006.</w:t>
      </w:r>
    </w:p>
    <w:p w:rsidR="00621C12" w:rsidRDefault="00621C12" w:rsidP="004F1844">
      <w:pPr>
        <w:rPr>
          <w:rFonts w:ascii="Times New Roman" w:hAnsi="Times New Roman"/>
          <w:b/>
          <w:sz w:val="24"/>
          <w:szCs w:val="24"/>
        </w:rPr>
      </w:pPr>
    </w:p>
    <w:p w:rsidR="004F1844" w:rsidRDefault="005D6046" w:rsidP="004F1844">
      <w:pPr>
        <w:rPr>
          <w:rFonts w:ascii="Times New Roman" w:hAnsi="Times New Roman"/>
          <w:b/>
          <w:sz w:val="24"/>
          <w:szCs w:val="24"/>
        </w:rPr>
      </w:pPr>
      <w:r>
        <w:rPr>
          <w:rFonts w:ascii="Times New Roman" w:hAnsi="Times New Roman"/>
          <w:b/>
          <w:sz w:val="24"/>
          <w:szCs w:val="24"/>
        </w:rPr>
        <w:t>2.2</w:t>
      </w:r>
      <w:r w:rsidR="007D6995">
        <w:rPr>
          <w:rFonts w:ascii="Times New Roman" w:hAnsi="Times New Roman"/>
          <w:b/>
          <w:sz w:val="24"/>
          <w:szCs w:val="24"/>
        </w:rPr>
        <w:t xml:space="preserve"> </w:t>
      </w:r>
      <w:r w:rsidR="004B57A5">
        <w:rPr>
          <w:rFonts w:ascii="Times New Roman" w:hAnsi="Times New Roman"/>
          <w:b/>
          <w:sz w:val="24"/>
          <w:szCs w:val="24"/>
        </w:rPr>
        <w:t xml:space="preserve"> </w:t>
      </w:r>
      <w:r>
        <w:rPr>
          <w:rFonts w:ascii="Times New Roman" w:hAnsi="Times New Roman"/>
          <w:b/>
          <w:sz w:val="24"/>
          <w:szCs w:val="24"/>
        </w:rPr>
        <w:t>Desconcentração industrial entre 1995 e 2006</w:t>
      </w:r>
    </w:p>
    <w:p w:rsidR="00621C12" w:rsidRDefault="00FA511E" w:rsidP="00621C12">
      <w:pPr>
        <w:spacing w:after="0" w:line="240" w:lineRule="auto"/>
        <w:ind w:firstLine="720"/>
        <w:rPr>
          <w:rFonts w:ascii="Times New Roman" w:hAnsi="Times New Roman"/>
          <w:sz w:val="24"/>
          <w:szCs w:val="24"/>
        </w:rPr>
      </w:pPr>
      <w:r>
        <w:rPr>
          <w:rFonts w:ascii="Times New Roman" w:hAnsi="Times New Roman"/>
          <w:sz w:val="24"/>
          <w:szCs w:val="24"/>
        </w:rPr>
        <w:t>Os valores da tabela 1 indicam que em 2006 ainda eram os estados das regiões Sudeste e</w:t>
      </w:r>
      <w:r w:rsidR="00D04A54">
        <w:rPr>
          <w:rFonts w:ascii="Times New Roman" w:hAnsi="Times New Roman"/>
          <w:sz w:val="24"/>
          <w:szCs w:val="24"/>
        </w:rPr>
        <w:t xml:space="preserve"> Sul do país, mais ricas</w:t>
      </w:r>
      <w:r>
        <w:rPr>
          <w:rFonts w:ascii="Times New Roman" w:hAnsi="Times New Roman"/>
          <w:sz w:val="24"/>
          <w:szCs w:val="24"/>
        </w:rPr>
        <w:t>, que apresentavam as maiores parcelas da renda do trabalho da indústria em relação às respectivas rendas totais. Tal fotografia da situação em 2006 não informa, contudo, a respeito do importante movimento de desconcentração industrial, tanto do emprego como da renda do trabalh</w:t>
      </w:r>
      <w:r w:rsidR="00F27178">
        <w:rPr>
          <w:rFonts w:ascii="Times New Roman" w:hAnsi="Times New Roman"/>
          <w:sz w:val="24"/>
          <w:szCs w:val="24"/>
        </w:rPr>
        <w:t>o, verificado entre 1995 e 2006 no país.</w:t>
      </w:r>
    </w:p>
    <w:p w:rsidR="00C70BB1" w:rsidRDefault="00F27178" w:rsidP="00D70075">
      <w:pPr>
        <w:spacing w:after="0" w:line="240" w:lineRule="auto"/>
        <w:ind w:firstLine="720"/>
        <w:rPr>
          <w:rFonts w:ascii="Times New Roman" w:hAnsi="Times New Roman"/>
          <w:sz w:val="24"/>
          <w:szCs w:val="24"/>
        </w:rPr>
      </w:pPr>
      <w:r>
        <w:rPr>
          <w:rFonts w:ascii="Times New Roman" w:hAnsi="Times New Roman"/>
          <w:sz w:val="24"/>
          <w:szCs w:val="24"/>
        </w:rPr>
        <w:t>Seja em virtude de políticas fiscais agressivas de atração de segmentos industriais levadas a efeito pelo</w:t>
      </w:r>
      <w:r w:rsidR="00AC1272">
        <w:rPr>
          <w:rFonts w:ascii="Times New Roman" w:hAnsi="Times New Roman"/>
          <w:sz w:val="24"/>
          <w:szCs w:val="24"/>
        </w:rPr>
        <w:t>s</w:t>
      </w:r>
      <w:r>
        <w:rPr>
          <w:rFonts w:ascii="Times New Roman" w:hAnsi="Times New Roman"/>
          <w:sz w:val="24"/>
          <w:szCs w:val="24"/>
        </w:rPr>
        <w:t xml:space="preserve"> estados mais pobres</w:t>
      </w:r>
      <w:r w:rsidR="00AC1272">
        <w:rPr>
          <w:rFonts w:ascii="Times New Roman" w:hAnsi="Times New Roman"/>
          <w:sz w:val="24"/>
          <w:szCs w:val="24"/>
        </w:rPr>
        <w:t xml:space="preserve"> ou de ações específicas do governo federal</w:t>
      </w:r>
      <w:r>
        <w:rPr>
          <w:rFonts w:ascii="Times New Roman" w:hAnsi="Times New Roman"/>
          <w:sz w:val="24"/>
          <w:szCs w:val="24"/>
        </w:rPr>
        <w:t>, seja em virtude da necessidade</w:t>
      </w:r>
      <w:r w:rsidR="00AC1272">
        <w:rPr>
          <w:rFonts w:ascii="Times New Roman" w:hAnsi="Times New Roman"/>
          <w:sz w:val="24"/>
          <w:szCs w:val="24"/>
        </w:rPr>
        <w:t xml:space="preserve"> de obter maior competitividade em um contexto de maior concorrência externa (vantagens comparativas)</w:t>
      </w:r>
      <w:r w:rsidR="004B5AB8">
        <w:rPr>
          <w:rFonts w:ascii="Times New Roman" w:hAnsi="Times New Roman"/>
          <w:sz w:val="24"/>
          <w:szCs w:val="24"/>
        </w:rPr>
        <w:t xml:space="preserve">, </w:t>
      </w:r>
      <w:r w:rsidR="00C70BB1">
        <w:rPr>
          <w:rFonts w:ascii="Times New Roman" w:hAnsi="Times New Roman"/>
          <w:sz w:val="24"/>
          <w:szCs w:val="24"/>
        </w:rPr>
        <w:t>ou</w:t>
      </w:r>
      <w:r w:rsidR="00AC1272">
        <w:rPr>
          <w:rFonts w:ascii="Times New Roman" w:hAnsi="Times New Roman"/>
          <w:sz w:val="24"/>
          <w:szCs w:val="24"/>
        </w:rPr>
        <w:t xml:space="preserve"> </w:t>
      </w:r>
      <w:r w:rsidR="00352CD5">
        <w:rPr>
          <w:rFonts w:ascii="Times New Roman" w:hAnsi="Times New Roman"/>
          <w:sz w:val="24"/>
          <w:szCs w:val="24"/>
        </w:rPr>
        <w:t>ainda</w:t>
      </w:r>
      <w:r w:rsidR="00AC1272">
        <w:rPr>
          <w:rFonts w:ascii="Times New Roman" w:hAnsi="Times New Roman"/>
          <w:sz w:val="24"/>
          <w:szCs w:val="24"/>
        </w:rPr>
        <w:t xml:space="preserve"> em decorrência da redução das disparidades escolaridade e crescimento da renda n</w:t>
      </w:r>
      <w:r w:rsidR="00C70BB1">
        <w:rPr>
          <w:rFonts w:ascii="Times New Roman" w:hAnsi="Times New Roman"/>
          <w:sz w:val="24"/>
          <w:szCs w:val="24"/>
        </w:rPr>
        <w:t xml:space="preserve">os estados </w:t>
      </w:r>
      <w:r w:rsidR="00C70BB1">
        <w:rPr>
          <w:rFonts w:ascii="Times New Roman" w:hAnsi="Times New Roman"/>
          <w:sz w:val="24"/>
          <w:szCs w:val="24"/>
        </w:rPr>
        <w:lastRenderedPageBreak/>
        <w:t>periféricos</w:t>
      </w:r>
      <w:r w:rsidR="00AC1272">
        <w:rPr>
          <w:rFonts w:ascii="Times New Roman" w:hAnsi="Times New Roman"/>
          <w:sz w:val="24"/>
          <w:szCs w:val="24"/>
        </w:rPr>
        <w:t xml:space="preserve"> (Krugam, 1991), </w:t>
      </w:r>
      <w:r w:rsidR="00C70BB1">
        <w:rPr>
          <w:rFonts w:ascii="Times New Roman" w:hAnsi="Times New Roman"/>
          <w:sz w:val="24"/>
          <w:szCs w:val="24"/>
        </w:rPr>
        <w:t>o fato é que entre 1995 e 2006 passam a ser mais elevadas as participações dos estados mais pobres tanto na renda do trabalho da indústria como no emprego industrial total do país.</w:t>
      </w:r>
    </w:p>
    <w:p w:rsidR="004B5AB8" w:rsidRDefault="004B5AB8" w:rsidP="00D70075">
      <w:pPr>
        <w:spacing w:after="0" w:line="240" w:lineRule="auto"/>
        <w:ind w:firstLine="720"/>
        <w:jc w:val="both"/>
        <w:rPr>
          <w:rFonts w:ascii="Times New Roman" w:hAnsi="Times New Roman"/>
          <w:sz w:val="24"/>
          <w:szCs w:val="24"/>
        </w:rPr>
      </w:pPr>
      <w:r>
        <w:rPr>
          <w:rFonts w:ascii="Times New Roman" w:hAnsi="Times New Roman"/>
          <w:sz w:val="24"/>
          <w:szCs w:val="24"/>
        </w:rPr>
        <w:t>Mais especificamente, em termos de participação no emprego industrial total, as parcelas dos 13 estado</w:t>
      </w:r>
      <w:r w:rsidR="00352CD5">
        <w:rPr>
          <w:rFonts w:ascii="Times New Roman" w:hAnsi="Times New Roman"/>
          <w:sz w:val="24"/>
          <w:szCs w:val="24"/>
        </w:rPr>
        <w:t>s</w:t>
      </w:r>
      <w:r>
        <w:rPr>
          <w:rFonts w:ascii="Times New Roman" w:hAnsi="Times New Roman"/>
          <w:sz w:val="24"/>
          <w:szCs w:val="24"/>
        </w:rPr>
        <w:t xml:space="preserve"> mais pobres e dos estados do Norte (exceto Amazonas) e Nordeste passam, respectivamente, de 21,6% e 21,7% em 1995 para, mantida a mesma ordem, 24,6% e 24,8% em 2006. Comparações a partir de informações de participações, contudo, não medem corretamente as variações nos níveis de concentração; por tal razão o gráfico 3, a seguir, apresenta o coeficiente de Gini locacional para a distribuição do emprego industrial entre as unidades federativas do Brasil entre 1995 e 2006. Tal coeficiente fornece uma medida de desi</w:t>
      </w:r>
      <w:r w:rsidR="00584EFA">
        <w:rPr>
          <w:rFonts w:ascii="Times New Roman" w:hAnsi="Times New Roman"/>
          <w:sz w:val="24"/>
          <w:szCs w:val="24"/>
        </w:rPr>
        <w:t>gu</w:t>
      </w:r>
      <w:r>
        <w:rPr>
          <w:rFonts w:ascii="Times New Roman" w:hAnsi="Times New Roman"/>
          <w:sz w:val="24"/>
          <w:szCs w:val="24"/>
        </w:rPr>
        <w:t>a</w:t>
      </w:r>
      <w:r w:rsidR="00584EFA">
        <w:rPr>
          <w:rFonts w:ascii="Times New Roman" w:hAnsi="Times New Roman"/>
          <w:sz w:val="24"/>
          <w:szCs w:val="24"/>
        </w:rPr>
        <w:t>l</w:t>
      </w:r>
      <w:r>
        <w:rPr>
          <w:rFonts w:ascii="Times New Roman" w:hAnsi="Times New Roman"/>
          <w:sz w:val="24"/>
          <w:szCs w:val="24"/>
        </w:rPr>
        <w:t>dade a partir da comparação da distribuição acumulada do emprego total entres as unidades com a distribuição acumulada do emprego industrial entre as mesmas unidades</w:t>
      </w:r>
      <w:r>
        <w:rPr>
          <w:rStyle w:val="FootnoteReference"/>
          <w:rFonts w:ascii="Times New Roman" w:hAnsi="Times New Roman"/>
          <w:sz w:val="24"/>
          <w:szCs w:val="24"/>
        </w:rPr>
        <w:footnoteReference w:id="2"/>
      </w:r>
      <w:r>
        <w:rPr>
          <w:rFonts w:ascii="Times New Roman" w:hAnsi="Times New Roman"/>
          <w:sz w:val="24"/>
          <w:szCs w:val="24"/>
        </w:rPr>
        <w:t>.</w:t>
      </w:r>
    </w:p>
    <w:p w:rsidR="00F27178" w:rsidRDefault="00C70BB1" w:rsidP="00F27178">
      <w:pPr>
        <w:spacing w:after="0"/>
        <w:ind w:firstLine="720"/>
        <w:jc w:val="both"/>
        <w:rPr>
          <w:rFonts w:ascii="Times New Roman" w:hAnsi="Times New Roman"/>
          <w:sz w:val="24"/>
          <w:szCs w:val="24"/>
        </w:rPr>
      </w:pPr>
      <w:r>
        <w:rPr>
          <w:rFonts w:ascii="Times New Roman" w:hAnsi="Times New Roman"/>
          <w:sz w:val="24"/>
          <w:szCs w:val="24"/>
        </w:rPr>
        <w:t xml:space="preserve"> </w:t>
      </w:r>
    </w:p>
    <w:p w:rsidR="005539C3" w:rsidRDefault="00584EFA">
      <w:pPr>
        <w:rPr>
          <w:rFonts w:ascii="Times New Roman" w:hAnsi="Times New Roman"/>
          <w:b/>
          <w:sz w:val="24"/>
          <w:szCs w:val="24"/>
        </w:rPr>
      </w:pPr>
      <w:r>
        <w:rPr>
          <w:rFonts w:ascii="Times New Roman" w:hAnsi="Times New Roman"/>
          <w:b/>
          <w:sz w:val="24"/>
          <w:szCs w:val="24"/>
        </w:rPr>
        <w:t xml:space="preserve">    </w:t>
      </w:r>
      <w:r w:rsidR="00973477">
        <w:rPr>
          <w:rFonts w:ascii="Times New Roman" w:hAnsi="Times New Roman"/>
          <w:b/>
          <w:noProof/>
          <w:sz w:val="24"/>
          <w:szCs w:val="24"/>
          <w:lang w:val="en-US"/>
        </w:rPr>
        <w:drawing>
          <wp:inline distT="0" distB="0" distL="0" distR="0">
            <wp:extent cx="5334000" cy="2743200"/>
            <wp:effectExtent l="0" t="0" r="0" b="0"/>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4EFA" w:rsidRDefault="00584EFA">
      <w:pPr>
        <w:rPr>
          <w:rFonts w:ascii="Times New Roman" w:hAnsi="Times New Roman"/>
          <w:sz w:val="20"/>
          <w:szCs w:val="24"/>
        </w:rPr>
      </w:pPr>
      <w:r>
        <w:rPr>
          <w:rFonts w:ascii="Times New Roman" w:hAnsi="Times New Roman"/>
          <w:b/>
          <w:sz w:val="24"/>
          <w:szCs w:val="24"/>
        </w:rPr>
        <w:t xml:space="preserve">                     </w:t>
      </w:r>
      <w:r>
        <w:rPr>
          <w:rFonts w:ascii="Times New Roman" w:hAnsi="Times New Roman"/>
          <w:sz w:val="20"/>
          <w:szCs w:val="24"/>
        </w:rPr>
        <w:t>Fonte: cálculo do autor a partir dos microdados da PNAD.</w:t>
      </w:r>
    </w:p>
    <w:p w:rsidR="00584EFA" w:rsidRDefault="00584EFA" w:rsidP="00621C12">
      <w:pPr>
        <w:spacing w:after="0" w:line="240" w:lineRule="auto"/>
        <w:jc w:val="both"/>
        <w:rPr>
          <w:rFonts w:ascii="Times New Roman" w:hAnsi="Times New Roman"/>
          <w:sz w:val="24"/>
          <w:szCs w:val="24"/>
        </w:rPr>
      </w:pPr>
      <w:r>
        <w:rPr>
          <w:rFonts w:ascii="Times New Roman" w:hAnsi="Times New Roman"/>
          <w:sz w:val="20"/>
          <w:szCs w:val="24"/>
        </w:rPr>
        <w:tab/>
      </w:r>
      <w:r>
        <w:rPr>
          <w:rFonts w:ascii="Times New Roman" w:hAnsi="Times New Roman"/>
          <w:sz w:val="24"/>
          <w:szCs w:val="24"/>
        </w:rPr>
        <w:t xml:space="preserve">Como se percebe imediatamente a partir do referido gráfico a redução do nível de concentração do emprego industrial entre as unidades federativas brasileiras é quase monotônica. Entre 1995 e 2006, o coeficiente de Gini locacional para distribuição do emprego industrial apresenta redução de 26,6%, indo de 0,1783 para o valor de 0,1308. Como se nota, tal ritmo de redução é superior até aquele observado para distribuição de renda </w:t>
      </w:r>
      <w:r>
        <w:rPr>
          <w:rFonts w:ascii="Times New Roman" w:hAnsi="Times New Roman"/>
          <w:i/>
          <w:sz w:val="24"/>
          <w:szCs w:val="24"/>
        </w:rPr>
        <w:t xml:space="preserve">per capita </w:t>
      </w:r>
      <w:r>
        <w:rPr>
          <w:rFonts w:ascii="Times New Roman" w:hAnsi="Times New Roman"/>
          <w:sz w:val="24"/>
          <w:szCs w:val="24"/>
        </w:rPr>
        <w:t>entre os estados</w:t>
      </w:r>
      <w:r>
        <w:rPr>
          <w:rStyle w:val="FootnoteReference"/>
          <w:rFonts w:ascii="Times New Roman" w:hAnsi="Times New Roman"/>
          <w:sz w:val="24"/>
          <w:szCs w:val="24"/>
        </w:rPr>
        <w:footnoteReference w:id="3"/>
      </w:r>
      <w:r>
        <w:rPr>
          <w:rFonts w:ascii="Times New Roman" w:hAnsi="Times New Roman"/>
          <w:sz w:val="24"/>
          <w:szCs w:val="24"/>
        </w:rPr>
        <w:t>.</w:t>
      </w:r>
    </w:p>
    <w:p w:rsidR="007F5AC4" w:rsidRPr="00584EFA" w:rsidRDefault="007F5AC4" w:rsidP="00621C12">
      <w:pPr>
        <w:spacing w:after="0" w:line="240" w:lineRule="auto"/>
        <w:jc w:val="both"/>
        <w:rPr>
          <w:rFonts w:ascii="Times New Roman" w:hAnsi="Times New Roman"/>
          <w:sz w:val="24"/>
          <w:szCs w:val="24"/>
        </w:rPr>
      </w:pPr>
      <w:r>
        <w:rPr>
          <w:rFonts w:ascii="Times New Roman" w:hAnsi="Times New Roman"/>
          <w:sz w:val="24"/>
          <w:szCs w:val="24"/>
        </w:rPr>
        <w:tab/>
        <w:t xml:space="preserve">Tal redução da desigualdade da distribuição do emprego industrial é acompanhada, além disto, de redução da desigualdade da distribuição da renda </w:t>
      </w:r>
      <w:r>
        <w:rPr>
          <w:rFonts w:ascii="Times New Roman" w:hAnsi="Times New Roman"/>
          <w:i/>
          <w:sz w:val="24"/>
          <w:szCs w:val="24"/>
        </w:rPr>
        <w:t xml:space="preserve">per capita </w:t>
      </w:r>
      <w:r>
        <w:rPr>
          <w:rFonts w:ascii="Times New Roman" w:hAnsi="Times New Roman"/>
          <w:sz w:val="24"/>
          <w:szCs w:val="24"/>
        </w:rPr>
        <w:t xml:space="preserve">do trabalho industrial entre as unidades federativas do país no mesmo período, o que se significa que a redistribuição do emprego industrial foi acompanhada de melhora do perfil da demanda por trabalho por parte das firmas das unidades mais pobres do país. </w:t>
      </w:r>
      <w:r w:rsidR="006D0467">
        <w:rPr>
          <w:rFonts w:ascii="Times New Roman" w:hAnsi="Times New Roman"/>
          <w:sz w:val="24"/>
          <w:szCs w:val="24"/>
        </w:rPr>
        <w:t>Para ilustrar este movimento</w:t>
      </w:r>
      <w:r>
        <w:rPr>
          <w:rFonts w:ascii="Times New Roman" w:hAnsi="Times New Roman"/>
          <w:sz w:val="24"/>
          <w:szCs w:val="24"/>
        </w:rPr>
        <w:t>,</w:t>
      </w:r>
      <w:r w:rsidR="006D0467">
        <w:rPr>
          <w:rFonts w:ascii="Times New Roman" w:hAnsi="Times New Roman"/>
          <w:sz w:val="24"/>
          <w:szCs w:val="24"/>
        </w:rPr>
        <w:t xml:space="preserve"> que será tratado com mais detalhes nas seções seguintes,</w:t>
      </w:r>
      <w:r>
        <w:rPr>
          <w:rFonts w:ascii="Times New Roman" w:hAnsi="Times New Roman"/>
          <w:sz w:val="24"/>
          <w:szCs w:val="24"/>
        </w:rPr>
        <w:t xml:space="preserve"> o gráfico 4, a seguir, apresenta a renda do trabalho industrial </w:t>
      </w:r>
      <w:r>
        <w:rPr>
          <w:rFonts w:ascii="Times New Roman" w:hAnsi="Times New Roman"/>
          <w:i/>
          <w:sz w:val="24"/>
          <w:szCs w:val="24"/>
        </w:rPr>
        <w:t xml:space="preserve">per capita </w:t>
      </w:r>
      <w:r w:rsidR="00352A93">
        <w:rPr>
          <w:rFonts w:ascii="Times New Roman" w:hAnsi="Times New Roman"/>
          <w:sz w:val="24"/>
          <w:szCs w:val="24"/>
        </w:rPr>
        <w:t xml:space="preserve">(fonte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eti</m:t>
            </m:r>
          </m:sub>
        </m:sSub>
        <m:r>
          <w:rPr>
            <w:rFonts w:ascii="Cambria Math" w:hAnsi="Cambria Math"/>
            <w:sz w:val="24"/>
            <w:szCs w:val="24"/>
          </w:rPr>
          <m:t xml:space="preserve"> </m:t>
        </m:r>
      </m:oMath>
      <w:r w:rsidR="00352A93">
        <w:rPr>
          <w:rFonts w:ascii="Times New Roman" w:eastAsia="Times New Roman" w:hAnsi="Times New Roman"/>
          <w:sz w:val="24"/>
          <w:szCs w:val="24"/>
        </w:rPr>
        <w:t xml:space="preserve">da equação (1)) </w:t>
      </w:r>
      <w:r>
        <w:rPr>
          <w:rFonts w:ascii="Times New Roman" w:hAnsi="Times New Roman"/>
          <w:sz w:val="24"/>
          <w:szCs w:val="24"/>
        </w:rPr>
        <w:t>para cada unidade</w:t>
      </w:r>
      <w:r w:rsidR="006D0467">
        <w:rPr>
          <w:rFonts w:ascii="Times New Roman" w:hAnsi="Times New Roman"/>
          <w:sz w:val="24"/>
          <w:szCs w:val="24"/>
        </w:rPr>
        <w:t xml:space="preserve"> federativa nos anos de 1995 e 2006 em relação à média do referido ano</w:t>
      </w:r>
      <w:r w:rsidR="00155994">
        <w:rPr>
          <w:rFonts w:ascii="Times New Roman" w:hAnsi="Times New Roman"/>
          <w:sz w:val="24"/>
          <w:szCs w:val="24"/>
        </w:rPr>
        <w:t xml:space="preserve">, mantida, com antes, a ordenação dos estados a partir da renda total </w:t>
      </w:r>
      <w:r w:rsidR="00155994">
        <w:rPr>
          <w:rFonts w:ascii="Times New Roman" w:hAnsi="Times New Roman"/>
          <w:i/>
          <w:sz w:val="24"/>
          <w:szCs w:val="24"/>
        </w:rPr>
        <w:t xml:space="preserve">per capita </w:t>
      </w:r>
      <w:r w:rsidR="00155994">
        <w:rPr>
          <w:rFonts w:ascii="Times New Roman" w:hAnsi="Times New Roman"/>
          <w:sz w:val="24"/>
          <w:szCs w:val="24"/>
        </w:rPr>
        <w:t>de 1995.</w:t>
      </w:r>
    </w:p>
    <w:p w:rsidR="00053743" w:rsidRDefault="00584EFA">
      <w:pPr>
        <w:rPr>
          <w:rFonts w:ascii="Times New Roman" w:hAnsi="Times New Roman"/>
          <w:b/>
          <w:sz w:val="24"/>
          <w:szCs w:val="24"/>
        </w:rPr>
      </w:pPr>
      <w:r>
        <w:rPr>
          <w:rFonts w:ascii="Times New Roman" w:hAnsi="Times New Roman"/>
          <w:sz w:val="20"/>
          <w:szCs w:val="24"/>
        </w:rPr>
        <w:lastRenderedPageBreak/>
        <w:tab/>
      </w:r>
      <w:r w:rsidR="005539C3">
        <w:rPr>
          <w:rFonts w:ascii="Times New Roman" w:hAnsi="Times New Roman"/>
          <w:b/>
          <w:sz w:val="24"/>
          <w:szCs w:val="24"/>
        </w:rPr>
        <w:t xml:space="preserve">    </w:t>
      </w:r>
      <w:r w:rsidR="00973477">
        <w:rPr>
          <w:rFonts w:ascii="Times New Roman" w:hAnsi="Times New Roman"/>
          <w:b/>
          <w:noProof/>
          <w:sz w:val="24"/>
          <w:szCs w:val="24"/>
          <w:lang w:val="en-US"/>
        </w:rPr>
        <w:drawing>
          <wp:inline distT="0" distB="0" distL="0" distR="0">
            <wp:extent cx="5781675" cy="2743200"/>
            <wp:effectExtent l="0" t="0" r="0" b="0"/>
            <wp:docPr id="3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5AC4" w:rsidRDefault="007F5AC4" w:rsidP="007F5AC4">
      <w:pPr>
        <w:rPr>
          <w:rFonts w:ascii="Times New Roman" w:hAnsi="Times New Roman"/>
          <w:sz w:val="20"/>
          <w:szCs w:val="24"/>
        </w:rPr>
      </w:pPr>
      <w:r>
        <w:rPr>
          <w:rFonts w:ascii="Times New Roman" w:hAnsi="Times New Roman"/>
          <w:b/>
          <w:sz w:val="24"/>
          <w:szCs w:val="24"/>
        </w:rPr>
        <w:tab/>
      </w:r>
      <w:r w:rsidR="00973477">
        <w:rPr>
          <w:rFonts w:ascii="Times New Roman" w:hAnsi="Times New Roman"/>
          <w:b/>
          <w:sz w:val="24"/>
          <w:szCs w:val="24"/>
        </w:rPr>
        <w:t xml:space="preserve">               </w:t>
      </w:r>
      <w:r>
        <w:rPr>
          <w:rFonts w:ascii="Times New Roman" w:hAnsi="Times New Roman"/>
          <w:sz w:val="20"/>
          <w:szCs w:val="24"/>
        </w:rPr>
        <w:t>Fonte: cálculo do autor a partir dos microdados da PNAD.</w:t>
      </w:r>
    </w:p>
    <w:p w:rsidR="00E12777" w:rsidRDefault="006D0467" w:rsidP="00621C12">
      <w:pPr>
        <w:spacing w:after="0" w:line="240" w:lineRule="auto"/>
        <w:jc w:val="both"/>
        <w:rPr>
          <w:rFonts w:ascii="Times New Roman" w:hAnsi="Times New Roman"/>
          <w:sz w:val="24"/>
          <w:szCs w:val="24"/>
        </w:rPr>
      </w:pPr>
      <w:r>
        <w:rPr>
          <w:rFonts w:ascii="Times New Roman" w:hAnsi="Times New Roman"/>
          <w:b/>
          <w:sz w:val="24"/>
          <w:szCs w:val="24"/>
        </w:rPr>
        <w:tab/>
      </w:r>
      <w:r w:rsidR="00155994" w:rsidRPr="00155994">
        <w:rPr>
          <w:rFonts w:ascii="Times New Roman" w:hAnsi="Times New Roman"/>
          <w:sz w:val="24"/>
          <w:szCs w:val="24"/>
        </w:rPr>
        <w:t>O</w:t>
      </w:r>
      <w:r w:rsidR="00155994">
        <w:rPr>
          <w:rFonts w:ascii="Times New Roman" w:hAnsi="Times New Roman"/>
          <w:sz w:val="24"/>
          <w:szCs w:val="24"/>
        </w:rPr>
        <w:t>s valores presentes no</w:t>
      </w:r>
      <w:r w:rsidR="00155994" w:rsidRPr="00155994">
        <w:rPr>
          <w:rFonts w:ascii="Times New Roman" w:hAnsi="Times New Roman"/>
          <w:sz w:val="24"/>
          <w:szCs w:val="24"/>
        </w:rPr>
        <w:t xml:space="preserve"> gráfico</w:t>
      </w:r>
      <w:r w:rsidR="00155994">
        <w:rPr>
          <w:rFonts w:ascii="Times New Roman" w:hAnsi="Times New Roman"/>
          <w:sz w:val="24"/>
          <w:szCs w:val="24"/>
        </w:rPr>
        <w:t xml:space="preserve"> 4 permitem perceber que apenas 8 unidades federativas  apresentam reduções nos valores das rendas do trabalho industrial </w:t>
      </w:r>
      <w:r w:rsidR="00155994">
        <w:rPr>
          <w:rFonts w:ascii="Times New Roman" w:hAnsi="Times New Roman"/>
          <w:i/>
          <w:sz w:val="24"/>
          <w:szCs w:val="24"/>
        </w:rPr>
        <w:t xml:space="preserve">per capita </w:t>
      </w:r>
      <w:r w:rsidR="00155994">
        <w:rPr>
          <w:rFonts w:ascii="Times New Roman" w:hAnsi="Times New Roman"/>
          <w:sz w:val="24"/>
          <w:szCs w:val="24"/>
        </w:rPr>
        <w:t xml:space="preserve">em relação à média observada em cada ano, estando entre estas as quatro unidades mais ricas (DF, SP, RJ, SC). Mais especificamente, por exemplo, enquanto em 1995 São Paulo apresentava uma renda do trabalho industrial </w:t>
      </w:r>
      <w:r w:rsidR="00155994" w:rsidRPr="00155994">
        <w:rPr>
          <w:rFonts w:ascii="Times New Roman" w:hAnsi="Times New Roman"/>
          <w:i/>
          <w:sz w:val="24"/>
          <w:szCs w:val="24"/>
        </w:rPr>
        <w:t xml:space="preserve">per capita </w:t>
      </w:r>
      <w:r w:rsidR="00352A93">
        <w:rPr>
          <w:rFonts w:ascii="Times New Roman" w:hAnsi="Times New Roman"/>
          <w:sz w:val="24"/>
          <w:szCs w:val="24"/>
        </w:rPr>
        <w:t>correspondente a mais de 280% àquela da média de todos os estados, em 2006, tal percentual havia se reduzido para cerca de 230%; no outro extremo, no Maranhão o correspondente percentual se eleva no mesmo período de 31,5% (1995) para 56,5% (2006) da renda média do correspondente ano.</w:t>
      </w:r>
      <w:r w:rsidR="00D728B6">
        <w:rPr>
          <w:rFonts w:ascii="Times New Roman" w:hAnsi="Times New Roman"/>
          <w:sz w:val="24"/>
          <w:szCs w:val="24"/>
        </w:rPr>
        <w:t xml:space="preserve"> </w:t>
      </w:r>
    </w:p>
    <w:p w:rsidR="001E1962" w:rsidRDefault="00D728B6" w:rsidP="00621C12">
      <w:pPr>
        <w:spacing w:after="0" w:line="240" w:lineRule="auto"/>
        <w:ind w:firstLine="720"/>
        <w:jc w:val="both"/>
        <w:rPr>
          <w:rFonts w:ascii="Times New Roman" w:hAnsi="Times New Roman"/>
          <w:sz w:val="24"/>
          <w:szCs w:val="24"/>
        </w:rPr>
      </w:pPr>
      <w:r>
        <w:rPr>
          <w:rFonts w:ascii="Times New Roman" w:hAnsi="Times New Roman"/>
          <w:sz w:val="24"/>
          <w:szCs w:val="24"/>
        </w:rPr>
        <w:t xml:space="preserve">O cotejo entre as regiões Nordeste (NE) e Sudeste (SE) do país aponta no mesmo sentido, embora o movimento seja atenuado pelo crescimento verificado </w:t>
      </w:r>
      <w:r w:rsidR="00352CD5">
        <w:rPr>
          <w:rFonts w:ascii="Times New Roman" w:hAnsi="Times New Roman"/>
          <w:sz w:val="24"/>
          <w:szCs w:val="24"/>
        </w:rPr>
        <w:t>em</w:t>
      </w:r>
      <w:r>
        <w:rPr>
          <w:rFonts w:ascii="Times New Roman" w:hAnsi="Times New Roman"/>
          <w:sz w:val="24"/>
          <w:szCs w:val="24"/>
        </w:rPr>
        <w:t xml:space="preserve"> Minas Gerais e </w:t>
      </w:r>
      <w:r w:rsidR="00352CD5">
        <w:rPr>
          <w:rFonts w:ascii="Times New Roman" w:hAnsi="Times New Roman"/>
          <w:sz w:val="24"/>
          <w:szCs w:val="24"/>
        </w:rPr>
        <w:t xml:space="preserve">no </w:t>
      </w:r>
      <w:r>
        <w:rPr>
          <w:rFonts w:ascii="Times New Roman" w:hAnsi="Times New Roman"/>
          <w:sz w:val="24"/>
          <w:szCs w:val="24"/>
        </w:rPr>
        <w:t xml:space="preserve">Espírito Santo: entre 1995 e 2006, a média dos estados do NE apresenta elevação de 48% para 61% da renda </w:t>
      </w:r>
      <w:r w:rsidR="00352CD5">
        <w:rPr>
          <w:rFonts w:ascii="Times New Roman" w:hAnsi="Times New Roman"/>
          <w:sz w:val="24"/>
          <w:szCs w:val="24"/>
        </w:rPr>
        <w:t xml:space="preserve">média </w:t>
      </w:r>
      <w:r>
        <w:rPr>
          <w:rFonts w:ascii="Times New Roman" w:hAnsi="Times New Roman"/>
          <w:sz w:val="24"/>
          <w:szCs w:val="24"/>
        </w:rPr>
        <w:t xml:space="preserve">do trabalho industrial </w:t>
      </w:r>
      <w:r>
        <w:rPr>
          <w:rFonts w:ascii="Times New Roman" w:hAnsi="Times New Roman"/>
          <w:i/>
          <w:sz w:val="24"/>
          <w:szCs w:val="24"/>
        </w:rPr>
        <w:t>per capita</w:t>
      </w:r>
      <w:r w:rsidR="00AA09BC">
        <w:rPr>
          <w:rFonts w:ascii="Times New Roman" w:hAnsi="Times New Roman"/>
          <w:sz w:val="24"/>
          <w:szCs w:val="24"/>
        </w:rPr>
        <w:t>, ao mesmo tempo em que para a média dos estados do SE é observada redução de 154% para 146%</w:t>
      </w:r>
      <w:r w:rsidR="00AA09BC" w:rsidRPr="00AA09BC">
        <w:rPr>
          <w:rFonts w:ascii="Times New Roman" w:hAnsi="Times New Roman"/>
          <w:sz w:val="24"/>
          <w:szCs w:val="24"/>
        </w:rPr>
        <w:t xml:space="preserve"> </w:t>
      </w:r>
      <w:r w:rsidR="00AA09BC">
        <w:rPr>
          <w:rFonts w:ascii="Times New Roman" w:hAnsi="Times New Roman"/>
          <w:sz w:val="24"/>
          <w:szCs w:val="24"/>
        </w:rPr>
        <w:t xml:space="preserve">da renda </w:t>
      </w:r>
      <w:r w:rsidR="00352CD5">
        <w:rPr>
          <w:rFonts w:ascii="Times New Roman" w:hAnsi="Times New Roman"/>
          <w:sz w:val="24"/>
          <w:szCs w:val="24"/>
        </w:rPr>
        <w:t xml:space="preserve">média </w:t>
      </w:r>
      <w:r w:rsidR="00AA09BC">
        <w:rPr>
          <w:rFonts w:ascii="Times New Roman" w:hAnsi="Times New Roman"/>
          <w:sz w:val="24"/>
          <w:szCs w:val="24"/>
        </w:rPr>
        <w:t xml:space="preserve">do trabalho industrial </w:t>
      </w:r>
      <w:r w:rsidR="00AA09BC">
        <w:rPr>
          <w:rFonts w:ascii="Times New Roman" w:hAnsi="Times New Roman"/>
          <w:i/>
          <w:sz w:val="24"/>
          <w:szCs w:val="24"/>
        </w:rPr>
        <w:t>per capita</w:t>
      </w:r>
      <w:r w:rsidR="00AA09BC">
        <w:rPr>
          <w:rFonts w:ascii="Times New Roman" w:hAnsi="Times New Roman"/>
          <w:sz w:val="24"/>
          <w:szCs w:val="24"/>
        </w:rPr>
        <w:t xml:space="preserve">. </w:t>
      </w:r>
      <w:r w:rsidR="00E12777">
        <w:rPr>
          <w:rFonts w:ascii="Times New Roman" w:hAnsi="Times New Roman"/>
          <w:sz w:val="24"/>
          <w:szCs w:val="24"/>
        </w:rPr>
        <w:t xml:space="preserve">Por fim, o cálculo do índice Gini para a distribuição da renda do trabalho industrial </w:t>
      </w:r>
      <w:r w:rsidR="00E12777">
        <w:rPr>
          <w:rFonts w:ascii="Times New Roman" w:hAnsi="Times New Roman"/>
          <w:i/>
          <w:sz w:val="24"/>
          <w:szCs w:val="24"/>
        </w:rPr>
        <w:t>per capita</w:t>
      </w:r>
      <w:r w:rsidR="00E12777">
        <w:rPr>
          <w:rFonts w:ascii="Times New Roman" w:hAnsi="Times New Roman"/>
          <w:sz w:val="24"/>
          <w:szCs w:val="24"/>
        </w:rPr>
        <w:t xml:space="preserve"> entre as unidades federativas aponta para uma redução de 0,3260 em 1995 para 0,2572 (queda de 21,1%).</w:t>
      </w:r>
    </w:p>
    <w:p w:rsidR="004F1844" w:rsidRDefault="004F1844" w:rsidP="00621C12">
      <w:pPr>
        <w:spacing w:after="0" w:line="240" w:lineRule="auto"/>
        <w:ind w:firstLine="720"/>
        <w:jc w:val="both"/>
        <w:rPr>
          <w:rFonts w:ascii="Times New Roman" w:hAnsi="Times New Roman"/>
          <w:sz w:val="24"/>
          <w:szCs w:val="24"/>
        </w:rPr>
      </w:pPr>
    </w:p>
    <w:p w:rsidR="00EE6C37" w:rsidRDefault="00885EF7" w:rsidP="00EE6C37">
      <w:pPr>
        <w:jc w:val="both"/>
        <w:rPr>
          <w:rFonts w:ascii="Times New Roman" w:hAnsi="Times New Roman"/>
          <w:b/>
          <w:sz w:val="24"/>
          <w:szCs w:val="24"/>
        </w:rPr>
      </w:pPr>
      <w:r>
        <w:rPr>
          <w:rFonts w:ascii="Times New Roman" w:hAnsi="Times New Roman"/>
          <w:b/>
          <w:sz w:val="24"/>
          <w:szCs w:val="24"/>
        </w:rPr>
        <w:t>3</w:t>
      </w:r>
      <w:r w:rsidR="00F2728C">
        <w:rPr>
          <w:rFonts w:ascii="Times New Roman" w:hAnsi="Times New Roman"/>
          <w:b/>
          <w:sz w:val="24"/>
          <w:szCs w:val="24"/>
        </w:rPr>
        <w:t xml:space="preserve">. A importância das diferentes fontes de renda para a desigualdade regional </w:t>
      </w:r>
      <w:r w:rsidR="00EE6C37">
        <w:rPr>
          <w:rFonts w:ascii="Times New Roman" w:hAnsi="Times New Roman"/>
          <w:b/>
          <w:sz w:val="24"/>
          <w:szCs w:val="24"/>
        </w:rPr>
        <w:t>e suas contribuições a recente diminuição desta desigualdade no Brasil</w:t>
      </w:r>
    </w:p>
    <w:p w:rsidR="00746E05" w:rsidRDefault="00885EF7" w:rsidP="00E12777">
      <w:pPr>
        <w:jc w:val="both"/>
        <w:rPr>
          <w:rFonts w:ascii="Times New Roman" w:hAnsi="Times New Roman"/>
          <w:b/>
          <w:sz w:val="24"/>
          <w:szCs w:val="24"/>
        </w:rPr>
      </w:pPr>
      <w:r>
        <w:rPr>
          <w:rFonts w:ascii="Times New Roman" w:hAnsi="Times New Roman"/>
          <w:b/>
          <w:sz w:val="24"/>
          <w:szCs w:val="24"/>
        </w:rPr>
        <w:t>3</w:t>
      </w:r>
      <w:r w:rsidR="00E12777" w:rsidRPr="00E12777">
        <w:rPr>
          <w:rFonts w:ascii="Times New Roman" w:hAnsi="Times New Roman"/>
          <w:b/>
          <w:sz w:val="24"/>
          <w:szCs w:val="24"/>
        </w:rPr>
        <w:t xml:space="preserve">.1 </w:t>
      </w:r>
      <w:r w:rsidR="00E12777">
        <w:rPr>
          <w:rFonts w:ascii="Times New Roman" w:hAnsi="Times New Roman"/>
          <w:b/>
          <w:sz w:val="24"/>
          <w:szCs w:val="24"/>
        </w:rPr>
        <w:t>A redução da desigualdade regional de renda entre 1995-2006</w:t>
      </w:r>
    </w:p>
    <w:p w:rsidR="00E12777" w:rsidRDefault="006F6FCE" w:rsidP="00621C12">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Como já haviam notado recentemente Silveira Neto e Azzoni (2010) a partir de testes tradicionais de convergência (convergência-β, as tradicionais regressões de crescimento, e convergência-σ, evolução do logaritmo desvio-padrão da distribuição da renda </w:t>
      </w:r>
      <w:r>
        <w:rPr>
          <w:rFonts w:ascii="Times New Roman" w:hAnsi="Times New Roman"/>
          <w:i/>
          <w:sz w:val="24"/>
          <w:szCs w:val="24"/>
        </w:rPr>
        <w:t>per capita</w:t>
      </w:r>
      <w:r>
        <w:rPr>
          <w:rFonts w:ascii="Times New Roman" w:hAnsi="Times New Roman"/>
          <w:sz w:val="24"/>
          <w:szCs w:val="24"/>
        </w:rPr>
        <w:t xml:space="preserve">) e de indicadores também tradicionais de desigualdade (índice de Gini e Theil), no se refere à distribuição de renda entre as unidades federativas brasileiras, o período entre 1995 e 2006 caracteriza-se por significativa redução da desigualdade. </w:t>
      </w:r>
    </w:p>
    <w:p w:rsidR="006F6FCE" w:rsidRPr="001341BA" w:rsidRDefault="006F6FCE" w:rsidP="00621C12">
      <w:pPr>
        <w:spacing w:after="0" w:line="240" w:lineRule="auto"/>
        <w:jc w:val="both"/>
        <w:rPr>
          <w:rFonts w:ascii="Times New Roman" w:hAnsi="Times New Roman"/>
          <w:sz w:val="24"/>
          <w:szCs w:val="24"/>
        </w:rPr>
      </w:pPr>
      <w:r>
        <w:rPr>
          <w:rFonts w:ascii="Times New Roman" w:hAnsi="Times New Roman"/>
          <w:sz w:val="24"/>
          <w:szCs w:val="24"/>
        </w:rPr>
        <w:tab/>
        <w:t xml:space="preserve">No sentido de recuperar parte destas evidenciais e ao mesmo tempo já introduzir indicadores de desigualde que serão utilizados </w:t>
      </w:r>
      <w:r w:rsidR="001341BA">
        <w:rPr>
          <w:rFonts w:ascii="Times New Roman" w:hAnsi="Times New Roman"/>
          <w:sz w:val="24"/>
          <w:szCs w:val="24"/>
        </w:rPr>
        <w:t>nesta seção</w:t>
      </w:r>
      <w:r>
        <w:rPr>
          <w:rFonts w:ascii="Times New Roman" w:hAnsi="Times New Roman"/>
          <w:sz w:val="24"/>
          <w:szCs w:val="24"/>
        </w:rPr>
        <w:t>, o gráfico 5, a seguir, apresenta a evolução do desvio-padrão da distribuição do</w:t>
      </w:r>
      <w:r w:rsidRPr="006F6FCE">
        <w:rPr>
          <w:rFonts w:ascii="Times New Roman" w:hAnsi="Times New Roman"/>
          <w:sz w:val="24"/>
          <w:szCs w:val="24"/>
        </w:rPr>
        <w:t xml:space="preserve"> </w:t>
      </w:r>
      <w:r>
        <w:rPr>
          <w:rFonts w:ascii="Times New Roman" w:hAnsi="Times New Roman"/>
          <w:sz w:val="24"/>
          <w:szCs w:val="24"/>
        </w:rPr>
        <w:t xml:space="preserve">logaritmo da renda total </w:t>
      </w:r>
      <w:r>
        <w:rPr>
          <w:rFonts w:ascii="Times New Roman" w:hAnsi="Times New Roman"/>
          <w:i/>
          <w:sz w:val="24"/>
          <w:szCs w:val="24"/>
        </w:rPr>
        <w:t>per capita</w:t>
      </w:r>
      <w:r w:rsidR="001341BA">
        <w:rPr>
          <w:rFonts w:ascii="Times New Roman" w:hAnsi="Times New Roman"/>
          <w:sz w:val="24"/>
          <w:szCs w:val="24"/>
        </w:rPr>
        <w:t xml:space="preserve"> entre as unidades federativas brasileiras e o tradicional índice de Gini para a distribuição da renda total  </w:t>
      </w:r>
      <w:r w:rsidR="001341BA">
        <w:rPr>
          <w:rFonts w:ascii="Times New Roman" w:hAnsi="Times New Roman"/>
          <w:i/>
          <w:sz w:val="24"/>
          <w:szCs w:val="24"/>
        </w:rPr>
        <w:t xml:space="preserve">per capita </w:t>
      </w:r>
      <w:r w:rsidR="001341BA">
        <w:rPr>
          <w:rFonts w:ascii="Times New Roman" w:hAnsi="Times New Roman"/>
          <w:sz w:val="24"/>
          <w:szCs w:val="24"/>
        </w:rPr>
        <w:t>entre tais unidades entre 1995 e 2006.</w:t>
      </w:r>
    </w:p>
    <w:p w:rsidR="006F6FCE" w:rsidRPr="006F6FCE" w:rsidRDefault="006F6FCE" w:rsidP="006F6FCE">
      <w:pPr>
        <w:spacing w:after="0"/>
        <w:jc w:val="both"/>
        <w:rPr>
          <w:rFonts w:ascii="Times New Roman" w:hAnsi="Times New Roman"/>
          <w:sz w:val="24"/>
          <w:szCs w:val="24"/>
        </w:rPr>
      </w:pPr>
    </w:p>
    <w:p w:rsidR="00E12777" w:rsidRDefault="00E12777" w:rsidP="00E12777">
      <w:pPr>
        <w:jc w:val="both"/>
        <w:rPr>
          <w:rFonts w:ascii="Times New Roman" w:hAnsi="Times New Roman"/>
          <w:b/>
          <w:sz w:val="24"/>
          <w:szCs w:val="24"/>
        </w:rPr>
      </w:pPr>
      <w:r>
        <w:rPr>
          <w:rFonts w:ascii="Times New Roman" w:hAnsi="Times New Roman"/>
          <w:b/>
          <w:sz w:val="24"/>
          <w:szCs w:val="24"/>
        </w:rPr>
        <w:lastRenderedPageBreak/>
        <w:t xml:space="preserve">                   </w:t>
      </w:r>
      <w:r w:rsidR="00973477">
        <w:rPr>
          <w:rFonts w:ascii="Times New Roman" w:hAnsi="Times New Roman"/>
          <w:b/>
          <w:noProof/>
          <w:sz w:val="24"/>
          <w:szCs w:val="24"/>
          <w:lang w:val="en-US"/>
        </w:rPr>
        <w:drawing>
          <wp:inline distT="0" distB="0" distL="0" distR="0">
            <wp:extent cx="4333875" cy="3076575"/>
            <wp:effectExtent l="0" t="0" r="0" b="0"/>
            <wp:docPr id="3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2777" w:rsidRDefault="00E12777" w:rsidP="00E12777">
      <w:pPr>
        <w:rPr>
          <w:rFonts w:ascii="Times New Roman" w:hAnsi="Times New Roman"/>
          <w:sz w:val="20"/>
          <w:szCs w:val="24"/>
        </w:rPr>
      </w:pPr>
      <w:r>
        <w:rPr>
          <w:rFonts w:ascii="Times New Roman" w:hAnsi="Times New Roman"/>
          <w:b/>
          <w:sz w:val="24"/>
          <w:szCs w:val="24"/>
        </w:rPr>
        <w:t xml:space="preserve">                                  </w:t>
      </w:r>
      <w:r>
        <w:rPr>
          <w:rFonts w:ascii="Times New Roman" w:hAnsi="Times New Roman"/>
          <w:sz w:val="20"/>
          <w:szCs w:val="24"/>
        </w:rPr>
        <w:t>Fonte: cálculo do autor a partir dos microdados da PNAD.</w:t>
      </w:r>
    </w:p>
    <w:p w:rsidR="002A6771" w:rsidRDefault="00D23A8F" w:rsidP="00621C12">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As ilustrações confirmam os resultados de Silveira Neto e Azzoni (2010): a desigualdade na distribuição da renda total </w:t>
      </w:r>
      <w:r>
        <w:rPr>
          <w:rFonts w:ascii="Times New Roman" w:hAnsi="Times New Roman"/>
          <w:i/>
          <w:sz w:val="24"/>
          <w:szCs w:val="24"/>
        </w:rPr>
        <w:t xml:space="preserve">per capita </w:t>
      </w:r>
      <w:r>
        <w:rPr>
          <w:rFonts w:ascii="Times New Roman" w:hAnsi="Times New Roman"/>
          <w:sz w:val="24"/>
          <w:szCs w:val="24"/>
        </w:rPr>
        <w:t xml:space="preserve">entre as unidades federativas brasileiras diminui sensivelmente entre 1995 e 2006, sendo as trajetórias bastante semelhantes para os dois indicadores (redução de 10% do indicador de convergência sigma e 11,6% no caso do Índice de Gini). </w:t>
      </w:r>
    </w:p>
    <w:p w:rsidR="00E12777" w:rsidRPr="00D23A8F" w:rsidRDefault="00D23A8F" w:rsidP="00621C12">
      <w:pPr>
        <w:spacing w:after="0" w:line="240" w:lineRule="auto"/>
        <w:ind w:firstLine="720"/>
        <w:jc w:val="both"/>
        <w:rPr>
          <w:rFonts w:ascii="Times New Roman" w:hAnsi="Times New Roman"/>
          <w:sz w:val="24"/>
          <w:szCs w:val="24"/>
        </w:rPr>
      </w:pPr>
      <w:r>
        <w:rPr>
          <w:rFonts w:ascii="Times New Roman" w:hAnsi="Times New Roman"/>
          <w:sz w:val="24"/>
          <w:szCs w:val="24"/>
        </w:rPr>
        <w:t xml:space="preserve">No restante desta seção, </w:t>
      </w:r>
      <w:r w:rsidR="002A6771">
        <w:rPr>
          <w:rFonts w:ascii="Times New Roman" w:hAnsi="Times New Roman"/>
          <w:sz w:val="24"/>
          <w:szCs w:val="24"/>
        </w:rPr>
        <w:t xml:space="preserve">utilizam-se </w:t>
      </w:r>
      <w:r>
        <w:rPr>
          <w:rFonts w:ascii="Times New Roman" w:hAnsi="Times New Roman"/>
          <w:sz w:val="24"/>
          <w:szCs w:val="24"/>
        </w:rPr>
        <w:t>as possibilidades de decomposição do índice de Gini</w:t>
      </w:r>
      <w:r w:rsidR="002A6771">
        <w:rPr>
          <w:rFonts w:ascii="Times New Roman" w:hAnsi="Times New Roman"/>
          <w:sz w:val="24"/>
          <w:szCs w:val="24"/>
        </w:rPr>
        <w:t xml:space="preserve"> a partir das diferentes fontes de renda (equação (1) para extrair um conjunto de informações que permite melhor entendimento desta trajetória de redução de desigualdade regional verificada no Brasil entre 1995 e 2006.</w:t>
      </w:r>
    </w:p>
    <w:p w:rsidR="00621C12" w:rsidRDefault="00621C12" w:rsidP="00621C12">
      <w:pPr>
        <w:spacing w:after="0"/>
        <w:jc w:val="both"/>
        <w:rPr>
          <w:rFonts w:ascii="Times New Roman" w:hAnsi="Times New Roman"/>
          <w:b/>
          <w:sz w:val="24"/>
          <w:szCs w:val="24"/>
        </w:rPr>
      </w:pPr>
    </w:p>
    <w:p w:rsidR="00746E05" w:rsidRPr="00746E05" w:rsidRDefault="00885EF7" w:rsidP="00746E05">
      <w:pPr>
        <w:jc w:val="both"/>
        <w:rPr>
          <w:rFonts w:ascii="Times New Roman" w:hAnsi="Times New Roman"/>
          <w:b/>
          <w:sz w:val="24"/>
          <w:szCs w:val="24"/>
        </w:rPr>
      </w:pPr>
      <w:r>
        <w:rPr>
          <w:rFonts w:ascii="Times New Roman" w:hAnsi="Times New Roman"/>
          <w:b/>
          <w:sz w:val="24"/>
          <w:szCs w:val="24"/>
        </w:rPr>
        <w:t>3</w:t>
      </w:r>
      <w:r w:rsidR="006F6FCE">
        <w:rPr>
          <w:rFonts w:ascii="Times New Roman" w:hAnsi="Times New Roman"/>
          <w:b/>
          <w:sz w:val="24"/>
          <w:szCs w:val="24"/>
        </w:rPr>
        <w:t>.2</w:t>
      </w:r>
      <w:r w:rsidR="00746E05">
        <w:rPr>
          <w:rFonts w:ascii="Times New Roman" w:hAnsi="Times New Roman"/>
          <w:b/>
          <w:sz w:val="24"/>
          <w:szCs w:val="24"/>
        </w:rPr>
        <w:t xml:space="preserve"> Decomposição da desigualdade regional entre as diferentes fontes de renda</w:t>
      </w:r>
    </w:p>
    <w:p w:rsidR="00EE6C37" w:rsidRDefault="00352CD5" w:rsidP="00621C12">
      <w:pPr>
        <w:spacing w:after="0" w:line="240" w:lineRule="auto"/>
        <w:ind w:firstLine="720"/>
        <w:jc w:val="both"/>
        <w:rPr>
          <w:rFonts w:ascii="Times New Roman" w:hAnsi="Times New Roman"/>
          <w:sz w:val="24"/>
          <w:szCs w:val="24"/>
        </w:rPr>
      </w:pPr>
      <w:r>
        <w:rPr>
          <w:rFonts w:ascii="Times New Roman" w:hAnsi="Times New Roman"/>
          <w:sz w:val="24"/>
          <w:szCs w:val="24"/>
        </w:rPr>
        <w:t>D</w:t>
      </w:r>
      <w:r w:rsidR="00EE6C37" w:rsidRPr="00EE6C37">
        <w:rPr>
          <w:rFonts w:ascii="Times New Roman" w:hAnsi="Times New Roman"/>
          <w:sz w:val="24"/>
          <w:szCs w:val="24"/>
        </w:rPr>
        <w:t>e forma análoga ao que foi proposto recentemente por Hoffman (2004, 2006) e Soares (2006a, 2006b) para o estudo da distribuição pessoal da renda brasileira</w:t>
      </w:r>
      <w:r>
        <w:rPr>
          <w:rFonts w:ascii="Times New Roman" w:hAnsi="Times New Roman"/>
          <w:sz w:val="24"/>
          <w:szCs w:val="24"/>
        </w:rPr>
        <w:t xml:space="preserve"> e, mais recentemente, Silveira Neto e Azzoni (2010)</w:t>
      </w:r>
      <w:r w:rsidR="00EE6C37" w:rsidRPr="00EE6C37">
        <w:rPr>
          <w:rFonts w:ascii="Times New Roman" w:hAnsi="Times New Roman"/>
          <w:sz w:val="24"/>
          <w:szCs w:val="24"/>
        </w:rPr>
        <w:t xml:space="preserve">, </w:t>
      </w:r>
      <w:r>
        <w:rPr>
          <w:rFonts w:ascii="Times New Roman" w:hAnsi="Times New Roman"/>
          <w:sz w:val="24"/>
          <w:szCs w:val="24"/>
        </w:rPr>
        <w:t xml:space="preserve">para o estudo da desigualdade regional no Brasil, </w:t>
      </w:r>
      <w:r w:rsidR="00EE6C37" w:rsidRPr="00EE6C37">
        <w:rPr>
          <w:rFonts w:ascii="Times New Roman" w:hAnsi="Times New Roman"/>
          <w:sz w:val="24"/>
          <w:szCs w:val="24"/>
        </w:rPr>
        <w:t xml:space="preserve">a partir da decomposição inicialmente proposta por Shorrocks (1982), numa situação em que a renda dos estados ou sub-unidades regionais corresponde à soma de parcelas de diferentes fontes, o coeficiente de Gini e as medidas de Entropia Generalizadas podem ser decompostos a partir de parcelas que refletem as diferentes contribuições destas fontes para o nível de desigualdade da distribuição regional </w:t>
      </w:r>
      <w:r w:rsidR="00746E05">
        <w:rPr>
          <w:rFonts w:ascii="Times New Roman" w:hAnsi="Times New Roman"/>
          <w:sz w:val="24"/>
          <w:szCs w:val="24"/>
        </w:rPr>
        <w:t>da renda</w:t>
      </w:r>
      <w:r w:rsidR="00EE6C37" w:rsidRPr="00EE6C37">
        <w:rPr>
          <w:rFonts w:ascii="Times New Roman" w:hAnsi="Times New Roman"/>
          <w:sz w:val="24"/>
          <w:szCs w:val="24"/>
        </w:rPr>
        <w:t xml:space="preserve"> </w:t>
      </w:r>
      <w:r w:rsidR="00EE6C37" w:rsidRPr="00EE6C37">
        <w:rPr>
          <w:rFonts w:ascii="Times New Roman" w:hAnsi="Times New Roman"/>
          <w:i/>
          <w:sz w:val="24"/>
          <w:szCs w:val="24"/>
        </w:rPr>
        <w:t>per capita</w:t>
      </w:r>
      <w:r w:rsidR="00EE6C37" w:rsidRPr="00EE6C37">
        <w:rPr>
          <w:rFonts w:ascii="Times New Roman" w:hAnsi="Times New Roman"/>
          <w:sz w:val="24"/>
          <w:szCs w:val="24"/>
        </w:rPr>
        <w:t>.</w:t>
      </w:r>
    </w:p>
    <w:p w:rsidR="00EE6C37" w:rsidRPr="00EE6C37" w:rsidRDefault="00EE6C37" w:rsidP="00621C12">
      <w:pPr>
        <w:spacing w:after="0" w:line="240" w:lineRule="auto"/>
        <w:ind w:firstLine="720"/>
        <w:jc w:val="both"/>
        <w:rPr>
          <w:rFonts w:ascii="Times New Roman" w:hAnsi="Times New Roman"/>
          <w:sz w:val="24"/>
          <w:szCs w:val="24"/>
        </w:rPr>
      </w:pPr>
      <w:r w:rsidRPr="00EE6C37">
        <w:rPr>
          <w:rFonts w:ascii="Times New Roman" w:hAnsi="Times New Roman"/>
          <w:sz w:val="24"/>
          <w:szCs w:val="24"/>
        </w:rPr>
        <w:t>Especificamente, considerando o índice de Gini, este pode ser expresso pela soma das razões ou coeficientes de concentração multiplicados pelos respectivos pesos das diferentes font</w:t>
      </w:r>
      <w:r w:rsidR="00822CB3">
        <w:rPr>
          <w:rFonts w:ascii="Times New Roman" w:hAnsi="Times New Roman"/>
          <w:sz w:val="24"/>
          <w:szCs w:val="24"/>
        </w:rPr>
        <w:t xml:space="preserve">es de renda </w:t>
      </w:r>
      <w:r w:rsidRPr="00EE6C37">
        <w:rPr>
          <w:rFonts w:ascii="Times New Roman" w:hAnsi="Times New Roman"/>
          <w:sz w:val="24"/>
          <w:szCs w:val="24"/>
        </w:rPr>
        <w:t>. Mais formalmente, o valor do coeficiente de Gini (</w:t>
      </w:r>
      <w:r w:rsidRPr="00EE6C37">
        <w:rPr>
          <w:rFonts w:ascii="Times New Roman" w:hAnsi="Times New Roman"/>
          <w:i/>
          <w:sz w:val="24"/>
          <w:szCs w:val="24"/>
        </w:rPr>
        <w:t>G</w:t>
      </w:r>
      <w:r w:rsidRPr="00EE6C37">
        <w:rPr>
          <w:rFonts w:ascii="Times New Roman" w:hAnsi="Times New Roman"/>
          <w:sz w:val="24"/>
          <w:szCs w:val="24"/>
        </w:rPr>
        <w:t>) pode ser expresso como:</w:t>
      </w:r>
    </w:p>
    <w:p w:rsidR="00EE6C37" w:rsidRPr="00EE6C37" w:rsidRDefault="00822CB3" w:rsidP="00EE6C37">
      <w:pPr>
        <w:ind w:firstLine="720"/>
        <w:jc w:val="both"/>
        <w:rPr>
          <w:rFonts w:ascii="Times New Roman" w:hAnsi="Times New Roman"/>
          <w:sz w:val="24"/>
          <w:szCs w:val="24"/>
        </w:rPr>
      </w:pPr>
      <w:r w:rsidRPr="00822CB3">
        <w:rPr>
          <w:rFonts w:ascii="Times New Roman" w:hAnsi="Times New Roman"/>
          <w:position w:val="-30"/>
          <w:sz w:val="24"/>
          <w:szCs w:val="24"/>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v:imagedata r:id="rId13" o:title=""/>
          </v:shape>
          <o:OLEObject Type="Embed" ProgID="Equation.3" ShapeID="_x0000_i1025" DrawAspect="Content" ObjectID="_1340458321" r:id="rId14"/>
        </w:object>
      </w:r>
      <w:r w:rsidR="00EE6C37" w:rsidRPr="00EE6C37">
        <w:rPr>
          <w:rFonts w:ascii="Times New Roman" w:hAnsi="Times New Roman"/>
          <w:sz w:val="24"/>
          <w:szCs w:val="24"/>
        </w:rPr>
        <w:t xml:space="preserve">  ,                                                                       </w:t>
      </w:r>
      <w:r w:rsidR="00973477">
        <w:rPr>
          <w:rFonts w:ascii="Times New Roman" w:hAnsi="Times New Roman"/>
          <w:sz w:val="24"/>
          <w:szCs w:val="24"/>
        </w:rPr>
        <w:t xml:space="preserve">                     </w:t>
      </w:r>
      <w:r w:rsidR="00885EF7">
        <w:rPr>
          <w:rFonts w:ascii="Times New Roman" w:hAnsi="Times New Roman"/>
          <w:sz w:val="24"/>
          <w:szCs w:val="24"/>
        </w:rPr>
        <w:t>(2</w:t>
      </w:r>
      <w:r w:rsidR="00EE6C37" w:rsidRPr="00EE6C37">
        <w:rPr>
          <w:rFonts w:ascii="Times New Roman" w:hAnsi="Times New Roman"/>
          <w:sz w:val="24"/>
          <w:szCs w:val="24"/>
        </w:rPr>
        <w:t>)</w:t>
      </w:r>
    </w:p>
    <w:p w:rsidR="00EE6C37" w:rsidRPr="00EE6C37" w:rsidRDefault="00EE6C37" w:rsidP="00910DF2">
      <w:pPr>
        <w:spacing w:after="0" w:line="240" w:lineRule="auto"/>
        <w:jc w:val="both"/>
        <w:rPr>
          <w:rFonts w:ascii="Times New Roman" w:hAnsi="Times New Roman"/>
          <w:i/>
          <w:sz w:val="24"/>
          <w:szCs w:val="24"/>
          <w:vertAlign w:val="subscript"/>
        </w:rPr>
      </w:pPr>
      <w:r w:rsidRPr="00EE6C37">
        <w:rPr>
          <w:rFonts w:ascii="Times New Roman" w:hAnsi="Times New Roman"/>
          <w:sz w:val="24"/>
          <w:szCs w:val="24"/>
        </w:rPr>
        <w:t xml:space="preserve">onde </w:t>
      </w:r>
      <w:r w:rsidR="00822CB3">
        <w:rPr>
          <w:rFonts w:ascii="Times New Roman" w:hAnsi="Times New Roman"/>
          <w:i/>
          <w:sz w:val="24"/>
          <w:szCs w:val="24"/>
        </w:rPr>
        <w:t>N</w:t>
      </w:r>
      <w:r w:rsidR="00822CB3">
        <w:rPr>
          <w:rFonts w:ascii="Times New Roman" w:hAnsi="Times New Roman"/>
          <w:sz w:val="24"/>
          <w:szCs w:val="24"/>
        </w:rPr>
        <w:t xml:space="preserve"> é o número de fontes </w:t>
      </w:r>
      <w:r w:rsidRPr="00EE6C37">
        <w:rPr>
          <w:rFonts w:ascii="Times New Roman" w:hAnsi="Times New Roman"/>
          <w:sz w:val="24"/>
          <w:szCs w:val="24"/>
        </w:rPr>
        <w:t xml:space="preserve">de renda, </w:t>
      </w:r>
      <w:r w:rsidRPr="00EE6C37">
        <w:rPr>
          <w:rFonts w:ascii="Times New Roman" w:hAnsi="Times New Roman"/>
          <w:i/>
          <w:sz w:val="24"/>
          <w:szCs w:val="24"/>
        </w:rPr>
        <w:sym w:font="Symbol" w:char="F061"/>
      </w:r>
      <w:r w:rsidR="00822CB3">
        <w:rPr>
          <w:rFonts w:ascii="Times New Roman" w:hAnsi="Times New Roman"/>
          <w:i/>
          <w:sz w:val="24"/>
          <w:szCs w:val="24"/>
          <w:vertAlign w:val="subscript"/>
        </w:rPr>
        <w:t>f</w:t>
      </w:r>
      <w:r w:rsidRPr="00EE6C37">
        <w:rPr>
          <w:rFonts w:ascii="Times New Roman" w:hAnsi="Times New Roman"/>
          <w:sz w:val="24"/>
          <w:szCs w:val="24"/>
        </w:rPr>
        <w:t xml:space="preserve"> corresponde à participação </w:t>
      </w:r>
      <w:r w:rsidR="00822CB3">
        <w:rPr>
          <w:rFonts w:ascii="Times New Roman" w:hAnsi="Times New Roman"/>
          <w:sz w:val="24"/>
          <w:szCs w:val="24"/>
        </w:rPr>
        <w:t>da fonte</w:t>
      </w:r>
      <w:r w:rsidRPr="00EE6C37">
        <w:rPr>
          <w:rFonts w:ascii="Times New Roman" w:hAnsi="Times New Roman"/>
          <w:sz w:val="24"/>
          <w:szCs w:val="24"/>
        </w:rPr>
        <w:t xml:space="preserve"> </w:t>
      </w:r>
      <w:r w:rsidR="00822CB3">
        <w:rPr>
          <w:rFonts w:ascii="Times New Roman" w:hAnsi="Times New Roman"/>
          <w:i/>
          <w:sz w:val="24"/>
          <w:szCs w:val="24"/>
        </w:rPr>
        <w:t>f</w:t>
      </w:r>
      <w:r w:rsidRPr="00EE6C37">
        <w:rPr>
          <w:rFonts w:ascii="Times New Roman" w:hAnsi="Times New Roman"/>
          <w:i/>
          <w:sz w:val="24"/>
          <w:szCs w:val="24"/>
        </w:rPr>
        <w:t xml:space="preserve"> </w:t>
      </w:r>
      <w:r w:rsidR="00822CB3">
        <w:rPr>
          <w:rFonts w:ascii="Times New Roman" w:hAnsi="Times New Roman"/>
          <w:sz w:val="24"/>
          <w:szCs w:val="24"/>
        </w:rPr>
        <w:t xml:space="preserve"> na renda</w:t>
      </w:r>
      <w:r w:rsidRPr="00EE6C37">
        <w:rPr>
          <w:rFonts w:ascii="Times New Roman" w:hAnsi="Times New Roman"/>
          <w:sz w:val="24"/>
          <w:szCs w:val="24"/>
        </w:rPr>
        <w:t xml:space="preserve"> </w:t>
      </w:r>
      <w:r w:rsidRPr="00EE6C37">
        <w:rPr>
          <w:rFonts w:ascii="Times New Roman" w:hAnsi="Times New Roman"/>
          <w:i/>
          <w:sz w:val="24"/>
          <w:szCs w:val="24"/>
        </w:rPr>
        <w:t xml:space="preserve">per capita </w:t>
      </w:r>
      <w:r w:rsidRPr="00EE6C37">
        <w:rPr>
          <w:rFonts w:ascii="Times New Roman" w:hAnsi="Times New Roman"/>
          <w:sz w:val="24"/>
          <w:szCs w:val="24"/>
        </w:rPr>
        <w:t xml:space="preserve">e </w:t>
      </w:r>
      <w:r w:rsidRPr="00EE6C37">
        <w:rPr>
          <w:rFonts w:ascii="Times New Roman" w:hAnsi="Times New Roman"/>
          <w:i/>
          <w:sz w:val="24"/>
          <w:szCs w:val="24"/>
        </w:rPr>
        <w:t>C</w:t>
      </w:r>
      <w:r w:rsidR="00822CB3">
        <w:rPr>
          <w:rFonts w:ascii="Times New Roman" w:hAnsi="Times New Roman"/>
          <w:i/>
          <w:sz w:val="24"/>
          <w:szCs w:val="24"/>
          <w:vertAlign w:val="subscript"/>
        </w:rPr>
        <w:t>f</w:t>
      </w:r>
      <w:r w:rsidRPr="00EE6C37">
        <w:rPr>
          <w:rFonts w:ascii="Times New Roman" w:hAnsi="Times New Roman"/>
          <w:i/>
          <w:sz w:val="24"/>
          <w:szCs w:val="24"/>
        </w:rPr>
        <w:t xml:space="preserve"> </w:t>
      </w:r>
      <w:r w:rsidRPr="00EE6C37">
        <w:rPr>
          <w:rFonts w:ascii="Times New Roman" w:hAnsi="Times New Roman"/>
          <w:sz w:val="24"/>
          <w:szCs w:val="24"/>
        </w:rPr>
        <w:t xml:space="preserve">é a razão ou coeficiente de concentração da mesma parcela. Por sua vez, esta última razão ou coeficiente é obtido a partir da curva de concentração, que mostra como, mantida a ordenação crescente da renda total do trabalho </w:t>
      </w:r>
      <w:r w:rsidRPr="00EE6C37">
        <w:rPr>
          <w:rFonts w:ascii="Times New Roman" w:hAnsi="Times New Roman"/>
          <w:i/>
          <w:sz w:val="24"/>
          <w:szCs w:val="24"/>
        </w:rPr>
        <w:t>per capita</w:t>
      </w:r>
      <w:r w:rsidRPr="00EE6C37">
        <w:rPr>
          <w:rFonts w:ascii="Times New Roman" w:hAnsi="Times New Roman"/>
          <w:sz w:val="24"/>
          <w:szCs w:val="24"/>
        </w:rPr>
        <w:t xml:space="preserve">, a proporção acumulada da parcela </w:t>
      </w:r>
      <w:r w:rsidR="00822CB3">
        <w:rPr>
          <w:rFonts w:ascii="Times New Roman" w:hAnsi="Times New Roman"/>
          <w:i/>
          <w:sz w:val="24"/>
          <w:szCs w:val="24"/>
        </w:rPr>
        <w:t>f</w:t>
      </w:r>
      <w:r w:rsidRPr="00EE6C37">
        <w:rPr>
          <w:rFonts w:ascii="Times New Roman" w:hAnsi="Times New Roman"/>
          <w:i/>
          <w:sz w:val="24"/>
          <w:szCs w:val="24"/>
        </w:rPr>
        <w:t xml:space="preserve"> </w:t>
      </w:r>
      <w:r w:rsidRPr="00EE6C37">
        <w:rPr>
          <w:rFonts w:ascii="Times New Roman" w:hAnsi="Times New Roman"/>
          <w:sz w:val="24"/>
          <w:szCs w:val="24"/>
        </w:rPr>
        <w:t xml:space="preserve">varia em função da proporção acumulada da </w:t>
      </w:r>
      <w:r w:rsidRPr="00EE6C37">
        <w:rPr>
          <w:rFonts w:ascii="Times New Roman" w:hAnsi="Times New Roman"/>
          <w:sz w:val="24"/>
          <w:szCs w:val="24"/>
        </w:rPr>
        <w:lastRenderedPageBreak/>
        <w:t xml:space="preserve">população (estados). Mais especificamente, definindo </w:t>
      </w:r>
      <w:r w:rsidRPr="00EE6C37">
        <w:rPr>
          <w:rFonts w:ascii="Times New Roman" w:hAnsi="Times New Roman"/>
          <w:i/>
          <w:sz w:val="24"/>
          <w:szCs w:val="24"/>
        </w:rPr>
        <w:sym w:font="Symbol" w:char="F062"/>
      </w:r>
      <w:r w:rsidR="00822CB3">
        <w:rPr>
          <w:rFonts w:ascii="Times New Roman" w:hAnsi="Times New Roman"/>
          <w:i/>
          <w:sz w:val="24"/>
          <w:szCs w:val="24"/>
          <w:vertAlign w:val="subscript"/>
        </w:rPr>
        <w:t>f</w:t>
      </w:r>
      <w:r w:rsidRPr="00EE6C37">
        <w:rPr>
          <w:rFonts w:ascii="Times New Roman" w:hAnsi="Times New Roman"/>
          <w:sz w:val="24"/>
          <w:szCs w:val="24"/>
          <w:vertAlign w:val="subscript"/>
        </w:rPr>
        <w:t xml:space="preserve"> </w:t>
      </w:r>
      <w:r w:rsidRPr="00EE6C37">
        <w:rPr>
          <w:rFonts w:ascii="Times New Roman" w:hAnsi="Times New Roman"/>
          <w:sz w:val="24"/>
          <w:szCs w:val="24"/>
        </w:rPr>
        <w:t>como a área entre a curva de c</w:t>
      </w:r>
      <w:r w:rsidR="00822CB3">
        <w:rPr>
          <w:rFonts w:ascii="Times New Roman" w:hAnsi="Times New Roman"/>
          <w:sz w:val="24"/>
          <w:szCs w:val="24"/>
        </w:rPr>
        <w:t>oncentração para a fonte</w:t>
      </w:r>
      <w:r w:rsidRPr="00EE6C37">
        <w:rPr>
          <w:rFonts w:ascii="Times New Roman" w:hAnsi="Times New Roman"/>
          <w:sz w:val="24"/>
          <w:szCs w:val="24"/>
        </w:rPr>
        <w:t xml:space="preserve"> </w:t>
      </w:r>
      <w:r w:rsidR="00822CB3">
        <w:rPr>
          <w:rFonts w:ascii="Times New Roman" w:hAnsi="Times New Roman"/>
          <w:i/>
          <w:sz w:val="24"/>
          <w:szCs w:val="24"/>
        </w:rPr>
        <w:t>f</w:t>
      </w:r>
      <w:r w:rsidRPr="00EE6C37">
        <w:rPr>
          <w:rFonts w:ascii="Times New Roman" w:hAnsi="Times New Roman"/>
          <w:sz w:val="24"/>
          <w:szCs w:val="24"/>
        </w:rPr>
        <w:t xml:space="preserve"> e o eixo das abscissas, a razão ou coeficiente de concentração referente a esta parcela é obtido como:</w:t>
      </w:r>
    </w:p>
    <w:p w:rsidR="00621C12" w:rsidRDefault="00621C12" w:rsidP="00910DF2">
      <w:pPr>
        <w:spacing w:after="0" w:line="240" w:lineRule="auto"/>
        <w:ind w:firstLine="720"/>
        <w:jc w:val="both"/>
        <w:rPr>
          <w:rFonts w:ascii="Times New Roman" w:hAnsi="Times New Roman"/>
          <w:position w:val="-14"/>
          <w:sz w:val="24"/>
          <w:szCs w:val="24"/>
        </w:rPr>
      </w:pPr>
    </w:p>
    <w:p w:rsidR="00EE6C37" w:rsidRPr="00EE6C37" w:rsidRDefault="00822CB3" w:rsidP="00EE6C37">
      <w:pPr>
        <w:ind w:firstLine="720"/>
        <w:jc w:val="both"/>
        <w:rPr>
          <w:rFonts w:ascii="Times New Roman" w:hAnsi="Times New Roman"/>
          <w:sz w:val="24"/>
          <w:szCs w:val="24"/>
        </w:rPr>
      </w:pPr>
      <w:r w:rsidRPr="00822CB3">
        <w:rPr>
          <w:rFonts w:ascii="Times New Roman" w:hAnsi="Times New Roman"/>
          <w:position w:val="-14"/>
          <w:sz w:val="24"/>
          <w:szCs w:val="24"/>
        </w:rPr>
        <w:object w:dxaOrig="1359" w:dyaOrig="380">
          <v:shape id="_x0000_i1026" type="#_x0000_t75" style="width:67.5pt;height:18pt" o:ole="">
            <v:imagedata r:id="rId15" o:title=""/>
          </v:shape>
          <o:OLEObject Type="Embed" ProgID="Equation.3" ShapeID="_x0000_i1026" DrawAspect="Content" ObjectID="_1340458322" r:id="rId16"/>
        </w:object>
      </w:r>
      <w:r w:rsidR="00EE6C37" w:rsidRPr="00EE6C37">
        <w:rPr>
          <w:rFonts w:ascii="Times New Roman" w:hAnsi="Times New Roman"/>
          <w:sz w:val="24"/>
          <w:szCs w:val="24"/>
        </w:rPr>
        <w:t xml:space="preserve">    ,                                                                     </w:t>
      </w:r>
      <w:r w:rsidR="001411F8">
        <w:rPr>
          <w:rFonts w:ascii="Times New Roman" w:hAnsi="Times New Roman"/>
          <w:sz w:val="24"/>
          <w:szCs w:val="24"/>
        </w:rPr>
        <w:t xml:space="preserve">                </w:t>
      </w:r>
      <w:r w:rsidR="00973477">
        <w:rPr>
          <w:rFonts w:ascii="Times New Roman" w:hAnsi="Times New Roman"/>
          <w:sz w:val="24"/>
          <w:szCs w:val="24"/>
        </w:rPr>
        <w:t xml:space="preserve"> </w:t>
      </w:r>
      <w:r w:rsidR="00885EF7">
        <w:rPr>
          <w:rFonts w:ascii="Times New Roman" w:hAnsi="Times New Roman"/>
          <w:sz w:val="24"/>
          <w:szCs w:val="24"/>
        </w:rPr>
        <w:t>(3</w:t>
      </w:r>
      <w:r w:rsidR="00EE6C37" w:rsidRPr="00EE6C37">
        <w:rPr>
          <w:rFonts w:ascii="Times New Roman" w:hAnsi="Times New Roman"/>
          <w:sz w:val="24"/>
          <w:szCs w:val="24"/>
        </w:rPr>
        <w:t>)</w:t>
      </w:r>
    </w:p>
    <w:p w:rsidR="00EE6C37" w:rsidRPr="00EE6C37" w:rsidRDefault="00EE6C37" w:rsidP="00A06113">
      <w:pPr>
        <w:spacing w:after="0" w:line="360" w:lineRule="auto"/>
        <w:jc w:val="both"/>
        <w:rPr>
          <w:rFonts w:ascii="Times New Roman" w:hAnsi="Times New Roman"/>
          <w:sz w:val="24"/>
          <w:szCs w:val="24"/>
        </w:rPr>
      </w:pPr>
      <w:r w:rsidRPr="00EE6C37">
        <w:rPr>
          <w:rFonts w:ascii="Times New Roman" w:hAnsi="Times New Roman"/>
          <w:sz w:val="24"/>
          <w:szCs w:val="24"/>
        </w:rPr>
        <w:t>onde, pode-se mostrar que</w:t>
      </w:r>
      <w:r w:rsidR="00910DF2">
        <w:rPr>
          <w:rFonts w:ascii="Times New Roman" w:hAnsi="Times New Roman"/>
          <w:sz w:val="24"/>
          <w:szCs w:val="24"/>
        </w:rPr>
        <w:t xml:space="preserve"> -1 &lt; </w:t>
      </w:r>
      <w:r w:rsidR="00910DF2" w:rsidRPr="00937A23">
        <w:rPr>
          <w:position w:val="-14"/>
        </w:rPr>
        <w:object w:dxaOrig="340" w:dyaOrig="380">
          <v:shape id="_x0000_i1033" type="#_x0000_t75" style="width:17.25pt;height:18.75pt" o:ole="">
            <v:imagedata r:id="rId17" o:title=""/>
          </v:shape>
          <o:OLEObject Type="Embed" ProgID="Equation.3" ShapeID="_x0000_i1033" DrawAspect="Content" ObjectID="_1340458323" r:id="rId18"/>
        </w:object>
      </w:r>
      <w:r w:rsidR="00910DF2">
        <w:t xml:space="preserve">&lt; </w:t>
      </w:r>
      <w:r w:rsidR="00910DF2" w:rsidRPr="00910DF2">
        <w:rPr>
          <w:rFonts w:ascii="Times New Roman" w:hAnsi="Times New Roman"/>
          <w:sz w:val="24"/>
        </w:rPr>
        <w:t>1</w:t>
      </w:r>
      <w:r w:rsidRPr="00EE6C37">
        <w:rPr>
          <w:rFonts w:ascii="Times New Roman" w:hAnsi="Times New Roman"/>
          <w:sz w:val="24"/>
          <w:szCs w:val="24"/>
        </w:rPr>
        <w:t xml:space="preserve"> Tal intervalo, que difere daquele do índice de Gini (</w:t>
      </w:r>
      <w:r w:rsidRPr="00EE6C37">
        <w:rPr>
          <w:rFonts w:ascii="Times New Roman" w:hAnsi="Times New Roman"/>
          <w:position w:val="-6"/>
          <w:sz w:val="24"/>
          <w:szCs w:val="24"/>
        </w:rPr>
        <w:object w:dxaOrig="940" w:dyaOrig="279">
          <v:shape id="_x0000_i1027" type="#_x0000_t75" style="width:46.5pt;height:14.25pt" o:ole="">
            <v:imagedata r:id="rId19" o:title=""/>
          </v:shape>
          <o:OLEObject Type="Embed" ProgID="Equation.3" ShapeID="_x0000_i1027" DrawAspect="Content" ObjectID="_1340458324" r:id="rId20"/>
        </w:object>
      </w:r>
      <w:r w:rsidRPr="00EE6C37">
        <w:rPr>
          <w:rFonts w:ascii="Times New Roman" w:hAnsi="Times New Roman"/>
          <w:sz w:val="24"/>
          <w:szCs w:val="24"/>
        </w:rPr>
        <w:t xml:space="preserve">), decorre do fato de que, já que a ordenação no eixo das ordenadas é dada através da ordenação crescente da renda total (e não da parcela </w:t>
      </w:r>
      <w:r w:rsidR="00822CB3">
        <w:rPr>
          <w:rFonts w:ascii="Times New Roman" w:hAnsi="Times New Roman"/>
          <w:i/>
          <w:sz w:val="24"/>
          <w:szCs w:val="24"/>
        </w:rPr>
        <w:t>f</w:t>
      </w:r>
      <w:r w:rsidRPr="00EE6C37">
        <w:rPr>
          <w:rFonts w:ascii="Times New Roman" w:hAnsi="Times New Roman"/>
          <w:i/>
          <w:sz w:val="24"/>
          <w:szCs w:val="24"/>
        </w:rPr>
        <w:t xml:space="preserve"> </w:t>
      </w:r>
      <w:r w:rsidRPr="00EE6C37">
        <w:rPr>
          <w:rFonts w:ascii="Times New Roman" w:hAnsi="Times New Roman"/>
          <w:sz w:val="24"/>
          <w:szCs w:val="24"/>
        </w:rPr>
        <w:t>da renda), a curva de concentração é côncava (e não convexa, como no caso da Curva de Lorenz)</w:t>
      </w:r>
      <w:r w:rsidRPr="00EE6C37">
        <w:rPr>
          <w:rStyle w:val="FootnoteReference"/>
          <w:rFonts w:ascii="Times New Roman" w:hAnsi="Times New Roman"/>
          <w:sz w:val="24"/>
          <w:szCs w:val="24"/>
        </w:rPr>
        <w:footnoteReference w:id="4"/>
      </w:r>
      <w:r w:rsidRPr="00EE6C37">
        <w:rPr>
          <w:rFonts w:ascii="Times New Roman" w:hAnsi="Times New Roman"/>
          <w:sz w:val="24"/>
          <w:szCs w:val="24"/>
        </w:rPr>
        <w:t xml:space="preserve">. Para duas datas, </w:t>
      </w:r>
      <w:r w:rsidRPr="00EE6C37">
        <w:rPr>
          <w:rFonts w:ascii="Times New Roman" w:hAnsi="Times New Roman"/>
          <w:i/>
          <w:sz w:val="24"/>
          <w:szCs w:val="24"/>
        </w:rPr>
        <w:t xml:space="preserve">t </w:t>
      </w:r>
      <w:r w:rsidRPr="00EE6C37">
        <w:rPr>
          <w:rFonts w:ascii="Times New Roman" w:hAnsi="Times New Roman"/>
          <w:sz w:val="24"/>
          <w:szCs w:val="24"/>
        </w:rPr>
        <w:t>e</w:t>
      </w:r>
      <w:r w:rsidRPr="00EE6C37">
        <w:rPr>
          <w:rFonts w:ascii="Times New Roman" w:hAnsi="Times New Roman"/>
          <w:i/>
          <w:sz w:val="24"/>
          <w:szCs w:val="24"/>
        </w:rPr>
        <w:t xml:space="preserve"> t-1</w:t>
      </w:r>
      <w:r w:rsidRPr="00EE6C37">
        <w:rPr>
          <w:rFonts w:ascii="Times New Roman" w:hAnsi="Times New Roman"/>
          <w:sz w:val="24"/>
          <w:szCs w:val="24"/>
        </w:rPr>
        <w:t>, pode-se observar quanto da variação do índice de Gini é determinado pela variação da desigualdade das diferentes parcelas de renda e quanto deriva da variação das participações destas parcelas na renda. De fato, é possível decompor a variação do índice de Gini como:</w:t>
      </w:r>
    </w:p>
    <w:p w:rsidR="00EE6C37" w:rsidRPr="00EE6C37" w:rsidRDefault="00EE6C37" w:rsidP="00EE6C37">
      <w:pPr>
        <w:jc w:val="both"/>
        <w:rPr>
          <w:rFonts w:ascii="Times New Roman" w:hAnsi="Times New Roman"/>
          <w:sz w:val="24"/>
          <w:szCs w:val="24"/>
        </w:rPr>
      </w:pPr>
      <w:r w:rsidRPr="00EE6C37">
        <w:rPr>
          <w:rFonts w:ascii="Times New Roman" w:hAnsi="Times New Roman"/>
          <w:sz w:val="24"/>
          <w:szCs w:val="24"/>
        </w:rPr>
        <w:t xml:space="preserve"> </w:t>
      </w:r>
      <w:r w:rsidR="00822CB3" w:rsidRPr="00822CB3">
        <w:rPr>
          <w:rFonts w:ascii="Times New Roman" w:hAnsi="Times New Roman"/>
          <w:position w:val="-30"/>
          <w:sz w:val="24"/>
          <w:szCs w:val="24"/>
        </w:rPr>
        <w:object w:dxaOrig="3500" w:dyaOrig="700">
          <v:shape id="_x0000_i1028" type="#_x0000_t75" style="width:174.75pt;height:35.25pt" o:ole="">
            <v:imagedata r:id="rId21" o:title=""/>
          </v:shape>
          <o:OLEObject Type="Embed" ProgID="Equation.3" ShapeID="_x0000_i1028" DrawAspect="Content" ObjectID="_1340458325" r:id="rId22"/>
        </w:object>
      </w:r>
      <w:r w:rsidRPr="00EE6C37">
        <w:rPr>
          <w:rFonts w:ascii="Times New Roman" w:hAnsi="Times New Roman"/>
          <w:sz w:val="24"/>
          <w:szCs w:val="24"/>
        </w:rPr>
        <w:t xml:space="preserve"> , onde </w:t>
      </w:r>
      <w:r w:rsidRPr="00EE6C37">
        <w:rPr>
          <w:rFonts w:ascii="Times New Roman" w:hAnsi="Times New Roman"/>
          <w:position w:val="-24"/>
          <w:sz w:val="24"/>
          <w:szCs w:val="24"/>
        </w:rPr>
        <w:object w:dxaOrig="1780" w:dyaOrig="620">
          <v:shape id="_x0000_i1029" type="#_x0000_t75" style="width:89.25pt;height:30.75pt" o:ole="">
            <v:imagedata r:id="rId23" o:title=""/>
          </v:shape>
          <o:OLEObject Type="Embed" ProgID="Equation.3" ShapeID="_x0000_i1029" DrawAspect="Content" ObjectID="_1340458326" r:id="rId24"/>
        </w:object>
      </w:r>
      <w:r w:rsidRPr="00EE6C37">
        <w:rPr>
          <w:rFonts w:ascii="Times New Roman" w:hAnsi="Times New Roman"/>
          <w:sz w:val="24"/>
          <w:szCs w:val="24"/>
        </w:rPr>
        <w:t xml:space="preserve">.        </w:t>
      </w:r>
      <w:r w:rsidR="001411F8">
        <w:rPr>
          <w:rFonts w:ascii="Times New Roman" w:hAnsi="Times New Roman"/>
          <w:sz w:val="24"/>
          <w:szCs w:val="24"/>
        </w:rPr>
        <w:t xml:space="preserve">                  </w:t>
      </w:r>
      <w:r w:rsidR="00885EF7">
        <w:rPr>
          <w:rFonts w:ascii="Times New Roman" w:hAnsi="Times New Roman"/>
          <w:sz w:val="24"/>
          <w:szCs w:val="24"/>
        </w:rPr>
        <w:t xml:space="preserve"> (4</w:t>
      </w:r>
      <w:r w:rsidRPr="00EE6C37">
        <w:rPr>
          <w:rFonts w:ascii="Times New Roman" w:hAnsi="Times New Roman"/>
          <w:sz w:val="24"/>
          <w:szCs w:val="24"/>
        </w:rPr>
        <w:t>)</w:t>
      </w:r>
    </w:p>
    <w:p w:rsidR="00F2728C" w:rsidRDefault="00EE6C37" w:rsidP="00910DF2">
      <w:pPr>
        <w:spacing w:after="0" w:line="240" w:lineRule="auto"/>
        <w:jc w:val="both"/>
        <w:rPr>
          <w:rFonts w:ascii="Times New Roman" w:hAnsi="Times New Roman"/>
          <w:sz w:val="24"/>
          <w:szCs w:val="24"/>
        </w:rPr>
      </w:pPr>
      <w:r w:rsidRPr="00EE6C37">
        <w:rPr>
          <w:rFonts w:ascii="Times New Roman" w:hAnsi="Times New Roman"/>
          <w:sz w:val="24"/>
          <w:szCs w:val="24"/>
        </w:rPr>
        <w:t>Com a primeira soma representando o efeito-participação, observa-se que o aumento da participação de uma fonte que apresenta um nível de concentração menor (maior) que aquele verificado para a renda total contribui para diminuição (aumento) da desigualdade da renda total do trabalho. Já a segunda soma, que representa o efeito-concentração total, mostra o impacto de variações nos níveis de concentração das diferentes parcelas de renda dos setores na variação do nível de desigualdade da renda total</w:t>
      </w:r>
      <w:r w:rsidR="00746E05">
        <w:rPr>
          <w:rFonts w:ascii="Times New Roman" w:hAnsi="Times New Roman"/>
          <w:sz w:val="24"/>
          <w:szCs w:val="24"/>
        </w:rPr>
        <w:t>.</w:t>
      </w:r>
    </w:p>
    <w:p w:rsidR="00746E05" w:rsidRPr="00B45C35" w:rsidRDefault="00746E05" w:rsidP="00910DF2">
      <w:pPr>
        <w:spacing w:after="0" w:line="240" w:lineRule="auto"/>
        <w:jc w:val="both"/>
        <w:rPr>
          <w:rFonts w:ascii="Times New Roman" w:hAnsi="Times New Roman"/>
          <w:i/>
          <w:sz w:val="24"/>
          <w:szCs w:val="24"/>
        </w:rPr>
      </w:pPr>
      <w:r>
        <w:rPr>
          <w:rFonts w:ascii="Times New Roman" w:hAnsi="Times New Roman"/>
          <w:sz w:val="24"/>
          <w:szCs w:val="24"/>
        </w:rPr>
        <w:tab/>
        <w:t xml:space="preserve">Decomposições análogas podem ser obtidas paras diferentes medidas de </w:t>
      </w:r>
      <w:r w:rsidRPr="00EE6C37">
        <w:rPr>
          <w:rFonts w:ascii="Times New Roman" w:hAnsi="Times New Roman"/>
          <w:sz w:val="24"/>
          <w:szCs w:val="24"/>
        </w:rPr>
        <w:t>Entropia Generalizadas</w:t>
      </w:r>
      <w:r>
        <w:rPr>
          <w:rFonts w:ascii="Times New Roman" w:hAnsi="Times New Roman"/>
          <w:sz w:val="24"/>
          <w:szCs w:val="24"/>
        </w:rPr>
        <w:t xml:space="preserve">, obtidas pela relação </w:t>
      </w:r>
      <w:r w:rsidRPr="00BB0903">
        <w:rPr>
          <w:color w:val="000000"/>
          <w:position w:val="-38"/>
        </w:rPr>
        <w:object w:dxaOrig="3540" w:dyaOrig="880">
          <v:shape id="_x0000_i1030" type="#_x0000_t75" style="width:176.25pt;height:43.5pt" o:ole="">
            <v:imagedata r:id="rId25" o:title=""/>
          </v:shape>
          <o:OLEObject Type="Embed" ProgID="Equation.3" ShapeID="_x0000_i1030" DrawAspect="Content" ObjectID="_1340458327" r:id="rId26"/>
        </w:object>
      </w:r>
      <w:r>
        <w:rPr>
          <w:color w:val="000000"/>
        </w:rPr>
        <w:t xml:space="preserve">, </w:t>
      </w:r>
      <w:r w:rsidRPr="00B45C35">
        <w:rPr>
          <w:rFonts w:ascii="Times New Roman" w:hAnsi="Times New Roman"/>
          <w:i/>
          <w:color w:val="000000"/>
          <w:sz w:val="24"/>
        </w:rPr>
        <w:t>α</w:t>
      </w:r>
      <w:r w:rsidRPr="00746E05">
        <w:rPr>
          <w:rFonts w:ascii="Times New Roman" w:hAnsi="Times New Roman"/>
          <w:color w:val="000000"/>
          <w:sz w:val="24"/>
        </w:rPr>
        <w:t xml:space="preserve"> = 0, 1, 2, onde </w:t>
      </w:r>
      <w:r w:rsidRPr="00746E05">
        <w:rPr>
          <w:rFonts w:ascii="Times New Roman" w:hAnsi="Times New Roman"/>
          <w:i/>
          <w:color w:val="000000"/>
          <w:sz w:val="24"/>
        </w:rPr>
        <w:t>y</w:t>
      </w:r>
      <w:r w:rsidRPr="00746E05">
        <w:rPr>
          <w:rFonts w:ascii="Times New Roman" w:hAnsi="Times New Roman"/>
          <w:i/>
          <w:color w:val="000000"/>
          <w:sz w:val="24"/>
          <w:vertAlign w:val="subscript"/>
        </w:rPr>
        <w:t>i</w:t>
      </w:r>
      <w:r w:rsidRPr="00746E05">
        <w:rPr>
          <w:rFonts w:ascii="Times New Roman" w:hAnsi="Times New Roman"/>
          <w:color w:val="000000"/>
          <w:sz w:val="24"/>
        </w:rPr>
        <w:t xml:space="preserve"> </w:t>
      </w:r>
      <w:r w:rsidRPr="00746E05">
        <w:rPr>
          <w:rFonts w:ascii="Times New Roman" w:hAnsi="Times New Roman"/>
          <w:sz w:val="24"/>
          <w:szCs w:val="24"/>
        </w:rPr>
        <w:t xml:space="preserve">corresponde </w:t>
      </w:r>
      <w:r w:rsidR="00B45C35">
        <w:rPr>
          <w:rFonts w:ascii="Times New Roman" w:hAnsi="Times New Roman"/>
          <w:sz w:val="24"/>
          <w:szCs w:val="24"/>
        </w:rPr>
        <w:t xml:space="preserve">à </w:t>
      </w:r>
      <w:r w:rsidR="00B45C35" w:rsidRPr="00B45C35">
        <w:rPr>
          <w:rFonts w:ascii="Times New Roman" w:hAnsi="Times New Roman"/>
          <w:i/>
          <w:sz w:val="24"/>
          <w:szCs w:val="24"/>
        </w:rPr>
        <w:t xml:space="preserve">renda </w:t>
      </w:r>
      <w:r w:rsidRPr="00B45C35">
        <w:rPr>
          <w:rFonts w:ascii="Times New Roman" w:hAnsi="Times New Roman"/>
          <w:i/>
          <w:sz w:val="24"/>
          <w:szCs w:val="24"/>
        </w:rPr>
        <w:t>per capita</w:t>
      </w:r>
      <w:r w:rsidRPr="00746E05">
        <w:rPr>
          <w:rFonts w:ascii="Times New Roman" w:hAnsi="Times New Roman"/>
          <w:sz w:val="24"/>
          <w:szCs w:val="24"/>
        </w:rPr>
        <w:t xml:space="preserve"> da observação </w:t>
      </w:r>
      <w:r w:rsidRPr="00822CB3">
        <w:rPr>
          <w:rFonts w:ascii="Times New Roman" w:hAnsi="Times New Roman"/>
          <w:i/>
          <w:sz w:val="24"/>
          <w:szCs w:val="24"/>
        </w:rPr>
        <w:t>i</w:t>
      </w:r>
      <w:r w:rsidRPr="00B45C35">
        <w:rPr>
          <w:rFonts w:ascii="Times New Roman" w:hAnsi="Times New Roman"/>
          <w:i/>
          <w:sz w:val="24"/>
          <w:szCs w:val="24"/>
        </w:rPr>
        <w:t xml:space="preserve">, </w:t>
      </w:r>
      <w:r w:rsidR="00B45C35" w:rsidRPr="00B45C35">
        <w:rPr>
          <w:rFonts w:ascii="Times New Roman" w:hAnsi="Times New Roman"/>
          <w:i/>
          <w:sz w:val="24"/>
          <w:szCs w:val="24"/>
        </w:rPr>
        <w:t>µ</w:t>
      </w:r>
      <w:r w:rsidR="00B45C35">
        <w:rPr>
          <w:rFonts w:ascii="Times New Roman" w:hAnsi="Times New Roman"/>
          <w:sz w:val="24"/>
          <w:szCs w:val="24"/>
        </w:rPr>
        <w:t xml:space="preserve"> </w:t>
      </w:r>
      <w:r w:rsidRPr="00746E05">
        <w:rPr>
          <w:rFonts w:ascii="Times New Roman" w:hAnsi="Times New Roman"/>
          <w:sz w:val="24"/>
          <w:szCs w:val="24"/>
        </w:rPr>
        <w:t xml:space="preserve">representa a média da correspondente distribuição e </w:t>
      </w:r>
      <w:r w:rsidRPr="00822CB3">
        <w:rPr>
          <w:rFonts w:ascii="Times New Roman" w:hAnsi="Times New Roman"/>
          <w:i/>
          <w:sz w:val="24"/>
          <w:szCs w:val="24"/>
        </w:rPr>
        <w:t>n</w:t>
      </w:r>
      <w:r w:rsidRPr="00746E05">
        <w:rPr>
          <w:rFonts w:ascii="Times New Roman" w:hAnsi="Times New Roman"/>
          <w:sz w:val="24"/>
          <w:szCs w:val="24"/>
        </w:rPr>
        <w:t xml:space="preserve"> representa o número de observações considerado.</w:t>
      </w:r>
      <w:r w:rsidR="00B45C35">
        <w:rPr>
          <w:rFonts w:ascii="Times New Roman" w:hAnsi="Times New Roman"/>
          <w:sz w:val="24"/>
          <w:szCs w:val="24"/>
        </w:rPr>
        <w:t xml:space="preserve"> A decomposição </w:t>
      </w:r>
      <w:r w:rsidR="005D6046">
        <w:rPr>
          <w:rFonts w:ascii="Times New Roman" w:hAnsi="Times New Roman"/>
          <w:sz w:val="24"/>
          <w:szCs w:val="24"/>
        </w:rPr>
        <w:t xml:space="preserve">de </w:t>
      </w:r>
      <w:r w:rsidR="00B45C35">
        <w:rPr>
          <w:rFonts w:ascii="Times New Roman" w:hAnsi="Times New Roman"/>
          <w:sz w:val="24"/>
          <w:szCs w:val="24"/>
        </w:rPr>
        <w:t xml:space="preserve">mais </w:t>
      </w:r>
      <w:r w:rsidR="005D6046">
        <w:rPr>
          <w:rFonts w:ascii="Times New Roman" w:hAnsi="Times New Roman"/>
          <w:sz w:val="24"/>
          <w:szCs w:val="24"/>
        </w:rPr>
        <w:t>simples representação</w:t>
      </w:r>
      <w:r w:rsidR="00B45C35">
        <w:rPr>
          <w:rFonts w:ascii="Times New Roman" w:hAnsi="Times New Roman"/>
          <w:sz w:val="24"/>
          <w:szCs w:val="24"/>
        </w:rPr>
        <w:t xml:space="preserve"> ocorre para o caso em que </w:t>
      </w:r>
      <w:r w:rsidR="00B45C35" w:rsidRPr="00B45C35">
        <w:rPr>
          <w:rFonts w:ascii="Times New Roman" w:hAnsi="Times New Roman"/>
          <w:i/>
          <w:color w:val="000000"/>
          <w:sz w:val="24"/>
        </w:rPr>
        <w:t>α</w:t>
      </w:r>
      <w:r w:rsidR="00B45C35">
        <w:rPr>
          <w:rFonts w:ascii="Times New Roman" w:hAnsi="Times New Roman"/>
          <w:i/>
          <w:color w:val="000000"/>
          <w:sz w:val="24"/>
        </w:rPr>
        <w:t xml:space="preserve"> </w:t>
      </w:r>
      <w:r w:rsidR="00B45C35">
        <w:rPr>
          <w:rFonts w:ascii="Times New Roman" w:hAnsi="Times New Roman"/>
          <w:color w:val="000000"/>
          <w:sz w:val="24"/>
        </w:rPr>
        <w:t xml:space="preserve">= 2, situação em que o índice corresponde à metade do quadrado do desvio-padrão: </w:t>
      </w:r>
      <w:r w:rsidR="00822CB3" w:rsidRPr="00BB0903">
        <w:rPr>
          <w:color w:val="000000"/>
          <w:position w:val="-38"/>
        </w:rPr>
        <w:object w:dxaOrig="3700" w:dyaOrig="880">
          <v:shape id="_x0000_i1031" type="#_x0000_t75" style="width:185.25pt;height:43.5pt" o:ole="">
            <v:imagedata r:id="rId27" o:title=""/>
          </v:shape>
          <o:OLEObject Type="Embed" ProgID="Equation.3" ShapeID="_x0000_i1031" DrawAspect="Content" ObjectID="_1340458328" r:id="rId28"/>
        </w:object>
      </w:r>
      <w:r w:rsidR="00B45C35">
        <w:rPr>
          <w:color w:val="000000"/>
        </w:rPr>
        <w:t xml:space="preserve">. </w:t>
      </w:r>
      <w:r w:rsidR="00B45C35" w:rsidRPr="00B45C35">
        <w:rPr>
          <w:rFonts w:ascii="Times New Roman" w:hAnsi="Times New Roman"/>
          <w:color w:val="000000"/>
          <w:sz w:val="24"/>
        </w:rPr>
        <w:t xml:space="preserve">Neste </w:t>
      </w:r>
      <w:r w:rsidR="00B45C35">
        <w:rPr>
          <w:rFonts w:ascii="Times New Roman" w:hAnsi="Times New Roman"/>
          <w:color w:val="000000"/>
          <w:sz w:val="24"/>
        </w:rPr>
        <w:t>caso é possível obter:</w:t>
      </w:r>
    </w:p>
    <w:p w:rsidR="00822CB3" w:rsidRDefault="00822CB3" w:rsidP="00822CB3">
      <w:pPr>
        <w:spacing w:after="0"/>
        <w:jc w:val="both"/>
        <w:rPr>
          <w:rFonts w:ascii="Times New Roman" w:hAnsi="Times New Roman"/>
          <w:color w:val="000000"/>
          <w:position w:val="-38"/>
          <w:sz w:val="24"/>
        </w:rPr>
      </w:pPr>
      <w:r>
        <w:rPr>
          <w:color w:val="000000"/>
          <w:position w:val="-38"/>
        </w:rPr>
        <w:t xml:space="preserve">               </w:t>
      </w:r>
      <w:r w:rsidR="009B220C" w:rsidRPr="00F64F54">
        <w:rPr>
          <w:color w:val="000000"/>
          <w:position w:val="-30"/>
        </w:rPr>
        <w:object w:dxaOrig="4220" w:dyaOrig="700">
          <v:shape id="_x0000_i1032" type="#_x0000_t75" style="width:210pt;height:35.25pt" o:ole="">
            <v:imagedata r:id="rId29" o:title=""/>
          </v:shape>
          <o:OLEObject Type="Embed" ProgID="Equation.3" ShapeID="_x0000_i1032" DrawAspect="Content" ObjectID="_1340458329" r:id="rId30"/>
        </w:object>
      </w:r>
      <w:r>
        <w:rPr>
          <w:color w:val="000000"/>
        </w:rPr>
        <w:t xml:space="preserve">,                                                                       </w:t>
      </w:r>
      <w:r w:rsidR="00885EF7">
        <w:rPr>
          <w:rFonts w:ascii="Times New Roman" w:hAnsi="Times New Roman"/>
          <w:color w:val="000000"/>
          <w:sz w:val="24"/>
        </w:rPr>
        <w:t xml:space="preserve">  (5</w:t>
      </w:r>
      <w:r w:rsidRPr="00822CB3">
        <w:rPr>
          <w:rFonts w:ascii="Times New Roman" w:hAnsi="Times New Roman"/>
          <w:color w:val="000000"/>
          <w:sz w:val="24"/>
        </w:rPr>
        <w:t>)</w:t>
      </w:r>
      <w:r w:rsidRPr="00822CB3">
        <w:rPr>
          <w:rFonts w:ascii="Times New Roman" w:hAnsi="Times New Roman"/>
          <w:color w:val="000000"/>
          <w:position w:val="-38"/>
          <w:sz w:val="24"/>
        </w:rPr>
        <w:t xml:space="preserve"> </w:t>
      </w:r>
    </w:p>
    <w:p w:rsidR="00A06113" w:rsidRPr="00910DF2" w:rsidRDefault="00822CB3" w:rsidP="001411F8">
      <w:pPr>
        <w:spacing w:after="0" w:line="240" w:lineRule="auto"/>
        <w:jc w:val="both"/>
        <w:rPr>
          <w:rFonts w:ascii="Times New Roman" w:hAnsi="Times New Roman"/>
          <w:color w:val="000000"/>
          <w:sz w:val="24"/>
        </w:rPr>
      </w:pPr>
      <w:r w:rsidRPr="00F64F54">
        <w:rPr>
          <w:rFonts w:ascii="Times New Roman" w:hAnsi="Times New Roman"/>
          <w:sz w:val="24"/>
          <w:szCs w:val="24"/>
        </w:rPr>
        <w:t>Onde</w:t>
      </w:r>
      <w:r w:rsidR="00F64F54">
        <w:rPr>
          <w:rFonts w:ascii="Times New Roman" w:hAnsi="Times New Roman"/>
          <w:sz w:val="24"/>
          <w:szCs w:val="24"/>
        </w:rPr>
        <w:t xml:space="preserve"> </w:t>
      </w:r>
      <w:r w:rsidR="00F64F54">
        <w:rPr>
          <w:rFonts w:ascii="Times New Roman" w:hAnsi="Times New Roman"/>
          <w:i/>
          <w:color w:val="000000"/>
          <w:sz w:val="24"/>
        </w:rPr>
        <w:t>S</w:t>
      </w:r>
      <w:r w:rsidR="00F64F54">
        <w:rPr>
          <w:rFonts w:ascii="Times New Roman" w:hAnsi="Times New Roman"/>
          <w:i/>
          <w:color w:val="000000"/>
          <w:sz w:val="24"/>
          <w:vertAlign w:val="subscript"/>
        </w:rPr>
        <w:t>f</w:t>
      </w:r>
      <w:r w:rsidR="00F64F54">
        <w:rPr>
          <w:rFonts w:ascii="Times New Roman" w:hAnsi="Times New Roman"/>
          <w:sz w:val="24"/>
          <w:szCs w:val="24"/>
        </w:rPr>
        <w:t xml:space="preserve"> é a parcela da desigualdade explicada pela fonte de renda </w:t>
      </w:r>
      <w:r w:rsidR="00F64F54" w:rsidRPr="00F64F54">
        <w:rPr>
          <w:rFonts w:ascii="Times New Roman" w:hAnsi="Times New Roman"/>
          <w:i/>
          <w:sz w:val="24"/>
          <w:szCs w:val="24"/>
        </w:rPr>
        <w:t>f</w:t>
      </w:r>
      <w:r w:rsidR="00F64F54">
        <w:rPr>
          <w:rFonts w:ascii="Times New Roman" w:hAnsi="Times New Roman"/>
          <w:i/>
          <w:sz w:val="24"/>
          <w:szCs w:val="24"/>
        </w:rPr>
        <w:t xml:space="preserve">, </w:t>
      </w:r>
      <w:r w:rsidR="00F64F54">
        <w:rPr>
          <w:rFonts w:ascii="Times New Roman" w:hAnsi="Times New Roman"/>
          <w:i/>
          <w:color w:val="000000"/>
          <w:sz w:val="24"/>
        </w:rPr>
        <w:t>ρ</w:t>
      </w:r>
      <w:r w:rsidR="00F64F54">
        <w:rPr>
          <w:rFonts w:ascii="Times New Roman" w:hAnsi="Times New Roman"/>
          <w:i/>
          <w:color w:val="000000"/>
          <w:sz w:val="24"/>
          <w:vertAlign w:val="subscript"/>
        </w:rPr>
        <w:t>f</w:t>
      </w:r>
      <w:r w:rsidR="00F64F54" w:rsidRPr="00F64F54">
        <w:rPr>
          <w:rFonts w:ascii="Times New Roman" w:hAnsi="Times New Roman"/>
          <w:sz w:val="24"/>
          <w:szCs w:val="24"/>
        </w:rPr>
        <w:t xml:space="preserve"> </w:t>
      </w:r>
      <w:r w:rsidR="0047412F">
        <w:rPr>
          <w:rFonts w:ascii="Times New Roman" w:hAnsi="Times New Roman"/>
          <w:sz w:val="24"/>
          <w:szCs w:val="24"/>
        </w:rPr>
        <w:t xml:space="preserve"> é a correlação entre  o componente da renda </w:t>
      </w:r>
      <w:r w:rsidR="0047412F">
        <w:rPr>
          <w:rFonts w:ascii="Times New Roman" w:hAnsi="Times New Roman"/>
          <w:i/>
          <w:sz w:val="24"/>
          <w:szCs w:val="24"/>
        </w:rPr>
        <w:t xml:space="preserve">f </w:t>
      </w:r>
      <w:r w:rsidR="0047412F">
        <w:rPr>
          <w:rFonts w:ascii="Times New Roman" w:hAnsi="Times New Roman"/>
          <w:sz w:val="24"/>
          <w:szCs w:val="24"/>
        </w:rPr>
        <w:t xml:space="preserve">e a renda total, </w:t>
      </w:r>
      <w:r w:rsidR="0047412F">
        <w:rPr>
          <w:rFonts w:ascii="Times New Roman" w:hAnsi="Times New Roman"/>
          <w:i/>
          <w:color w:val="000000"/>
          <w:sz w:val="24"/>
        </w:rPr>
        <w:t>χ</w:t>
      </w:r>
      <w:r w:rsidR="0047412F">
        <w:rPr>
          <w:rFonts w:ascii="Times New Roman" w:hAnsi="Times New Roman"/>
          <w:i/>
          <w:color w:val="000000"/>
          <w:sz w:val="24"/>
          <w:vertAlign w:val="subscript"/>
        </w:rPr>
        <w:t xml:space="preserve">f </w:t>
      </w:r>
      <w:r w:rsidR="0047412F">
        <w:rPr>
          <w:rFonts w:ascii="Times New Roman" w:hAnsi="Times New Roman"/>
          <w:color w:val="000000"/>
          <w:sz w:val="24"/>
        </w:rPr>
        <w:t xml:space="preserve"> é a participação do componente na renda total e </w:t>
      </w:r>
      <m:oMath>
        <m:sSub>
          <m:sSubPr>
            <m:ctrlPr>
              <w:rPr>
                <w:rFonts w:ascii="Cambria Math" w:hAnsi="Cambria Math"/>
                <w:i/>
                <w:color w:val="000000"/>
                <w:sz w:val="24"/>
              </w:rPr>
            </m:ctrlPr>
          </m:sSubPr>
          <m:e>
            <m:r>
              <w:rPr>
                <w:rFonts w:ascii="Cambria Math" w:hAnsi="Cambria Math"/>
                <w:color w:val="000000"/>
                <w:sz w:val="24"/>
              </w:rPr>
              <m:t>G</m:t>
            </m:r>
          </m:e>
          <m:sub>
            <m:r>
              <w:rPr>
                <w:rFonts w:ascii="Cambria Math" w:hAnsi="Cambria Math"/>
                <w:color w:val="000000"/>
                <w:sz w:val="24"/>
              </w:rPr>
              <m:t>f</m:t>
            </m:r>
          </m:sub>
        </m:sSub>
        <m:r>
          <w:rPr>
            <w:rFonts w:ascii="Cambria Math" w:hAnsi="Cambria Math"/>
            <w:color w:val="000000"/>
            <w:sz w:val="24"/>
          </w:rPr>
          <m:t>(2)</m:t>
        </m:r>
      </m:oMath>
      <w:r w:rsidR="0047412F">
        <w:rPr>
          <w:rFonts w:ascii="Times New Roman" w:hAnsi="Times New Roman"/>
          <w:color w:val="000000"/>
          <w:sz w:val="24"/>
        </w:rPr>
        <w:t xml:space="preserve"> é o próprio índice para a referida componente da renda</w:t>
      </w:r>
      <w:r w:rsidR="00F77E19">
        <w:rPr>
          <w:rStyle w:val="FootnoteReference"/>
          <w:rFonts w:ascii="Times New Roman" w:hAnsi="Times New Roman"/>
          <w:color w:val="000000"/>
          <w:sz w:val="24"/>
        </w:rPr>
        <w:footnoteReference w:id="5"/>
      </w:r>
      <w:r w:rsidR="0047412F">
        <w:rPr>
          <w:rFonts w:ascii="Times New Roman" w:hAnsi="Times New Roman"/>
          <w:color w:val="000000"/>
          <w:sz w:val="24"/>
        </w:rPr>
        <w:t>.</w:t>
      </w:r>
      <w:r w:rsidR="00F77E19">
        <w:rPr>
          <w:rFonts w:ascii="Times New Roman" w:hAnsi="Times New Roman"/>
          <w:color w:val="000000"/>
          <w:sz w:val="24"/>
        </w:rPr>
        <w:t xml:space="preserve"> Desta relação, é </w:t>
      </w:r>
      <w:r w:rsidR="00F77E19" w:rsidRPr="006D656E">
        <w:rPr>
          <w:rFonts w:ascii="Times New Roman" w:hAnsi="Times New Roman"/>
          <w:sz w:val="24"/>
          <w:szCs w:val="24"/>
        </w:rPr>
        <w:t xml:space="preserve">imediatamente possível obter </w:t>
      </w:r>
      <w:r w:rsidR="009B220C" w:rsidRPr="006D656E">
        <w:rPr>
          <w:rFonts w:ascii="Times New Roman" w:hAnsi="Times New Roman"/>
          <w:sz w:val="24"/>
          <w:szCs w:val="24"/>
        </w:rPr>
        <w:t>a participação de cada fonte de renda na desigualdade total e, para determ</w:t>
      </w:r>
      <w:r w:rsidR="009B220C">
        <w:rPr>
          <w:rFonts w:ascii="Times New Roman" w:hAnsi="Times New Roman"/>
          <w:color w:val="000000"/>
          <w:sz w:val="24"/>
        </w:rPr>
        <w:t>inado período de análise, o quanto cada parcela tem de responsabilidade pela variação do índice de desigualdade</w:t>
      </w:r>
      <w:r w:rsidR="00885EF7">
        <w:rPr>
          <w:rFonts w:ascii="Times New Roman" w:hAnsi="Times New Roman"/>
          <w:color w:val="000000"/>
          <w:sz w:val="24"/>
        </w:rPr>
        <w:t xml:space="preserve"> (expressão análoga à equação (4</w:t>
      </w:r>
      <w:r w:rsidR="009B220C">
        <w:rPr>
          <w:rFonts w:ascii="Times New Roman" w:hAnsi="Times New Roman"/>
          <w:color w:val="000000"/>
          <w:sz w:val="24"/>
        </w:rPr>
        <w:t xml:space="preserve">) obtida para o Índice de Gini. Dada a mais rica caracterização </w:t>
      </w:r>
      <w:r w:rsidR="006D656E">
        <w:rPr>
          <w:rFonts w:ascii="Times New Roman" w:hAnsi="Times New Roman"/>
          <w:color w:val="000000"/>
          <w:sz w:val="24"/>
        </w:rPr>
        <w:t xml:space="preserve">da dinâmica da desigualdade </w:t>
      </w:r>
      <w:r w:rsidR="009B220C">
        <w:rPr>
          <w:rFonts w:ascii="Times New Roman" w:hAnsi="Times New Roman"/>
          <w:color w:val="000000"/>
          <w:sz w:val="24"/>
        </w:rPr>
        <w:t xml:space="preserve">possível de ser obtida </w:t>
      </w:r>
      <w:r w:rsidR="006D656E">
        <w:rPr>
          <w:rFonts w:ascii="Times New Roman" w:hAnsi="Times New Roman"/>
          <w:color w:val="000000"/>
          <w:sz w:val="24"/>
        </w:rPr>
        <w:t>a partir d</w:t>
      </w:r>
      <w:r w:rsidR="009B220C">
        <w:rPr>
          <w:rFonts w:ascii="Times New Roman" w:hAnsi="Times New Roman"/>
          <w:color w:val="000000"/>
          <w:sz w:val="24"/>
        </w:rPr>
        <w:t xml:space="preserve">a decomposição do Gini, </w:t>
      </w:r>
      <w:r w:rsidR="006D656E">
        <w:rPr>
          <w:rFonts w:ascii="Times New Roman" w:hAnsi="Times New Roman"/>
          <w:color w:val="000000"/>
          <w:sz w:val="24"/>
        </w:rPr>
        <w:t>foca-se</w:t>
      </w:r>
      <w:r w:rsidR="00910DF2">
        <w:rPr>
          <w:rFonts w:ascii="Times New Roman" w:hAnsi="Times New Roman"/>
          <w:color w:val="000000"/>
          <w:sz w:val="24"/>
        </w:rPr>
        <w:t>,</w:t>
      </w:r>
      <w:r w:rsidR="006D656E">
        <w:rPr>
          <w:rFonts w:ascii="Times New Roman" w:hAnsi="Times New Roman"/>
          <w:color w:val="000000"/>
          <w:sz w:val="24"/>
        </w:rPr>
        <w:t xml:space="preserve"> nas evidências a seguir</w:t>
      </w:r>
      <w:r w:rsidR="00910DF2">
        <w:rPr>
          <w:rFonts w:ascii="Times New Roman" w:hAnsi="Times New Roman"/>
          <w:color w:val="000000"/>
          <w:sz w:val="24"/>
        </w:rPr>
        <w:t>,</w:t>
      </w:r>
      <w:r w:rsidR="006D656E">
        <w:rPr>
          <w:rFonts w:ascii="Times New Roman" w:hAnsi="Times New Roman"/>
          <w:color w:val="000000"/>
          <w:sz w:val="24"/>
        </w:rPr>
        <w:t xml:space="preserve"> os resultados da decomp</w:t>
      </w:r>
      <w:r w:rsidR="00910DF2">
        <w:rPr>
          <w:rFonts w:ascii="Times New Roman" w:hAnsi="Times New Roman"/>
          <w:color w:val="000000"/>
          <w:sz w:val="24"/>
        </w:rPr>
        <w:t>osição da desigualdade</w:t>
      </w:r>
      <w:r w:rsidR="001411F8">
        <w:rPr>
          <w:rFonts w:ascii="Times New Roman" w:hAnsi="Times New Roman"/>
          <w:color w:val="000000"/>
          <w:sz w:val="24"/>
        </w:rPr>
        <w:t xml:space="preserve"> e </w:t>
      </w:r>
      <w:r w:rsidR="001411F8">
        <w:rPr>
          <w:rFonts w:ascii="Times New Roman" w:hAnsi="Times New Roman"/>
          <w:color w:val="000000"/>
          <w:sz w:val="24"/>
        </w:rPr>
        <w:lastRenderedPageBreak/>
        <w:t xml:space="preserve">suas mudanças entre 1995 e 2006 </w:t>
      </w:r>
      <w:r w:rsidR="00910DF2">
        <w:rPr>
          <w:rFonts w:ascii="Times New Roman" w:hAnsi="Times New Roman"/>
          <w:color w:val="000000"/>
          <w:sz w:val="24"/>
        </w:rPr>
        <w:t xml:space="preserve">a </w:t>
      </w:r>
      <w:r w:rsidR="001411F8">
        <w:rPr>
          <w:rFonts w:ascii="Times New Roman" w:hAnsi="Times New Roman"/>
          <w:color w:val="000000"/>
          <w:sz w:val="24"/>
        </w:rPr>
        <w:t xml:space="preserve">partir do referido e tradicional </w:t>
      </w:r>
      <w:r w:rsidR="006D656E">
        <w:rPr>
          <w:rFonts w:ascii="Times New Roman" w:hAnsi="Times New Roman"/>
          <w:color w:val="000000"/>
          <w:sz w:val="24"/>
        </w:rPr>
        <w:t>índice</w:t>
      </w:r>
      <w:r w:rsidR="001411F8">
        <w:rPr>
          <w:rFonts w:ascii="Times New Roman" w:hAnsi="Times New Roman"/>
          <w:color w:val="000000"/>
          <w:sz w:val="24"/>
        </w:rPr>
        <w:t xml:space="preserve"> de desigualdade</w:t>
      </w:r>
      <w:r w:rsidR="006D656E" w:rsidRPr="00910DF2">
        <w:rPr>
          <w:vertAlign w:val="superscript"/>
        </w:rPr>
        <w:footnoteReference w:id="6"/>
      </w:r>
      <w:r w:rsidR="006D656E">
        <w:rPr>
          <w:rFonts w:ascii="Times New Roman" w:hAnsi="Times New Roman"/>
          <w:color w:val="000000"/>
          <w:sz w:val="24"/>
        </w:rPr>
        <w:t>.</w:t>
      </w:r>
      <w:r w:rsidR="009B220C">
        <w:rPr>
          <w:rFonts w:ascii="Times New Roman" w:hAnsi="Times New Roman"/>
          <w:color w:val="000000"/>
          <w:sz w:val="24"/>
        </w:rPr>
        <w:t xml:space="preserve"> </w:t>
      </w:r>
      <w:r w:rsidR="00F64F54" w:rsidRPr="00910DF2">
        <w:rPr>
          <w:rFonts w:ascii="Times New Roman" w:hAnsi="Times New Roman"/>
          <w:color w:val="000000"/>
          <w:sz w:val="24"/>
        </w:rPr>
        <w:br/>
      </w:r>
    </w:p>
    <w:p w:rsidR="00F2728C" w:rsidRDefault="00885EF7" w:rsidP="00D70075">
      <w:pPr>
        <w:spacing w:after="0" w:line="240" w:lineRule="auto"/>
        <w:jc w:val="both"/>
        <w:rPr>
          <w:rFonts w:ascii="Times New Roman" w:hAnsi="Times New Roman"/>
          <w:b/>
          <w:sz w:val="24"/>
          <w:szCs w:val="24"/>
        </w:rPr>
      </w:pPr>
      <w:r>
        <w:rPr>
          <w:rFonts w:ascii="Times New Roman" w:hAnsi="Times New Roman"/>
          <w:b/>
          <w:sz w:val="24"/>
          <w:szCs w:val="24"/>
        </w:rPr>
        <w:t>3.3</w:t>
      </w:r>
      <w:r w:rsidR="00FC2488">
        <w:rPr>
          <w:rFonts w:ascii="Times New Roman" w:hAnsi="Times New Roman"/>
          <w:b/>
          <w:sz w:val="24"/>
          <w:szCs w:val="24"/>
        </w:rPr>
        <w:t xml:space="preserve"> Participação das fontes de renda na desigualdade regional de renda no Brasil e o papel desta</w:t>
      </w:r>
      <w:r w:rsidR="000B658F">
        <w:rPr>
          <w:rFonts w:ascii="Times New Roman" w:hAnsi="Times New Roman"/>
          <w:b/>
          <w:sz w:val="24"/>
          <w:szCs w:val="24"/>
        </w:rPr>
        <w:t>s</w:t>
      </w:r>
      <w:r w:rsidR="00FC2488">
        <w:rPr>
          <w:rFonts w:ascii="Times New Roman" w:hAnsi="Times New Roman"/>
          <w:b/>
          <w:sz w:val="24"/>
          <w:szCs w:val="24"/>
        </w:rPr>
        <w:t xml:space="preserve"> fontes na evolução da desigualdade</w:t>
      </w:r>
    </w:p>
    <w:p w:rsidR="00D70075" w:rsidRDefault="00D70075" w:rsidP="00D70075">
      <w:pPr>
        <w:spacing w:after="0" w:line="240" w:lineRule="auto"/>
        <w:jc w:val="both"/>
        <w:rPr>
          <w:rFonts w:ascii="Times New Roman" w:hAnsi="Times New Roman"/>
          <w:b/>
          <w:sz w:val="24"/>
          <w:szCs w:val="24"/>
        </w:rPr>
      </w:pPr>
    </w:p>
    <w:p w:rsidR="002E0C91" w:rsidRDefault="00352CD5" w:rsidP="001411F8">
      <w:pPr>
        <w:spacing w:after="0" w:line="240" w:lineRule="auto"/>
        <w:jc w:val="both"/>
        <w:rPr>
          <w:rFonts w:ascii="Times New Roman" w:hAnsi="Times New Roman"/>
          <w:sz w:val="24"/>
          <w:szCs w:val="24"/>
        </w:rPr>
      </w:pPr>
      <w:r>
        <w:rPr>
          <w:rFonts w:ascii="Times New Roman" w:hAnsi="Times New Roman"/>
          <w:b/>
          <w:sz w:val="24"/>
          <w:szCs w:val="24"/>
        </w:rPr>
        <w:tab/>
      </w:r>
      <w:r w:rsidR="00C771C6">
        <w:rPr>
          <w:rFonts w:ascii="Times New Roman" w:hAnsi="Times New Roman"/>
          <w:sz w:val="24"/>
          <w:szCs w:val="24"/>
        </w:rPr>
        <w:t>Na tab</w:t>
      </w:r>
      <w:r w:rsidR="0096454F">
        <w:rPr>
          <w:rFonts w:ascii="Times New Roman" w:hAnsi="Times New Roman"/>
          <w:sz w:val="24"/>
          <w:szCs w:val="24"/>
        </w:rPr>
        <w:t>ela 2, a seguir, são apresentado</w:t>
      </w:r>
      <w:r w:rsidR="00C771C6">
        <w:rPr>
          <w:rFonts w:ascii="Times New Roman" w:hAnsi="Times New Roman"/>
          <w:sz w:val="24"/>
          <w:szCs w:val="24"/>
        </w:rPr>
        <w:t>s os valores da participação e dos coeficientes</w:t>
      </w:r>
      <w:r w:rsidR="0096454F">
        <w:rPr>
          <w:rFonts w:ascii="Times New Roman" w:hAnsi="Times New Roman"/>
          <w:sz w:val="24"/>
          <w:szCs w:val="24"/>
        </w:rPr>
        <w:t xml:space="preserve"> de concentração das diferentes fontes de renda, parcelas da equação (1), </w:t>
      </w:r>
      <w:r w:rsidR="002E0C91">
        <w:rPr>
          <w:rFonts w:ascii="Times New Roman" w:hAnsi="Times New Roman"/>
          <w:sz w:val="24"/>
          <w:szCs w:val="24"/>
        </w:rPr>
        <w:t>correspondentes às equações (2) e (3). Como se nota imediatamente a partir das colunas de participação, entre 1995 e 2006, a renda do trabalho dos setores agrícola, industrial e de serviços perde importância frente às demais fontes de renda na constituição da renda total. Entre as demais fontes de renda, os destaques correspondem às rendas das aposentadorias e pensões, que apresentam elevação de 13,7% para 17,8% em sua participação na renda total, e às renda derivadas dos programas sociais, inexistentes em 1995 e representando perto de 1,7% da renda total em 2006.</w:t>
      </w:r>
    </w:p>
    <w:p w:rsidR="00A06113" w:rsidRDefault="00A06113" w:rsidP="006D656E">
      <w:pPr>
        <w:spacing w:after="0"/>
        <w:rPr>
          <w:rFonts w:ascii="Times New Roman" w:hAnsi="Times New Roman"/>
          <w:b/>
          <w:sz w:val="20"/>
          <w:szCs w:val="20"/>
        </w:rPr>
      </w:pPr>
    </w:p>
    <w:p w:rsidR="006D656E" w:rsidRPr="00973477" w:rsidRDefault="00E9494E" w:rsidP="006D656E">
      <w:pPr>
        <w:spacing w:after="0"/>
        <w:rPr>
          <w:rFonts w:ascii="Times New Roman" w:hAnsi="Times New Roman"/>
          <w:b/>
          <w:sz w:val="24"/>
          <w:szCs w:val="24"/>
        </w:rPr>
      </w:pPr>
      <w:r w:rsidRPr="00973477">
        <w:rPr>
          <w:rFonts w:ascii="Times New Roman" w:hAnsi="Times New Roman"/>
          <w:b/>
          <w:sz w:val="24"/>
          <w:szCs w:val="24"/>
        </w:rPr>
        <w:t xml:space="preserve">Tabela </w:t>
      </w:r>
      <w:r w:rsidR="00C771C6" w:rsidRPr="00973477">
        <w:rPr>
          <w:rFonts w:ascii="Times New Roman" w:hAnsi="Times New Roman"/>
          <w:b/>
          <w:sz w:val="24"/>
          <w:szCs w:val="24"/>
        </w:rPr>
        <w:t>2</w:t>
      </w:r>
      <w:r w:rsidRPr="00973477">
        <w:rPr>
          <w:rFonts w:ascii="Times New Roman" w:hAnsi="Times New Roman"/>
          <w:b/>
          <w:sz w:val="24"/>
          <w:szCs w:val="24"/>
        </w:rPr>
        <w:t>- Coeficiente de concentração e participação das fontes de renda na renda total</w:t>
      </w:r>
      <w:r w:rsidR="006D656E" w:rsidRPr="00973477">
        <w:rPr>
          <w:rFonts w:ascii="Times New Roman" w:hAnsi="Times New Roman"/>
          <w:b/>
          <w:sz w:val="24"/>
          <w:szCs w:val="24"/>
        </w:rPr>
        <w:t xml:space="preserve"> – 1995 -2006 – Índice de Gini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3"/>
        <w:gridCol w:w="1698"/>
        <w:gridCol w:w="1556"/>
        <w:gridCol w:w="1643"/>
        <w:gridCol w:w="1546"/>
      </w:tblGrid>
      <w:tr w:rsidR="006D656E" w:rsidRPr="00973477" w:rsidTr="00E82DC1">
        <w:tc>
          <w:tcPr>
            <w:tcW w:w="3133" w:type="dxa"/>
            <w:tcBorders>
              <w:left w:val="nil"/>
              <w:bottom w:val="single" w:sz="4" w:space="0" w:color="000000"/>
            </w:tcBorders>
          </w:tcPr>
          <w:p w:rsidR="006D656E" w:rsidRPr="00973477" w:rsidRDefault="006D656E" w:rsidP="00E82DC1">
            <w:pPr>
              <w:spacing w:after="0" w:line="240" w:lineRule="auto"/>
              <w:rPr>
                <w:rFonts w:ascii="Times New Roman" w:hAnsi="Times New Roman"/>
                <w:sz w:val="24"/>
                <w:szCs w:val="24"/>
              </w:rPr>
            </w:pPr>
          </w:p>
        </w:tc>
        <w:tc>
          <w:tcPr>
            <w:tcW w:w="3254" w:type="dxa"/>
            <w:gridSpan w:val="2"/>
            <w:tcBorders>
              <w:bottom w:val="single" w:sz="4" w:space="0" w:color="000000"/>
            </w:tcBorders>
          </w:tcPr>
          <w:p w:rsidR="006D656E" w:rsidRPr="00973477" w:rsidRDefault="006D656E"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1995</w:t>
            </w:r>
          </w:p>
        </w:tc>
        <w:tc>
          <w:tcPr>
            <w:tcW w:w="3189" w:type="dxa"/>
            <w:gridSpan w:val="2"/>
            <w:tcBorders>
              <w:bottom w:val="single" w:sz="4" w:space="0" w:color="000000"/>
              <w:right w:val="nil"/>
            </w:tcBorders>
          </w:tcPr>
          <w:p w:rsidR="006D656E" w:rsidRPr="00973477" w:rsidRDefault="006D656E"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2006</w:t>
            </w:r>
          </w:p>
        </w:tc>
      </w:tr>
      <w:tr w:rsidR="006D656E" w:rsidRPr="00973477" w:rsidTr="00E82DC1">
        <w:tc>
          <w:tcPr>
            <w:tcW w:w="3133" w:type="dxa"/>
            <w:tcBorders>
              <w:left w:val="nil"/>
              <w:bottom w:val="single" w:sz="4" w:space="0" w:color="000000"/>
            </w:tcBorders>
          </w:tcPr>
          <w:p w:rsidR="006D656E" w:rsidRPr="00973477" w:rsidRDefault="006D656E" w:rsidP="00E82DC1">
            <w:pPr>
              <w:spacing w:after="0" w:line="240" w:lineRule="auto"/>
              <w:rPr>
                <w:rFonts w:ascii="Times New Roman" w:hAnsi="Times New Roman"/>
                <w:sz w:val="24"/>
                <w:szCs w:val="24"/>
              </w:rPr>
            </w:pPr>
          </w:p>
        </w:tc>
        <w:tc>
          <w:tcPr>
            <w:tcW w:w="1698" w:type="dxa"/>
            <w:tcBorders>
              <w:bottom w:val="single" w:sz="4" w:space="0" w:color="000000"/>
            </w:tcBorders>
          </w:tcPr>
          <w:p w:rsidR="006D656E" w:rsidRPr="00973477" w:rsidRDefault="006D656E"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 xml:space="preserve">Coeficiente </w:t>
            </w:r>
          </w:p>
          <w:p w:rsidR="006D656E" w:rsidRPr="00973477" w:rsidRDefault="006D656E"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de Concentração</w:t>
            </w:r>
          </w:p>
        </w:tc>
        <w:tc>
          <w:tcPr>
            <w:tcW w:w="1556" w:type="dxa"/>
            <w:tcBorders>
              <w:bottom w:val="single" w:sz="4" w:space="0" w:color="000000"/>
            </w:tcBorders>
          </w:tcPr>
          <w:p w:rsidR="006D656E" w:rsidRPr="00973477" w:rsidRDefault="006D656E"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Participação</w:t>
            </w:r>
          </w:p>
          <w:p w:rsidR="006151D8" w:rsidRPr="00973477" w:rsidRDefault="006151D8"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w:t>
            </w:r>
          </w:p>
        </w:tc>
        <w:tc>
          <w:tcPr>
            <w:tcW w:w="1643" w:type="dxa"/>
            <w:tcBorders>
              <w:bottom w:val="single" w:sz="4" w:space="0" w:color="000000"/>
              <w:right w:val="nil"/>
            </w:tcBorders>
          </w:tcPr>
          <w:p w:rsidR="006D656E" w:rsidRPr="00973477" w:rsidRDefault="006D656E"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Coeficiente de Concentração</w:t>
            </w:r>
          </w:p>
        </w:tc>
        <w:tc>
          <w:tcPr>
            <w:tcW w:w="1546" w:type="dxa"/>
            <w:tcBorders>
              <w:bottom w:val="single" w:sz="4" w:space="0" w:color="000000"/>
              <w:right w:val="nil"/>
            </w:tcBorders>
          </w:tcPr>
          <w:p w:rsidR="006D656E" w:rsidRPr="00973477" w:rsidRDefault="006D656E"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Participação</w:t>
            </w:r>
          </w:p>
          <w:p w:rsidR="006151D8" w:rsidRPr="00973477" w:rsidRDefault="006151D8"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w:t>
            </w:r>
          </w:p>
        </w:tc>
      </w:tr>
      <w:tr w:rsidR="001B74A5" w:rsidRPr="00973477" w:rsidTr="00E82DC1">
        <w:tc>
          <w:tcPr>
            <w:tcW w:w="3133" w:type="dxa"/>
            <w:tcBorders>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Agricultura</w:t>
            </w:r>
          </w:p>
        </w:tc>
        <w:tc>
          <w:tcPr>
            <w:tcW w:w="1698" w:type="dxa"/>
            <w:tcBorders>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-0,0331</w:t>
            </w:r>
          </w:p>
        </w:tc>
        <w:tc>
          <w:tcPr>
            <w:tcW w:w="1556" w:type="dxa"/>
            <w:tcBorders>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7,96</w:t>
            </w:r>
          </w:p>
        </w:tc>
        <w:tc>
          <w:tcPr>
            <w:tcW w:w="1643" w:type="dxa"/>
            <w:tcBorders>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0,0932</w:t>
            </w:r>
          </w:p>
        </w:tc>
        <w:tc>
          <w:tcPr>
            <w:tcW w:w="1546" w:type="dxa"/>
            <w:tcBorders>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5,98</w:t>
            </w:r>
          </w:p>
        </w:tc>
      </w:tr>
      <w:tr w:rsidR="001B74A5" w:rsidRPr="00973477" w:rsidTr="00E82DC1">
        <w:tc>
          <w:tcPr>
            <w:tcW w:w="3133"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Indústria</w:t>
            </w:r>
          </w:p>
        </w:tc>
        <w:tc>
          <w:tcPr>
            <w:tcW w:w="1698"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0,2959</w:t>
            </w:r>
          </w:p>
        </w:tc>
        <w:tc>
          <w:tcPr>
            <w:tcW w:w="155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16,03</w:t>
            </w:r>
          </w:p>
        </w:tc>
        <w:tc>
          <w:tcPr>
            <w:tcW w:w="16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0,2290</w:t>
            </w:r>
          </w:p>
        </w:tc>
        <w:tc>
          <w:tcPr>
            <w:tcW w:w="1546"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14,62</w:t>
            </w:r>
          </w:p>
        </w:tc>
      </w:tr>
      <w:tr w:rsidR="001B74A5" w:rsidRPr="00973477" w:rsidTr="00E82DC1">
        <w:tc>
          <w:tcPr>
            <w:tcW w:w="3133"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R. Trabalho dos Serviços</w:t>
            </w:r>
          </w:p>
        </w:tc>
        <w:tc>
          <w:tcPr>
            <w:tcW w:w="1698"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0,2398</w:t>
            </w:r>
          </w:p>
        </w:tc>
        <w:tc>
          <w:tcPr>
            <w:tcW w:w="155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48,27</w:t>
            </w:r>
          </w:p>
        </w:tc>
        <w:tc>
          <w:tcPr>
            <w:tcW w:w="16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0,2089</w:t>
            </w:r>
          </w:p>
        </w:tc>
        <w:tc>
          <w:tcPr>
            <w:tcW w:w="1546"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44,88</w:t>
            </w:r>
          </w:p>
        </w:tc>
      </w:tr>
      <w:tr w:rsidR="001B74A5" w:rsidRPr="00973477" w:rsidTr="00E82DC1">
        <w:tc>
          <w:tcPr>
            <w:tcW w:w="3133"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Ad. Pública</w:t>
            </w:r>
          </w:p>
        </w:tc>
        <w:tc>
          <w:tcPr>
            <w:tcW w:w="1698"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0,2811</w:t>
            </w:r>
          </w:p>
        </w:tc>
        <w:tc>
          <w:tcPr>
            <w:tcW w:w="155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10,97</w:t>
            </w:r>
          </w:p>
        </w:tc>
        <w:tc>
          <w:tcPr>
            <w:tcW w:w="16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0,2048</w:t>
            </w:r>
          </w:p>
        </w:tc>
        <w:tc>
          <w:tcPr>
            <w:tcW w:w="1546"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11,71</w:t>
            </w:r>
          </w:p>
        </w:tc>
      </w:tr>
      <w:tr w:rsidR="001B74A5" w:rsidRPr="00973477" w:rsidTr="00E82DC1">
        <w:tc>
          <w:tcPr>
            <w:tcW w:w="3133"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Aposentadorias e Pensões</w:t>
            </w:r>
          </w:p>
        </w:tc>
        <w:tc>
          <w:tcPr>
            <w:tcW w:w="1698"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0,1645</w:t>
            </w:r>
          </w:p>
        </w:tc>
        <w:tc>
          <w:tcPr>
            <w:tcW w:w="155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13,66</w:t>
            </w:r>
          </w:p>
        </w:tc>
        <w:tc>
          <w:tcPr>
            <w:tcW w:w="16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0,1827</w:t>
            </w:r>
          </w:p>
        </w:tc>
        <w:tc>
          <w:tcPr>
            <w:tcW w:w="1546"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17,76</w:t>
            </w:r>
          </w:p>
        </w:tc>
      </w:tr>
      <w:tr w:rsidR="001B74A5" w:rsidRPr="00973477" w:rsidTr="00E82DC1">
        <w:tc>
          <w:tcPr>
            <w:tcW w:w="3133"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Aluguéis e Outras rendas</w:t>
            </w:r>
          </w:p>
        </w:tc>
        <w:tc>
          <w:tcPr>
            <w:tcW w:w="1698"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0,2760</w:t>
            </w:r>
          </w:p>
        </w:tc>
        <w:tc>
          <w:tcPr>
            <w:tcW w:w="155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0,70</w:t>
            </w:r>
          </w:p>
        </w:tc>
        <w:tc>
          <w:tcPr>
            <w:tcW w:w="16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0,2887</w:t>
            </w:r>
          </w:p>
        </w:tc>
        <w:tc>
          <w:tcPr>
            <w:tcW w:w="1546"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0,85</w:t>
            </w:r>
          </w:p>
        </w:tc>
      </w:tr>
      <w:tr w:rsidR="001B74A5" w:rsidRPr="00973477" w:rsidTr="00E82DC1">
        <w:tc>
          <w:tcPr>
            <w:tcW w:w="3133"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Renda do Capital</w:t>
            </w:r>
          </w:p>
        </w:tc>
        <w:tc>
          <w:tcPr>
            <w:tcW w:w="1698"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0,2338</w:t>
            </w:r>
          </w:p>
        </w:tc>
        <w:tc>
          <w:tcPr>
            <w:tcW w:w="155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2,41</w:t>
            </w:r>
          </w:p>
        </w:tc>
        <w:tc>
          <w:tcPr>
            <w:tcW w:w="16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0,2162</w:t>
            </w:r>
          </w:p>
        </w:tc>
        <w:tc>
          <w:tcPr>
            <w:tcW w:w="1546"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2,53</w:t>
            </w:r>
          </w:p>
        </w:tc>
      </w:tr>
      <w:tr w:rsidR="001B74A5" w:rsidRPr="00973477" w:rsidTr="00E82DC1">
        <w:tc>
          <w:tcPr>
            <w:tcW w:w="3133"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Bolsa Família</w:t>
            </w:r>
          </w:p>
        </w:tc>
        <w:tc>
          <w:tcPr>
            <w:tcW w:w="1698"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w:t>
            </w:r>
          </w:p>
        </w:tc>
        <w:tc>
          <w:tcPr>
            <w:tcW w:w="155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0,00</w:t>
            </w:r>
          </w:p>
        </w:tc>
        <w:tc>
          <w:tcPr>
            <w:tcW w:w="16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-0,1997</w:t>
            </w:r>
          </w:p>
        </w:tc>
        <w:tc>
          <w:tcPr>
            <w:tcW w:w="1546"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0,99</w:t>
            </w:r>
          </w:p>
        </w:tc>
      </w:tr>
      <w:tr w:rsidR="001B74A5" w:rsidRPr="00973477" w:rsidTr="00E82DC1">
        <w:tc>
          <w:tcPr>
            <w:tcW w:w="3133" w:type="dxa"/>
            <w:tcBorders>
              <w:top w:val="nil"/>
              <w:left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BPC</w:t>
            </w:r>
          </w:p>
        </w:tc>
        <w:tc>
          <w:tcPr>
            <w:tcW w:w="1698" w:type="dxa"/>
            <w:tcBorders>
              <w:top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w:t>
            </w:r>
          </w:p>
        </w:tc>
        <w:tc>
          <w:tcPr>
            <w:tcW w:w="1556" w:type="dxa"/>
            <w:tcBorders>
              <w:top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0,00</w:t>
            </w:r>
          </w:p>
        </w:tc>
        <w:tc>
          <w:tcPr>
            <w:tcW w:w="1643" w:type="dxa"/>
            <w:tcBorders>
              <w:top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-0,1500</w:t>
            </w:r>
          </w:p>
        </w:tc>
        <w:tc>
          <w:tcPr>
            <w:tcW w:w="1546" w:type="dxa"/>
            <w:tcBorders>
              <w:top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0,68</w:t>
            </w:r>
          </w:p>
        </w:tc>
      </w:tr>
      <w:tr w:rsidR="001B74A5" w:rsidRPr="00973477" w:rsidTr="00E82DC1">
        <w:tc>
          <w:tcPr>
            <w:tcW w:w="3133" w:type="dxa"/>
            <w:tcBorders>
              <w:left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 xml:space="preserve">Total </w:t>
            </w:r>
            <w:r w:rsidR="001F4EE3" w:rsidRPr="00973477">
              <w:rPr>
                <w:rFonts w:ascii="Times New Roman" w:hAnsi="Times New Roman"/>
                <w:b/>
                <w:sz w:val="24"/>
                <w:szCs w:val="24"/>
              </w:rPr>
              <w:t xml:space="preserve"> (Gini)</w:t>
            </w:r>
          </w:p>
        </w:tc>
        <w:tc>
          <w:tcPr>
            <w:tcW w:w="1698" w:type="dxa"/>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0,2214</w:t>
            </w:r>
          </w:p>
        </w:tc>
        <w:tc>
          <w:tcPr>
            <w:tcW w:w="1556" w:type="dxa"/>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100,00</w:t>
            </w:r>
          </w:p>
        </w:tc>
        <w:tc>
          <w:tcPr>
            <w:tcW w:w="1643" w:type="dxa"/>
            <w:tcBorders>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0,1942</w:t>
            </w:r>
          </w:p>
        </w:tc>
        <w:tc>
          <w:tcPr>
            <w:tcW w:w="1546" w:type="dxa"/>
            <w:tcBorders>
              <w:right w:val="nil"/>
            </w:tcBorders>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100,00</w:t>
            </w:r>
          </w:p>
        </w:tc>
      </w:tr>
    </w:tbl>
    <w:p w:rsidR="006D656E" w:rsidRPr="00EB7CBA" w:rsidRDefault="006D656E" w:rsidP="006D656E">
      <w:pPr>
        <w:rPr>
          <w:rFonts w:ascii="Times New Roman" w:hAnsi="Times New Roman"/>
          <w:sz w:val="20"/>
          <w:szCs w:val="20"/>
        </w:rPr>
      </w:pPr>
      <w:r w:rsidRPr="00EB7CBA">
        <w:rPr>
          <w:rFonts w:ascii="Times New Roman" w:hAnsi="Times New Roman"/>
          <w:sz w:val="20"/>
          <w:szCs w:val="20"/>
        </w:rPr>
        <w:t>Fonte: estimativas do autor a partir dos microdados da PNAD-IBGE.</w:t>
      </w:r>
    </w:p>
    <w:p w:rsidR="00F2728C" w:rsidRDefault="002E0C91" w:rsidP="001411F8">
      <w:pPr>
        <w:spacing w:after="0" w:line="240" w:lineRule="auto"/>
        <w:jc w:val="both"/>
        <w:rPr>
          <w:rFonts w:ascii="Times New Roman" w:hAnsi="Times New Roman"/>
          <w:sz w:val="24"/>
          <w:szCs w:val="24"/>
        </w:rPr>
      </w:pPr>
      <w:r>
        <w:rPr>
          <w:rFonts w:ascii="Times New Roman" w:hAnsi="Times New Roman"/>
          <w:b/>
          <w:sz w:val="24"/>
          <w:szCs w:val="24"/>
        </w:rPr>
        <w:tab/>
      </w:r>
      <w:r w:rsidRPr="002E0C91">
        <w:rPr>
          <w:rFonts w:ascii="Times New Roman" w:hAnsi="Times New Roman"/>
          <w:sz w:val="24"/>
          <w:szCs w:val="24"/>
        </w:rPr>
        <w:t xml:space="preserve">Como argumentado, a observação dos </w:t>
      </w:r>
      <w:r>
        <w:rPr>
          <w:rFonts w:ascii="Times New Roman" w:hAnsi="Times New Roman"/>
          <w:sz w:val="24"/>
          <w:szCs w:val="24"/>
        </w:rPr>
        <w:t>coeficientes de concentração das dif</w:t>
      </w:r>
      <w:r w:rsidR="009C5B50">
        <w:rPr>
          <w:rFonts w:ascii="Times New Roman" w:hAnsi="Times New Roman"/>
          <w:sz w:val="24"/>
          <w:szCs w:val="24"/>
        </w:rPr>
        <w:t xml:space="preserve">erentes fontes de renda informa </w:t>
      </w:r>
      <w:r>
        <w:rPr>
          <w:rFonts w:ascii="Times New Roman" w:hAnsi="Times New Roman"/>
          <w:sz w:val="24"/>
          <w:szCs w:val="24"/>
        </w:rPr>
        <w:t xml:space="preserve">a respeito do quanto progressiva ou regressiva eram as distribuições destas rendas em relação à distribuição da renda total </w:t>
      </w:r>
      <w:r>
        <w:rPr>
          <w:rFonts w:ascii="Times New Roman" w:hAnsi="Times New Roman"/>
          <w:i/>
          <w:sz w:val="24"/>
          <w:szCs w:val="24"/>
        </w:rPr>
        <w:t>per capita</w:t>
      </w:r>
      <w:r>
        <w:rPr>
          <w:rFonts w:ascii="Times New Roman" w:hAnsi="Times New Roman"/>
          <w:sz w:val="24"/>
          <w:szCs w:val="24"/>
        </w:rPr>
        <w:t xml:space="preserve">. </w:t>
      </w:r>
      <w:r w:rsidR="002F60CC">
        <w:rPr>
          <w:rFonts w:ascii="Times New Roman" w:hAnsi="Times New Roman"/>
          <w:sz w:val="24"/>
          <w:szCs w:val="24"/>
        </w:rPr>
        <w:t>Neste sentido, note-se que em 1995 apenas as fontes de renda do trabalho da agricultura e de aposentadorias e pensões apresentavam relativamente mais direcionadas às unidades federativas mais pobres que a renda total (coeficientes menores que o índice de Gini)</w:t>
      </w:r>
      <w:r w:rsidR="002F60CC">
        <w:rPr>
          <w:rStyle w:val="FootnoteReference"/>
          <w:rFonts w:ascii="Times New Roman" w:hAnsi="Times New Roman"/>
          <w:sz w:val="24"/>
          <w:szCs w:val="24"/>
        </w:rPr>
        <w:footnoteReference w:id="7"/>
      </w:r>
      <w:r w:rsidR="002F60CC">
        <w:rPr>
          <w:rFonts w:ascii="Times New Roman" w:hAnsi="Times New Roman"/>
          <w:sz w:val="24"/>
          <w:szCs w:val="24"/>
        </w:rPr>
        <w:t>; a fonte de renda do trabalho industrial, por outro lado, era aquela que mais beneficiava relativamente as unidades mais ricas quando sua distribuição é comparada com a distribuição da renda total (coef. de concentração de 0,2959 e índice de Gini para renda total de 0,2214).</w:t>
      </w:r>
    </w:p>
    <w:p w:rsidR="002F60CC" w:rsidRPr="001F4EE3" w:rsidRDefault="002F60CC" w:rsidP="001411F8">
      <w:pPr>
        <w:spacing w:after="0" w:line="240" w:lineRule="auto"/>
        <w:jc w:val="both"/>
        <w:rPr>
          <w:rFonts w:ascii="Times New Roman" w:hAnsi="Times New Roman"/>
          <w:i/>
          <w:sz w:val="24"/>
          <w:szCs w:val="24"/>
        </w:rPr>
      </w:pPr>
      <w:r>
        <w:rPr>
          <w:rFonts w:ascii="Times New Roman" w:hAnsi="Times New Roman"/>
          <w:sz w:val="24"/>
          <w:szCs w:val="24"/>
        </w:rPr>
        <w:tab/>
      </w:r>
      <w:r w:rsidR="00B36FDB">
        <w:rPr>
          <w:rFonts w:ascii="Times New Roman" w:hAnsi="Times New Roman"/>
          <w:sz w:val="24"/>
          <w:szCs w:val="24"/>
        </w:rPr>
        <w:t>Em 2006, ao lado da renda do trabalho da agricultura e das rendas das aposentadorias e pensões</w:t>
      </w:r>
      <w:r w:rsidR="001F4EE3">
        <w:rPr>
          <w:rFonts w:ascii="Times New Roman" w:hAnsi="Times New Roman"/>
          <w:sz w:val="24"/>
          <w:szCs w:val="24"/>
        </w:rPr>
        <w:t xml:space="preserve">, incluem-se as rendas dos programas sociais (BF e BPC) como fontes de renda beneficiando relativamente mais as unidades federativas mais pobres do país (coeficientes de concentração negativos e, assim, menores que o valor do índice de Gini), um resultado esperado, dadas as evidências discutidas na seção anterior. Há, contudo, importantes movimentos nos valores de concentração para as demais fontes de renda, em particular, </w:t>
      </w:r>
      <w:r w:rsidR="001F4EE3">
        <w:rPr>
          <w:rFonts w:ascii="Times New Roman" w:hAnsi="Times New Roman"/>
          <w:sz w:val="24"/>
          <w:szCs w:val="24"/>
        </w:rPr>
        <w:lastRenderedPageBreak/>
        <w:t xml:space="preserve">nota-se que, enquanto o movimento da renda do trabalho </w:t>
      </w:r>
      <w:r w:rsidR="001F4EE3" w:rsidRPr="001F4EE3">
        <w:rPr>
          <w:rFonts w:ascii="Times New Roman" w:hAnsi="Times New Roman"/>
          <w:sz w:val="24"/>
          <w:szCs w:val="24"/>
        </w:rPr>
        <w:t>da agricultura</w:t>
      </w:r>
      <w:r w:rsidR="001F4EE3">
        <w:rPr>
          <w:rFonts w:ascii="Times New Roman" w:hAnsi="Times New Roman"/>
          <w:sz w:val="24"/>
          <w:szCs w:val="24"/>
        </w:rPr>
        <w:t xml:space="preserve"> e da renda do componente aposentadorias e pensões é no sentido de favorecer relativamente mais as unidades federativas mais ricas (coeficientes de concentração são mais elevados em 2006), as rendas do trabalho da indústria, do trabalho dos serviços, do trabalho na administração pública e do capital apresentam movimentos de desconcentração ou mais favoráveis às unidades federativas mais pobres.</w:t>
      </w:r>
    </w:p>
    <w:p w:rsidR="002E0C91" w:rsidRPr="00F86EFB" w:rsidRDefault="00F86EFB" w:rsidP="001411F8">
      <w:pPr>
        <w:spacing w:after="0" w:line="240" w:lineRule="auto"/>
        <w:jc w:val="both"/>
        <w:rPr>
          <w:rFonts w:ascii="Times New Roman" w:hAnsi="Times New Roman"/>
          <w:sz w:val="24"/>
          <w:szCs w:val="24"/>
        </w:rPr>
      </w:pPr>
      <w:r>
        <w:rPr>
          <w:rFonts w:ascii="Times New Roman" w:hAnsi="Times New Roman"/>
          <w:sz w:val="24"/>
          <w:szCs w:val="24"/>
        </w:rPr>
        <w:tab/>
        <w:t xml:space="preserve">A partir de tais valores para as participações e coeficientes de concentração dos dois anos, é possível obter, fazendo uso das equações (2) (Gini) e (5) (G(2)), estimativas das participações de cada fonte de renda na constituição da desigualdade da distribuição da renda total </w:t>
      </w:r>
      <w:r>
        <w:rPr>
          <w:rFonts w:ascii="Times New Roman" w:hAnsi="Times New Roman"/>
          <w:i/>
          <w:sz w:val="24"/>
          <w:szCs w:val="24"/>
        </w:rPr>
        <w:t>per capita</w:t>
      </w:r>
      <w:r>
        <w:rPr>
          <w:rFonts w:ascii="Times New Roman" w:hAnsi="Times New Roman"/>
          <w:sz w:val="24"/>
          <w:szCs w:val="24"/>
        </w:rPr>
        <w:t xml:space="preserve"> entre as unidades federativas medida esta pelo índice de Gini e pelo índice G(2). Tais estimativas para os dois anos são apresentadas na tabela 3, a seguir.</w:t>
      </w:r>
    </w:p>
    <w:p w:rsidR="00A06113" w:rsidRDefault="00A06113" w:rsidP="00E9494E">
      <w:pPr>
        <w:spacing w:after="0"/>
        <w:rPr>
          <w:rFonts w:ascii="Times New Roman" w:hAnsi="Times New Roman"/>
          <w:b/>
          <w:sz w:val="20"/>
          <w:szCs w:val="20"/>
        </w:rPr>
      </w:pPr>
    </w:p>
    <w:p w:rsidR="00E9494E" w:rsidRPr="00973477" w:rsidRDefault="00E9494E" w:rsidP="00E9494E">
      <w:pPr>
        <w:spacing w:after="0"/>
        <w:rPr>
          <w:rFonts w:ascii="Times New Roman" w:hAnsi="Times New Roman"/>
          <w:b/>
          <w:sz w:val="24"/>
          <w:szCs w:val="24"/>
        </w:rPr>
      </w:pPr>
      <w:r w:rsidRPr="00973477">
        <w:rPr>
          <w:rFonts w:ascii="Times New Roman" w:hAnsi="Times New Roman"/>
          <w:b/>
          <w:sz w:val="24"/>
          <w:szCs w:val="24"/>
        </w:rPr>
        <w:t xml:space="preserve">Tabela </w:t>
      </w:r>
      <w:r w:rsidR="00F86EFB" w:rsidRPr="00973477">
        <w:rPr>
          <w:rFonts w:ascii="Times New Roman" w:hAnsi="Times New Roman"/>
          <w:b/>
          <w:sz w:val="24"/>
          <w:szCs w:val="24"/>
        </w:rPr>
        <w:t>3</w:t>
      </w:r>
      <w:r w:rsidRPr="00973477">
        <w:rPr>
          <w:rFonts w:ascii="Times New Roman" w:hAnsi="Times New Roman"/>
          <w:b/>
          <w:sz w:val="24"/>
          <w:szCs w:val="24"/>
        </w:rPr>
        <w:t xml:space="preserve"> - Participação das fontes de renda na desigualdade total de renda </w:t>
      </w:r>
      <w:r w:rsidRPr="00973477">
        <w:rPr>
          <w:rFonts w:ascii="Times New Roman" w:hAnsi="Times New Roman"/>
          <w:b/>
          <w:i/>
          <w:sz w:val="24"/>
          <w:szCs w:val="24"/>
        </w:rPr>
        <w:t>per capita</w:t>
      </w:r>
      <w:r w:rsidRPr="00973477">
        <w:rPr>
          <w:rFonts w:ascii="Times New Roman" w:hAnsi="Times New Roman"/>
          <w:b/>
          <w:sz w:val="24"/>
          <w:szCs w:val="24"/>
        </w:rPr>
        <w:t xml:space="preserve"> </w:t>
      </w:r>
    </w:p>
    <w:p w:rsidR="00E9494E" w:rsidRPr="00973477" w:rsidRDefault="00F86EFB" w:rsidP="00E9494E">
      <w:pPr>
        <w:spacing w:after="0"/>
        <w:rPr>
          <w:rFonts w:ascii="Times New Roman" w:hAnsi="Times New Roman"/>
          <w:b/>
          <w:sz w:val="24"/>
          <w:szCs w:val="24"/>
        </w:rPr>
      </w:pPr>
      <w:r w:rsidRPr="00973477">
        <w:rPr>
          <w:rFonts w:ascii="Times New Roman" w:hAnsi="Times New Roman"/>
          <w:b/>
          <w:sz w:val="24"/>
          <w:szCs w:val="24"/>
        </w:rPr>
        <w:t xml:space="preserve"> </w:t>
      </w:r>
      <w:r w:rsidR="00E9494E" w:rsidRPr="00973477">
        <w:rPr>
          <w:rFonts w:ascii="Times New Roman" w:hAnsi="Times New Roman"/>
          <w:b/>
          <w:sz w:val="24"/>
          <w:szCs w:val="24"/>
        </w:rPr>
        <w:t>entre as Unidades da Federação (%) – 1995 e 2006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276"/>
        <w:gridCol w:w="1134"/>
        <w:gridCol w:w="1275"/>
        <w:gridCol w:w="1843"/>
      </w:tblGrid>
      <w:tr w:rsidR="00E9494E" w:rsidRPr="00973477" w:rsidTr="00973477">
        <w:tc>
          <w:tcPr>
            <w:tcW w:w="3227" w:type="dxa"/>
            <w:tcBorders>
              <w:left w:val="nil"/>
              <w:bottom w:val="single" w:sz="4" w:space="0" w:color="000000"/>
            </w:tcBorders>
          </w:tcPr>
          <w:p w:rsidR="00E9494E" w:rsidRPr="00973477" w:rsidRDefault="00E9494E" w:rsidP="00E82DC1">
            <w:pPr>
              <w:spacing w:after="0" w:line="240" w:lineRule="auto"/>
              <w:rPr>
                <w:rFonts w:ascii="Times New Roman" w:hAnsi="Times New Roman"/>
                <w:sz w:val="24"/>
                <w:szCs w:val="24"/>
              </w:rPr>
            </w:pPr>
          </w:p>
        </w:tc>
        <w:tc>
          <w:tcPr>
            <w:tcW w:w="2410" w:type="dxa"/>
            <w:gridSpan w:val="2"/>
            <w:tcBorders>
              <w:bottom w:val="single" w:sz="4" w:space="0" w:color="000000"/>
            </w:tcBorders>
          </w:tcPr>
          <w:p w:rsidR="00E9494E" w:rsidRPr="00973477" w:rsidRDefault="00E9494E"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G(2)</w:t>
            </w:r>
          </w:p>
        </w:tc>
        <w:tc>
          <w:tcPr>
            <w:tcW w:w="3118" w:type="dxa"/>
            <w:gridSpan w:val="2"/>
            <w:tcBorders>
              <w:bottom w:val="single" w:sz="4" w:space="0" w:color="000000"/>
              <w:right w:val="nil"/>
            </w:tcBorders>
          </w:tcPr>
          <w:p w:rsidR="00E9494E" w:rsidRPr="00973477" w:rsidRDefault="00E9494E"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Gini</w:t>
            </w:r>
          </w:p>
        </w:tc>
      </w:tr>
      <w:tr w:rsidR="00E9494E" w:rsidRPr="00973477" w:rsidTr="00973477">
        <w:tc>
          <w:tcPr>
            <w:tcW w:w="3227" w:type="dxa"/>
            <w:tcBorders>
              <w:left w:val="nil"/>
              <w:bottom w:val="nil"/>
            </w:tcBorders>
          </w:tcPr>
          <w:p w:rsidR="00E9494E" w:rsidRPr="00973477" w:rsidRDefault="00E9494E" w:rsidP="00E82DC1">
            <w:pPr>
              <w:spacing w:after="0" w:line="240" w:lineRule="auto"/>
              <w:rPr>
                <w:rFonts w:ascii="Times New Roman" w:hAnsi="Times New Roman"/>
                <w:b/>
                <w:sz w:val="24"/>
                <w:szCs w:val="24"/>
              </w:rPr>
            </w:pPr>
          </w:p>
        </w:tc>
        <w:tc>
          <w:tcPr>
            <w:tcW w:w="1276" w:type="dxa"/>
            <w:tcBorders>
              <w:bottom w:val="nil"/>
            </w:tcBorders>
            <w:vAlign w:val="bottom"/>
          </w:tcPr>
          <w:p w:rsidR="00E9494E" w:rsidRPr="00973477" w:rsidRDefault="00E9494E" w:rsidP="00E82DC1">
            <w:pPr>
              <w:spacing w:after="0" w:line="240" w:lineRule="auto"/>
              <w:jc w:val="center"/>
              <w:rPr>
                <w:rFonts w:ascii="Times New Roman" w:hAnsi="Times New Roman"/>
                <w:b/>
                <w:color w:val="000000"/>
                <w:sz w:val="24"/>
                <w:szCs w:val="24"/>
              </w:rPr>
            </w:pPr>
            <w:r w:rsidRPr="00973477">
              <w:rPr>
                <w:rFonts w:ascii="Times New Roman" w:hAnsi="Times New Roman"/>
                <w:b/>
                <w:color w:val="000000"/>
                <w:sz w:val="24"/>
                <w:szCs w:val="24"/>
              </w:rPr>
              <w:t>1995</w:t>
            </w:r>
          </w:p>
        </w:tc>
        <w:tc>
          <w:tcPr>
            <w:tcW w:w="1134" w:type="dxa"/>
            <w:tcBorders>
              <w:bottom w:val="nil"/>
            </w:tcBorders>
          </w:tcPr>
          <w:p w:rsidR="00E9494E" w:rsidRPr="00973477" w:rsidRDefault="00E9494E" w:rsidP="00E82DC1">
            <w:pPr>
              <w:spacing w:after="0" w:line="240" w:lineRule="auto"/>
              <w:jc w:val="center"/>
              <w:rPr>
                <w:rFonts w:ascii="Times New Roman" w:hAnsi="Times New Roman"/>
                <w:b/>
                <w:color w:val="000000"/>
                <w:sz w:val="24"/>
                <w:szCs w:val="24"/>
              </w:rPr>
            </w:pPr>
            <w:r w:rsidRPr="00973477">
              <w:rPr>
                <w:rFonts w:ascii="Times New Roman" w:hAnsi="Times New Roman"/>
                <w:b/>
                <w:color w:val="000000"/>
                <w:sz w:val="24"/>
                <w:szCs w:val="24"/>
              </w:rPr>
              <w:t>2006</w:t>
            </w:r>
          </w:p>
        </w:tc>
        <w:tc>
          <w:tcPr>
            <w:tcW w:w="1275" w:type="dxa"/>
            <w:tcBorders>
              <w:bottom w:val="nil"/>
            </w:tcBorders>
            <w:vAlign w:val="bottom"/>
          </w:tcPr>
          <w:p w:rsidR="00E9494E" w:rsidRPr="00973477" w:rsidRDefault="00E9494E" w:rsidP="00E82DC1">
            <w:pPr>
              <w:spacing w:after="0" w:line="240" w:lineRule="auto"/>
              <w:jc w:val="center"/>
              <w:rPr>
                <w:rFonts w:ascii="Times New Roman" w:hAnsi="Times New Roman"/>
                <w:b/>
                <w:color w:val="000000"/>
                <w:sz w:val="24"/>
                <w:szCs w:val="24"/>
              </w:rPr>
            </w:pPr>
            <w:r w:rsidRPr="00973477">
              <w:rPr>
                <w:rFonts w:ascii="Times New Roman" w:hAnsi="Times New Roman"/>
                <w:b/>
                <w:color w:val="000000"/>
                <w:sz w:val="24"/>
                <w:szCs w:val="24"/>
              </w:rPr>
              <w:t>1995</w:t>
            </w:r>
          </w:p>
        </w:tc>
        <w:tc>
          <w:tcPr>
            <w:tcW w:w="1843" w:type="dxa"/>
            <w:tcBorders>
              <w:bottom w:val="nil"/>
              <w:right w:val="nil"/>
            </w:tcBorders>
          </w:tcPr>
          <w:p w:rsidR="00E9494E" w:rsidRPr="00973477" w:rsidRDefault="00E9494E" w:rsidP="00E82DC1">
            <w:pPr>
              <w:spacing w:after="0" w:line="240" w:lineRule="auto"/>
              <w:jc w:val="center"/>
              <w:rPr>
                <w:rFonts w:ascii="Times New Roman" w:hAnsi="Times New Roman"/>
                <w:b/>
                <w:color w:val="000000"/>
                <w:sz w:val="24"/>
                <w:szCs w:val="24"/>
              </w:rPr>
            </w:pPr>
            <w:r w:rsidRPr="00973477">
              <w:rPr>
                <w:rFonts w:ascii="Times New Roman" w:hAnsi="Times New Roman"/>
                <w:b/>
                <w:color w:val="000000"/>
                <w:sz w:val="24"/>
                <w:szCs w:val="24"/>
              </w:rPr>
              <w:t>2006</w:t>
            </w:r>
          </w:p>
        </w:tc>
      </w:tr>
      <w:tr w:rsidR="001B74A5" w:rsidRPr="00973477" w:rsidTr="00973477">
        <w:trPr>
          <w:trHeight w:val="111"/>
        </w:trPr>
        <w:tc>
          <w:tcPr>
            <w:tcW w:w="3227" w:type="dxa"/>
            <w:tcBorders>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Agricultura</w:t>
            </w:r>
          </w:p>
        </w:tc>
        <w:tc>
          <w:tcPr>
            <w:tcW w:w="1276" w:type="dxa"/>
            <w:tcBorders>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-2,2</w:t>
            </w:r>
          </w:p>
        </w:tc>
        <w:tc>
          <w:tcPr>
            <w:tcW w:w="1134" w:type="dxa"/>
            <w:tcBorders>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0,8</w:t>
            </w:r>
          </w:p>
        </w:tc>
        <w:tc>
          <w:tcPr>
            <w:tcW w:w="1275" w:type="dxa"/>
            <w:tcBorders>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-1,2</w:t>
            </w:r>
          </w:p>
        </w:tc>
        <w:tc>
          <w:tcPr>
            <w:tcW w:w="1843" w:type="dxa"/>
            <w:tcBorders>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2,9</w:t>
            </w:r>
          </w:p>
        </w:tc>
      </w:tr>
      <w:tr w:rsidR="001B74A5" w:rsidRPr="00973477" w:rsidTr="00973477">
        <w:tc>
          <w:tcPr>
            <w:tcW w:w="3227"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Indústria</w:t>
            </w:r>
          </w:p>
        </w:tc>
        <w:tc>
          <w:tcPr>
            <w:tcW w:w="127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19,4</w:t>
            </w:r>
          </w:p>
        </w:tc>
        <w:tc>
          <w:tcPr>
            <w:tcW w:w="1134"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12,9</w:t>
            </w:r>
          </w:p>
        </w:tc>
        <w:tc>
          <w:tcPr>
            <w:tcW w:w="1275"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21,4</w:t>
            </w:r>
          </w:p>
        </w:tc>
        <w:tc>
          <w:tcPr>
            <w:tcW w:w="18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17,2</w:t>
            </w:r>
          </w:p>
        </w:tc>
      </w:tr>
      <w:tr w:rsidR="001B74A5" w:rsidRPr="00973477" w:rsidTr="00973477">
        <w:tc>
          <w:tcPr>
            <w:tcW w:w="3227"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R. Trabalho dos Serviços</w:t>
            </w:r>
          </w:p>
        </w:tc>
        <w:tc>
          <w:tcPr>
            <w:tcW w:w="127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51,3</w:t>
            </w:r>
          </w:p>
        </w:tc>
        <w:tc>
          <w:tcPr>
            <w:tcW w:w="1134"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47,7</w:t>
            </w:r>
          </w:p>
        </w:tc>
        <w:tc>
          <w:tcPr>
            <w:tcW w:w="1275"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52,3</w:t>
            </w:r>
          </w:p>
        </w:tc>
        <w:tc>
          <w:tcPr>
            <w:tcW w:w="18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48,3</w:t>
            </w:r>
          </w:p>
        </w:tc>
      </w:tr>
      <w:tr w:rsidR="001B74A5" w:rsidRPr="00973477" w:rsidTr="00973477">
        <w:tc>
          <w:tcPr>
            <w:tcW w:w="3227"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Ad. Pública</w:t>
            </w:r>
          </w:p>
        </w:tc>
        <w:tc>
          <w:tcPr>
            <w:tcW w:w="127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16,6</w:t>
            </w:r>
          </w:p>
        </w:tc>
        <w:tc>
          <w:tcPr>
            <w:tcW w:w="1134"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16,7</w:t>
            </w:r>
          </w:p>
        </w:tc>
        <w:tc>
          <w:tcPr>
            <w:tcW w:w="1275"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13,9</w:t>
            </w:r>
          </w:p>
        </w:tc>
        <w:tc>
          <w:tcPr>
            <w:tcW w:w="18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12,4</w:t>
            </w:r>
          </w:p>
        </w:tc>
      </w:tr>
      <w:tr w:rsidR="001B74A5" w:rsidRPr="00973477" w:rsidTr="00973477">
        <w:tc>
          <w:tcPr>
            <w:tcW w:w="3227"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Aposentadorias e Pensões</w:t>
            </w:r>
          </w:p>
        </w:tc>
        <w:tc>
          <w:tcPr>
            <w:tcW w:w="127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11,4</w:t>
            </w:r>
          </w:p>
        </w:tc>
        <w:tc>
          <w:tcPr>
            <w:tcW w:w="1134"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19,4</w:t>
            </w:r>
          </w:p>
        </w:tc>
        <w:tc>
          <w:tcPr>
            <w:tcW w:w="1275"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10,1</w:t>
            </w:r>
          </w:p>
        </w:tc>
        <w:tc>
          <w:tcPr>
            <w:tcW w:w="18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16,7</w:t>
            </w:r>
          </w:p>
        </w:tc>
      </w:tr>
      <w:tr w:rsidR="001B74A5" w:rsidRPr="00973477" w:rsidTr="00973477">
        <w:tc>
          <w:tcPr>
            <w:tcW w:w="3227"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Aluguéis e Outras rendas</w:t>
            </w:r>
          </w:p>
        </w:tc>
        <w:tc>
          <w:tcPr>
            <w:tcW w:w="127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0,8</w:t>
            </w:r>
          </w:p>
        </w:tc>
        <w:tc>
          <w:tcPr>
            <w:tcW w:w="1134"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1,2</w:t>
            </w:r>
          </w:p>
        </w:tc>
        <w:tc>
          <w:tcPr>
            <w:tcW w:w="1275"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0,9</w:t>
            </w:r>
          </w:p>
        </w:tc>
        <w:tc>
          <w:tcPr>
            <w:tcW w:w="18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1,3</w:t>
            </w:r>
          </w:p>
        </w:tc>
      </w:tr>
      <w:tr w:rsidR="001B74A5" w:rsidRPr="00973477" w:rsidTr="00973477">
        <w:tc>
          <w:tcPr>
            <w:tcW w:w="3227"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Renda do Capital</w:t>
            </w:r>
          </w:p>
        </w:tc>
        <w:tc>
          <w:tcPr>
            <w:tcW w:w="127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2,6</w:t>
            </w:r>
          </w:p>
        </w:tc>
        <w:tc>
          <w:tcPr>
            <w:tcW w:w="1134"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2,6</w:t>
            </w:r>
          </w:p>
        </w:tc>
        <w:tc>
          <w:tcPr>
            <w:tcW w:w="1275"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2,5</w:t>
            </w:r>
          </w:p>
        </w:tc>
        <w:tc>
          <w:tcPr>
            <w:tcW w:w="18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2,8</w:t>
            </w:r>
          </w:p>
        </w:tc>
      </w:tr>
      <w:tr w:rsidR="001B74A5" w:rsidRPr="00973477" w:rsidTr="00973477">
        <w:tc>
          <w:tcPr>
            <w:tcW w:w="3227" w:type="dxa"/>
            <w:tcBorders>
              <w:top w:val="nil"/>
              <w:left w:val="nil"/>
              <w:bottom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Bolsa Família</w:t>
            </w:r>
          </w:p>
        </w:tc>
        <w:tc>
          <w:tcPr>
            <w:tcW w:w="1276"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0,0</w:t>
            </w:r>
          </w:p>
        </w:tc>
        <w:tc>
          <w:tcPr>
            <w:tcW w:w="1134"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-0,8</w:t>
            </w:r>
          </w:p>
        </w:tc>
        <w:tc>
          <w:tcPr>
            <w:tcW w:w="1275" w:type="dxa"/>
            <w:tcBorders>
              <w:top w:val="nil"/>
              <w:bottom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0,0</w:t>
            </w:r>
          </w:p>
        </w:tc>
        <w:tc>
          <w:tcPr>
            <w:tcW w:w="1843" w:type="dxa"/>
            <w:tcBorders>
              <w:top w:val="nil"/>
              <w:bottom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w:t>
            </w:r>
          </w:p>
        </w:tc>
      </w:tr>
      <w:tr w:rsidR="001B74A5" w:rsidRPr="00973477" w:rsidTr="00973477">
        <w:tc>
          <w:tcPr>
            <w:tcW w:w="3227" w:type="dxa"/>
            <w:tcBorders>
              <w:top w:val="nil"/>
              <w:left w:val="nil"/>
            </w:tcBorders>
          </w:tcPr>
          <w:p w:rsidR="001B74A5" w:rsidRPr="00973477" w:rsidRDefault="001B74A5" w:rsidP="00E82DC1">
            <w:pPr>
              <w:spacing w:after="0" w:line="240" w:lineRule="auto"/>
              <w:rPr>
                <w:rFonts w:ascii="Times New Roman" w:hAnsi="Times New Roman"/>
                <w:b/>
                <w:sz w:val="24"/>
                <w:szCs w:val="24"/>
              </w:rPr>
            </w:pPr>
            <w:r w:rsidRPr="00973477">
              <w:rPr>
                <w:rFonts w:ascii="Times New Roman" w:hAnsi="Times New Roman"/>
                <w:b/>
                <w:sz w:val="24"/>
                <w:szCs w:val="24"/>
              </w:rPr>
              <w:t>BPC</w:t>
            </w:r>
          </w:p>
        </w:tc>
        <w:tc>
          <w:tcPr>
            <w:tcW w:w="1276" w:type="dxa"/>
            <w:tcBorders>
              <w:top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0,0</w:t>
            </w:r>
          </w:p>
        </w:tc>
        <w:tc>
          <w:tcPr>
            <w:tcW w:w="1134" w:type="dxa"/>
            <w:tcBorders>
              <w:top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-0,5</w:t>
            </w:r>
          </w:p>
        </w:tc>
        <w:tc>
          <w:tcPr>
            <w:tcW w:w="1275" w:type="dxa"/>
            <w:tcBorders>
              <w:top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0,0</w:t>
            </w:r>
          </w:p>
        </w:tc>
        <w:tc>
          <w:tcPr>
            <w:tcW w:w="1843" w:type="dxa"/>
            <w:tcBorders>
              <w:top w:val="nil"/>
              <w:right w:val="nil"/>
            </w:tcBorders>
            <w:vAlign w:val="bottom"/>
          </w:tcPr>
          <w:p w:rsidR="001B74A5" w:rsidRPr="00973477" w:rsidRDefault="001B74A5"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-0,5</w:t>
            </w:r>
          </w:p>
        </w:tc>
      </w:tr>
      <w:tr w:rsidR="00E9494E" w:rsidRPr="00973477" w:rsidTr="00973477">
        <w:tc>
          <w:tcPr>
            <w:tcW w:w="3227" w:type="dxa"/>
            <w:tcBorders>
              <w:left w:val="nil"/>
            </w:tcBorders>
          </w:tcPr>
          <w:p w:rsidR="00E9494E" w:rsidRPr="00973477" w:rsidRDefault="00E9494E" w:rsidP="00E82DC1">
            <w:pPr>
              <w:spacing w:after="0" w:line="240" w:lineRule="auto"/>
              <w:rPr>
                <w:rFonts w:ascii="Times New Roman" w:hAnsi="Times New Roman"/>
                <w:b/>
                <w:sz w:val="24"/>
                <w:szCs w:val="24"/>
              </w:rPr>
            </w:pPr>
            <w:r w:rsidRPr="00973477">
              <w:rPr>
                <w:rFonts w:ascii="Times New Roman" w:hAnsi="Times New Roman"/>
                <w:b/>
                <w:sz w:val="24"/>
                <w:szCs w:val="24"/>
              </w:rPr>
              <w:t xml:space="preserve">Total </w:t>
            </w:r>
          </w:p>
        </w:tc>
        <w:tc>
          <w:tcPr>
            <w:tcW w:w="1276" w:type="dxa"/>
            <w:vAlign w:val="bottom"/>
          </w:tcPr>
          <w:p w:rsidR="00E9494E" w:rsidRPr="00973477" w:rsidRDefault="00E9494E"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100,0</w:t>
            </w:r>
          </w:p>
        </w:tc>
        <w:tc>
          <w:tcPr>
            <w:tcW w:w="1134" w:type="dxa"/>
            <w:vAlign w:val="bottom"/>
          </w:tcPr>
          <w:p w:rsidR="00E9494E" w:rsidRPr="00973477" w:rsidRDefault="00E9494E"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100,0</w:t>
            </w:r>
          </w:p>
        </w:tc>
        <w:tc>
          <w:tcPr>
            <w:tcW w:w="1275" w:type="dxa"/>
            <w:vAlign w:val="bottom"/>
          </w:tcPr>
          <w:p w:rsidR="00E9494E" w:rsidRPr="00973477" w:rsidRDefault="00E9494E"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100,0</w:t>
            </w:r>
          </w:p>
        </w:tc>
        <w:tc>
          <w:tcPr>
            <w:tcW w:w="1843" w:type="dxa"/>
            <w:tcBorders>
              <w:right w:val="nil"/>
            </w:tcBorders>
          </w:tcPr>
          <w:p w:rsidR="00E9494E" w:rsidRPr="00973477" w:rsidRDefault="00E9494E"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100,0</w:t>
            </w:r>
          </w:p>
        </w:tc>
      </w:tr>
    </w:tbl>
    <w:p w:rsidR="00E9494E" w:rsidRPr="00EB7CBA" w:rsidRDefault="00E9494E" w:rsidP="00E9494E">
      <w:pPr>
        <w:spacing w:after="0"/>
        <w:rPr>
          <w:rFonts w:ascii="Times New Roman" w:hAnsi="Times New Roman"/>
          <w:sz w:val="20"/>
          <w:szCs w:val="20"/>
        </w:rPr>
      </w:pPr>
      <w:r w:rsidRPr="00EB7CBA">
        <w:rPr>
          <w:rFonts w:ascii="Times New Roman" w:hAnsi="Times New Roman"/>
          <w:sz w:val="20"/>
          <w:szCs w:val="20"/>
        </w:rPr>
        <w:t xml:space="preserve">Fonte: estimativas do autor a partir dos microdados da PNAD-IBGE. Participações obtidas a partir </w:t>
      </w:r>
    </w:p>
    <w:p w:rsidR="00E9494E" w:rsidRPr="00EB7CBA" w:rsidRDefault="00E9494E" w:rsidP="00E9494E">
      <w:pPr>
        <w:spacing w:after="0"/>
        <w:rPr>
          <w:rFonts w:ascii="Times New Roman" w:hAnsi="Times New Roman"/>
          <w:sz w:val="20"/>
          <w:szCs w:val="20"/>
        </w:rPr>
      </w:pPr>
      <w:r w:rsidRPr="00EB7CBA">
        <w:rPr>
          <w:rFonts w:ascii="Times New Roman" w:hAnsi="Times New Roman"/>
          <w:sz w:val="20"/>
          <w:szCs w:val="20"/>
        </w:rPr>
        <w:t>das  equações (</w:t>
      </w:r>
      <w:r w:rsidR="00F86EFB">
        <w:rPr>
          <w:rFonts w:ascii="Times New Roman" w:hAnsi="Times New Roman"/>
          <w:sz w:val="20"/>
          <w:szCs w:val="20"/>
        </w:rPr>
        <w:t>2</w:t>
      </w:r>
      <w:r w:rsidRPr="00EB7CBA">
        <w:rPr>
          <w:rFonts w:ascii="Times New Roman" w:hAnsi="Times New Roman"/>
          <w:sz w:val="20"/>
          <w:szCs w:val="20"/>
        </w:rPr>
        <w:t>), para o Gini, e (</w:t>
      </w:r>
      <w:r w:rsidR="00F86EFB">
        <w:rPr>
          <w:rFonts w:ascii="Times New Roman" w:hAnsi="Times New Roman"/>
          <w:sz w:val="20"/>
          <w:szCs w:val="20"/>
        </w:rPr>
        <w:t>5</w:t>
      </w:r>
      <w:r w:rsidRPr="00EB7CBA">
        <w:rPr>
          <w:rFonts w:ascii="Times New Roman" w:hAnsi="Times New Roman"/>
          <w:sz w:val="20"/>
          <w:szCs w:val="20"/>
        </w:rPr>
        <w:t>), para o Índice G(2).</w:t>
      </w:r>
    </w:p>
    <w:p w:rsidR="00E9494E" w:rsidRDefault="00E9494E" w:rsidP="00E9494E">
      <w:pPr>
        <w:spacing w:after="0"/>
        <w:rPr>
          <w:rFonts w:ascii="Times New Roman" w:hAnsi="Times New Roman"/>
          <w:sz w:val="20"/>
          <w:szCs w:val="24"/>
        </w:rPr>
      </w:pPr>
    </w:p>
    <w:p w:rsidR="006E432C" w:rsidRDefault="00F86EFB" w:rsidP="001411F8">
      <w:pPr>
        <w:spacing w:after="0" w:line="240" w:lineRule="auto"/>
        <w:jc w:val="both"/>
        <w:rPr>
          <w:rFonts w:ascii="Times New Roman" w:hAnsi="Times New Roman"/>
          <w:sz w:val="24"/>
          <w:szCs w:val="24"/>
        </w:rPr>
      </w:pPr>
      <w:r>
        <w:rPr>
          <w:rFonts w:ascii="Times New Roman" w:hAnsi="Times New Roman"/>
          <w:sz w:val="20"/>
          <w:szCs w:val="24"/>
        </w:rPr>
        <w:tab/>
      </w:r>
      <w:r>
        <w:rPr>
          <w:rFonts w:ascii="Times New Roman" w:hAnsi="Times New Roman"/>
          <w:sz w:val="24"/>
          <w:szCs w:val="24"/>
        </w:rPr>
        <w:t xml:space="preserve">Para ambos os anos, os valores para os dois indicadores são similares, as observações, então, são direcionadas às evidências para o índice de Gini. Neste sentido, </w:t>
      </w:r>
      <w:r w:rsidR="006E432C">
        <w:rPr>
          <w:rFonts w:ascii="Times New Roman" w:hAnsi="Times New Roman"/>
          <w:sz w:val="24"/>
          <w:szCs w:val="24"/>
        </w:rPr>
        <w:t xml:space="preserve">o primeiro ponto a ressaltar é diz respeito à maior importância da renda do trabalho na explicação da desigualdade regional, o que deriva de seu maior peso na renda total. Em 1995, perto de 86% da desigualdade regional em termos de renda </w:t>
      </w:r>
      <w:r w:rsidR="006E432C">
        <w:rPr>
          <w:rFonts w:ascii="Times New Roman" w:hAnsi="Times New Roman"/>
          <w:i/>
          <w:sz w:val="24"/>
          <w:szCs w:val="24"/>
        </w:rPr>
        <w:t xml:space="preserve">per capita </w:t>
      </w:r>
      <w:r w:rsidR="006E432C">
        <w:rPr>
          <w:rFonts w:ascii="Times New Roman" w:hAnsi="Times New Roman"/>
          <w:sz w:val="24"/>
          <w:szCs w:val="24"/>
        </w:rPr>
        <w:t>derivava da renda do trabalho, com destaques para os setores da indústria (21,4% da desigualdade), serviços (52,3%) e agricultura, 1ue apresenta contribuição negativa. Em 2006, tal importância da renda do trabalho para explicar a desigualdade regional diminui (86,4% para 80,8% do valor do Gini), um movimento que é explicado, essencialmente, pelas perdas de importância dos setores industrial e de serviços. Note-se que neste ano a renda do trabalho da agricultura, que como visto fica mais concentrada, passa a contribuir para a desigualdade, embora com baixo percentual (o que é explicado pelo seu menor peso na renda total).</w:t>
      </w:r>
    </w:p>
    <w:p w:rsidR="00F86EFB" w:rsidRDefault="006E432C" w:rsidP="001411F8">
      <w:pPr>
        <w:spacing w:after="0" w:line="240" w:lineRule="auto"/>
        <w:jc w:val="both"/>
        <w:rPr>
          <w:rFonts w:ascii="Times New Roman" w:hAnsi="Times New Roman"/>
          <w:sz w:val="24"/>
          <w:szCs w:val="24"/>
        </w:rPr>
      </w:pPr>
      <w:r>
        <w:rPr>
          <w:rFonts w:ascii="Times New Roman" w:hAnsi="Times New Roman"/>
          <w:sz w:val="24"/>
          <w:szCs w:val="24"/>
        </w:rPr>
        <w:tab/>
        <w:t xml:space="preserve"> Há, ainda, dois movimentos relacionados às políticas públicas dignos de nota. Primeiro, perceba-se que se eleva sensivelmente a contribuição da fonte de renda das aposentadorias e pensões (10,1% para 16,7%)</w:t>
      </w:r>
      <w:r w:rsidR="00383D7F">
        <w:rPr>
          <w:rFonts w:ascii="Times New Roman" w:hAnsi="Times New Roman"/>
          <w:sz w:val="24"/>
          <w:szCs w:val="24"/>
        </w:rPr>
        <w:t>, o que sugere que a política pública para a previdência pode ter evitado uma maior redução da desigualdade regional no período. Segundo, ambos os programas BF e BPC contribuíam em 2006 para a um nível menor de desigualdade: juntos eram  responsáveis por um índice de Gini 1,5% menor.</w:t>
      </w:r>
    </w:p>
    <w:p w:rsidR="00F86EFB" w:rsidRPr="006E334B" w:rsidRDefault="00383D7F" w:rsidP="001411F8">
      <w:pPr>
        <w:spacing w:after="0" w:line="240" w:lineRule="auto"/>
        <w:jc w:val="both"/>
        <w:rPr>
          <w:rFonts w:ascii="Times New Roman" w:hAnsi="Times New Roman"/>
          <w:sz w:val="20"/>
          <w:szCs w:val="24"/>
        </w:rPr>
      </w:pPr>
      <w:r>
        <w:rPr>
          <w:rFonts w:ascii="Times New Roman" w:hAnsi="Times New Roman"/>
          <w:sz w:val="24"/>
          <w:szCs w:val="24"/>
        </w:rPr>
        <w:tab/>
        <w:t xml:space="preserve">A partir da equação (4), que mostra a decomposição da variação do índice de Gini a partir do movimento das diferentes fontes de renda, é possível determinar especificamente qual a responsabilidade de cada uma destas fontes na redução do índice de Gini observada entre 1995 (valor de 0,2214) e 2006 (valor de 0,1942) para a distribuição da renda </w:t>
      </w:r>
      <w:r>
        <w:rPr>
          <w:rFonts w:ascii="Times New Roman" w:hAnsi="Times New Roman"/>
          <w:i/>
          <w:sz w:val="24"/>
          <w:szCs w:val="24"/>
        </w:rPr>
        <w:t xml:space="preserve">per capita </w:t>
      </w:r>
      <w:r>
        <w:rPr>
          <w:rFonts w:ascii="Times New Roman" w:hAnsi="Times New Roman"/>
          <w:sz w:val="24"/>
          <w:szCs w:val="24"/>
        </w:rPr>
        <w:t>entre as unidades federativas brasileiras. Tais contribuições são apresentadas na tabela 4</w:t>
      </w:r>
      <w:r w:rsidR="005507F7">
        <w:rPr>
          <w:rFonts w:ascii="Times New Roman" w:hAnsi="Times New Roman"/>
          <w:sz w:val="24"/>
          <w:szCs w:val="24"/>
        </w:rPr>
        <w:t xml:space="preserve">, juntamente com as parcelas dos efeitos totais de cada fonte decorrentes das </w:t>
      </w:r>
      <w:r w:rsidR="005507F7">
        <w:rPr>
          <w:rFonts w:ascii="Times New Roman" w:hAnsi="Times New Roman"/>
          <w:sz w:val="24"/>
          <w:szCs w:val="24"/>
        </w:rPr>
        <w:lastRenderedPageBreak/>
        <w:t>mudanças dos níveis de concentração (efeito concentração) e decorrentes de mudanças nas participações (efeito participação).</w:t>
      </w:r>
    </w:p>
    <w:p w:rsidR="001411F8" w:rsidRDefault="001411F8" w:rsidP="00CF4049">
      <w:pPr>
        <w:spacing w:after="0"/>
        <w:rPr>
          <w:rFonts w:ascii="Times New Roman" w:hAnsi="Times New Roman"/>
          <w:b/>
          <w:sz w:val="20"/>
          <w:szCs w:val="20"/>
        </w:rPr>
      </w:pPr>
    </w:p>
    <w:p w:rsidR="00C9015A" w:rsidRPr="00973477" w:rsidRDefault="00383D7F" w:rsidP="00CF4049">
      <w:pPr>
        <w:spacing w:after="0"/>
        <w:rPr>
          <w:rFonts w:ascii="Times New Roman" w:hAnsi="Times New Roman"/>
          <w:b/>
          <w:sz w:val="24"/>
          <w:szCs w:val="24"/>
        </w:rPr>
      </w:pPr>
      <w:r w:rsidRPr="00973477">
        <w:rPr>
          <w:rFonts w:ascii="Times New Roman" w:hAnsi="Times New Roman"/>
          <w:b/>
          <w:sz w:val="24"/>
          <w:szCs w:val="24"/>
        </w:rPr>
        <w:t>Tabela 4</w:t>
      </w:r>
      <w:r w:rsidR="00E9494E" w:rsidRPr="00973477">
        <w:rPr>
          <w:rFonts w:ascii="Times New Roman" w:hAnsi="Times New Roman"/>
          <w:b/>
          <w:sz w:val="24"/>
          <w:szCs w:val="24"/>
        </w:rPr>
        <w:t xml:space="preserve"> - </w:t>
      </w:r>
      <w:r w:rsidR="00C9015A" w:rsidRPr="00973477">
        <w:rPr>
          <w:rFonts w:ascii="Times New Roman" w:hAnsi="Times New Roman"/>
          <w:b/>
          <w:sz w:val="24"/>
          <w:szCs w:val="24"/>
        </w:rPr>
        <w:t>Decomposição da variação da desigualdade</w:t>
      </w:r>
      <w:r w:rsidR="006B4CF2" w:rsidRPr="00973477">
        <w:rPr>
          <w:rFonts w:ascii="Times New Roman" w:hAnsi="Times New Roman"/>
          <w:b/>
          <w:sz w:val="24"/>
          <w:szCs w:val="24"/>
        </w:rPr>
        <w:t xml:space="preserve"> – 1995 -2006</w:t>
      </w:r>
      <w:r w:rsidR="007767AE" w:rsidRPr="00973477">
        <w:rPr>
          <w:rFonts w:ascii="Times New Roman" w:hAnsi="Times New Roman"/>
          <w:b/>
          <w:sz w:val="24"/>
          <w:szCs w:val="24"/>
        </w:rPr>
        <w:t xml:space="preserve"> – Índice de Gini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701"/>
        <w:gridCol w:w="1701"/>
        <w:gridCol w:w="2126"/>
      </w:tblGrid>
      <w:tr w:rsidR="00C9015A" w:rsidRPr="00973477" w:rsidTr="00973477">
        <w:tc>
          <w:tcPr>
            <w:tcW w:w="3227" w:type="dxa"/>
            <w:tcBorders>
              <w:left w:val="nil"/>
              <w:bottom w:val="single" w:sz="4" w:space="0" w:color="000000"/>
            </w:tcBorders>
          </w:tcPr>
          <w:p w:rsidR="00C9015A" w:rsidRPr="00973477" w:rsidRDefault="00C9015A" w:rsidP="00E82DC1">
            <w:pPr>
              <w:spacing w:after="0" w:line="240" w:lineRule="auto"/>
              <w:rPr>
                <w:rFonts w:ascii="Times New Roman" w:hAnsi="Times New Roman"/>
                <w:sz w:val="24"/>
                <w:szCs w:val="24"/>
              </w:rPr>
            </w:pPr>
          </w:p>
        </w:tc>
        <w:tc>
          <w:tcPr>
            <w:tcW w:w="1701" w:type="dxa"/>
            <w:tcBorders>
              <w:bottom w:val="single" w:sz="4" w:space="0" w:color="000000"/>
            </w:tcBorders>
          </w:tcPr>
          <w:p w:rsidR="00C9015A" w:rsidRPr="00973477" w:rsidRDefault="006E334B"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Efeito</w:t>
            </w:r>
            <w:r w:rsidR="00C9015A" w:rsidRPr="00973477">
              <w:rPr>
                <w:rFonts w:ascii="Times New Roman" w:hAnsi="Times New Roman"/>
                <w:b/>
                <w:sz w:val="24"/>
                <w:szCs w:val="24"/>
              </w:rPr>
              <w:t xml:space="preserve"> Concentração</w:t>
            </w:r>
          </w:p>
        </w:tc>
        <w:tc>
          <w:tcPr>
            <w:tcW w:w="1701" w:type="dxa"/>
            <w:tcBorders>
              <w:bottom w:val="single" w:sz="4" w:space="0" w:color="000000"/>
            </w:tcBorders>
          </w:tcPr>
          <w:p w:rsidR="00C9015A" w:rsidRPr="00973477" w:rsidRDefault="006E334B"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Efeito</w:t>
            </w:r>
            <w:r w:rsidR="00C9015A" w:rsidRPr="00973477">
              <w:rPr>
                <w:rFonts w:ascii="Times New Roman" w:hAnsi="Times New Roman"/>
                <w:b/>
                <w:sz w:val="24"/>
                <w:szCs w:val="24"/>
              </w:rPr>
              <w:t xml:space="preserve"> Participação</w:t>
            </w:r>
          </w:p>
        </w:tc>
        <w:tc>
          <w:tcPr>
            <w:tcW w:w="2126" w:type="dxa"/>
            <w:tcBorders>
              <w:bottom w:val="single" w:sz="4" w:space="0" w:color="000000"/>
              <w:right w:val="nil"/>
            </w:tcBorders>
          </w:tcPr>
          <w:p w:rsidR="00C9015A" w:rsidRPr="00973477" w:rsidRDefault="00C9015A" w:rsidP="00E82DC1">
            <w:pPr>
              <w:spacing w:after="0" w:line="240" w:lineRule="auto"/>
              <w:jc w:val="center"/>
              <w:rPr>
                <w:rFonts w:ascii="Times New Roman" w:hAnsi="Times New Roman"/>
                <w:b/>
                <w:sz w:val="24"/>
                <w:szCs w:val="24"/>
              </w:rPr>
            </w:pPr>
            <w:r w:rsidRPr="00973477">
              <w:rPr>
                <w:rFonts w:ascii="Times New Roman" w:hAnsi="Times New Roman"/>
                <w:b/>
                <w:sz w:val="24"/>
                <w:szCs w:val="24"/>
              </w:rPr>
              <w:t>Total</w:t>
            </w:r>
          </w:p>
        </w:tc>
      </w:tr>
      <w:tr w:rsidR="005507F7" w:rsidRPr="00973477" w:rsidTr="00973477">
        <w:tc>
          <w:tcPr>
            <w:tcW w:w="3227" w:type="dxa"/>
            <w:tcBorders>
              <w:left w:val="nil"/>
              <w:bottom w:val="nil"/>
            </w:tcBorders>
          </w:tcPr>
          <w:p w:rsidR="005507F7" w:rsidRPr="00973477" w:rsidRDefault="005507F7"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Agricultura</w:t>
            </w:r>
          </w:p>
        </w:tc>
        <w:tc>
          <w:tcPr>
            <w:tcW w:w="1701" w:type="dxa"/>
            <w:tcBorders>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-32,3</w:t>
            </w:r>
          </w:p>
        </w:tc>
        <w:tc>
          <w:tcPr>
            <w:tcW w:w="1701" w:type="dxa"/>
            <w:tcBorders>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-12,9</w:t>
            </w:r>
          </w:p>
        </w:tc>
        <w:tc>
          <w:tcPr>
            <w:tcW w:w="2126" w:type="dxa"/>
            <w:tcBorders>
              <w:bottom w:val="nil"/>
              <w:right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-45,2</w:t>
            </w:r>
          </w:p>
        </w:tc>
      </w:tr>
      <w:tr w:rsidR="005507F7" w:rsidRPr="00973477" w:rsidTr="00973477">
        <w:tc>
          <w:tcPr>
            <w:tcW w:w="3227" w:type="dxa"/>
            <w:tcBorders>
              <w:top w:val="nil"/>
              <w:left w:val="nil"/>
              <w:bottom w:val="nil"/>
            </w:tcBorders>
          </w:tcPr>
          <w:p w:rsidR="005507F7" w:rsidRPr="00973477" w:rsidRDefault="005507F7"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Indústria</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37,6</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2,8</w:t>
            </w:r>
          </w:p>
        </w:tc>
        <w:tc>
          <w:tcPr>
            <w:tcW w:w="2126" w:type="dxa"/>
            <w:tcBorders>
              <w:top w:val="nil"/>
              <w:bottom w:val="nil"/>
              <w:right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40,4</w:t>
            </w:r>
          </w:p>
        </w:tc>
      </w:tr>
      <w:tr w:rsidR="005507F7" w:rsidRPr="00973477" w:rsidTr="00973477">
        <w:tc>
          <w:tcPr>
            <w:tcW w:w="3227" w:type="dxa"/>
            <w:tcBorders>
              <w:top w:val="nil"/>
              <w:left w:val="nil"/>
              <w:bottom w:val="nil"/>
            </w:tcBorders>
          </w:tcPr>
          <w:p w:rsidR="005507F7" w:rsidRPr="00973477" w:rsidRDefault="005507F7" w:rsidP="00E82DC1">
            <w:pPr>
              <w:spacing w:after="0" w:line="240" w:lineRule="auto"/>
              <w:rPr>
                <w:rFonts w:ascii="Times New Roman" w:hAnsi="Times New Roman"/>
                <w:b/>
                <w:sz w:val="24"/>
                <w:szCs w:val="24"/>
              </w:rPr>
            </w:pPr>
            <w:r w:rsidRPr="00973477">
              <w:rPr>
                <w:rFonts w:ascii="Times New Roman" w:hAnsi="Times New Roman"/>
                <w:b/>
                <w:sz w:val="24"/>
                <w:szCs w:val="24"/>
              </w:rPr>
              <w:t>R. Trabalho dos Serviços</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52,9</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2,1</w:t>
            </w:r>
          </w:p>
        </w:tc>
        <w:tc>
          <w:tcPr>
            <w:tcW w:w="2126" w:type="dxa"/>
            <w:tcBorders>
              <w:top w:val="nil"/>
              <w:bottom w:val="nil"/>
              <w:right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55,0</w:t>
            </w:r>
          </w:p>
        </w:tc>
      </w:tr>
      <w:tr w:rsidR="005507F7" w:rsidRPr="00973477" w:rsidTr="00973477">
        <w:tc>
          <w:tcPr>
            <w:tcW w:w="3227" w:type="dxa"/>
            <w:tcBorders>
              <w:top w:val="nil"/>
              <w:left w:val="nil"/>
              <w:bottom w:val="nil"/>
            </w:tcBorders>
          </w:tcPr>
          <w:p w:rsidR="005507F7" w:rsidRPr="00973477" w:rsidRDefault="005507F7" w:rsidP="00E82DC1">
            <w:pPr>
              <w:spacing w:after="0" w:line="240" w:lineRule="auto"/>
              <w:rPr>
                <w:rFonts w:ascii="Times New Roman" w:hAnsi="Times New Roman"/>
                <w:b/>
                <w:sz w:val="24"/>
                <w:szCs w:val="24"/>
              </w:rPr>
            </w:pPr>
            <w:r w:rsidRPr="00973477">
              <w:rPr>
                <w:rFonts w:ascii="Times New Roman" w:hAnsi="Times New Roman"/>
                <w:b/>
                <w:sz w:val="24"/>
                <w:szCs w:val="24"/>
              </w:rPr>
              <w:t>R. Trabalho da Ad. Pública</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31,7</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w:t>
            </w:r>
          </w:p>
        </w:tc>
        <w:tc>
          <w:tcPr>
            <w:tcW w:w="2126" w:type="dxa"/>
            <w:tcBorders>
              <w:top w:val="nil"/>
              <w:bottom w:val="nil"/>
              <w:right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30,8</w:t>
            </w:r>
          </w:p>
        </w:tc>
      </w:tr>
      <w:tr w:rsidR="005507F7" w:rsidRPr="00973477" w:rsidTr="00973477">
        <w:tc>
          <w:tcPr>
            <w:tcW w:w="3227" w:type="dxa"/>
            <w:tcBorders>
              <w:top w:val="nil"/>
              <w:left w:val="nil"/>
              <w:bottom w:val="nil"/>
            </w:tcBorders>
          </w:tcPr>
          <w:p w:rsidR="005507F7" w:rsidRPr="00973477" w:rsidRDefault="005507F7" w:rsidP="00E82DC1">
            <w:pPr>
              <w:spacing w:after="0" w:line="240" w:lineRule="auto"/>
              <w:rPr>
                <w:rFonts w:ascii="Times New Roman" w:hAnsi="Times New Roman"/>
                <w:b/>
                <w:sz w:val="24"/>
                <w:szCs w:val="24"/>
              </w:rPr>
            </w:pPr>
            <w:r w:rsidRPr="00973477">
              <w:rPr>
                <w:rFonts w:ascii="Times New Roman" w:hAnsi="Times New Roman"/>
                <w:b/>
                <w:sz w:val="24"/>
                <w:szCs w:val="24"/>
              </w:rPr>
              <w:t>Aposentadorias e Pensões</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-10,5</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5,1</w:t>
            </w:r>
          </w:p>
        </w:tc>
        <w:tc>
          <w:tcPr>
            <w:tcW w:w="2126" w:type="dxa"/>
            <w:tcBorders>
              <w:top w:val="nil"/>
              <w:bottom w:val="nil"/>
              <w:right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-5,4</w:t>
            </w:r>
          </w:p>
        </w:tc>
      </w:tr>
      <w:tr w:rsidR="005507F7" w:rsidRPr="00973477" w:rsidTr="00973477">
        <w:tc>
          <w:tcPr>
            <w:tcW w:w="3227" w:type="dxa"/>
            <w:tcBorders>
              <w:top w:val="nil"/>
              <w:left w:val="nil"/>
              <w:bottom w:val="nil"/>
            </w:tcBorders>
          </w:tcPr>
          <w:p w:rsidR="005507F7" w:rsidRPr="00973477" w:rsidRDefault="005507F7" w:rsidP="00E82DC1">
            <w:pPr>
              <w:spacing w:after="0" w:line="240" w:lineRule="auto"/>
              <w:rPr>
                <w:rFonts w:ascii="Times New Roman" w:hAnsi="Times New Roman"/>
                <w:b/>
                <w:sz w:val="24"/>
                <w:szCs w:val="24"/>
              </w:rPr>
            </w:pPr>
            <w:r w:rsidRPr="00973477">
              <w:rPr>
                <w:rFonts w:ascii="Times New Roman" w:hAnsi="Times New Roman"/>
                <w:b/>
                <w:sz w:val="24"/>
                <w:szCs w:val="24"/>
              </w:rPr>
              <w:t xml:space="preserve">Aluguéis e </w:t>
            </w:r>
            <w:r w:rsidR="00A70825" w:rsidRPr="00973477">
              <w:rPr>
                <w:rFonts w:ascii="Times New Roman" w:hAnsi="Times New Roman"/>
                <w:b/>
                <w:sz w:val="24"/>
                <w:szCs w:val="24"/>
              </w:rPr>
              <w:t>Doações</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-0,4</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-0,4</w:t>
            </w:r>
          </w:p>
        </w:tc>
        <w:tc>
          <w:tcPr>
            <w:tcW w:w="2126" w:type="dxa"/>
            <w:tcBorders>
              <w:top w:val="nil"/>
              <w:bottom w:val="nil"/>
              <w:right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-0,8</w:t>
            </w:r>
          </w:p>
        </w:tc>
      </w:tr>
      <w:tr w:rsidR="005507F7" w:rsidRPr="00973477" w:rsidTr="00973477">
        <w:tc>
          <w:tcPr>
            <w:tcW w:w="3227" w:type="dxa"/>
            <w:tcBorders>
              <w:top w:val="nil"/>
              <w:left w:val="nil"/>
              <w:bottom w:val="nil"/>
            </w:tcBorders>
          </w:tcPr>
          <w:p w:rsidR="005507F7" w:rsidRPr="00973477" w:rsidRDefault="005507F7" w:rsidP="00E82DC1">
            <w:pPr>
              <w:spacing w:after="0" w:line="240" w:lineRule="auto"/>
              <w:rPr>
                <w:rFonts w:ascii="Times New Roman" w:hAnsi="Times New Roman"/>
                <w:b/>
                <w:sz w:val="24"/>
                <w:szCs w:val="24"/>
              </w:rPr>
            </w:pPr>
            <w:r w:rsidRPr="00973477">
              <w:rPr>
                <w:rFonts w:ascii="Times New Roman" w:hAnsi="Times New Roman"/>
                <w:b/>
                <w:sz w:val="24"/>
                <w:szCs w:val="24"/>
              </w:rPr>
              <w:t>Renda do Capital</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1,6</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-0,1</w:t>
            </w:r>
          </w:p>
        </w:tc>
        <w:tc>
          <w:tcPr>
            <w:tcW w:w="2126" w:type="dxa"/>
            <w:tcBorders>
              <w:top w:val="nil"/>
              <w:bottom w:val="nil"/>
              <w:right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1,5</w:t>
            </w:r>
          </w:p>
        </w:tc>
      </w:tr>
      <w:tr w:rsidR="005507F7" w:rsidRPr="00973477" w:rsidTr="00973477">
        <w:tc>
          <w:tcPr>
            <w:tcW w:w="3227" w:type="dxa"/>
            <w:tcBorders>
              <w:top w:val="nil"/>
              <w:left w:val="nil"/>
              <w:bottom w:val="nil"/>
            </w:tcBorders>
          </w:tcPr>
          <w:p w:rsidR="005507F7" w:rsidRPr="00973477" w:rsidRDefault="005507F7" w:rsidP="00E82DC1">
            <w:pPr>
              <w:spacing w:after="0" w:line="240" w:lineRule="auto"/>
              <w:rPr>
                <w:rFonts w:ascii="Times New Roman" w:hAnsi="Times New Roman"/>
                <w:b/>
                <w:sz w:val="24"/>
                <w:szCs w:val="24"/>
              </w:rPr>
            </w:pPr>
            <w:r w:rsidRPr="00973477">
              <w:rPr>
                <w:rFonts w:ascii="Times New Roman" w:hAnsi="Times New Roman"/>
                <w:b/>
                <w:sz w:val="24"/>
                <w:szCs w:val="24"/>
              </w:rPr>
              <w:t>Bolsa Família</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3,6</w:t>
            </w:r>
          </w:p>
        </w:tc>
        <w:tc>
          <w:tcPr>
            <w:tcW w:w="1701" w:type="dxa"/>
            <w:tcBorders>
              <w:top w:val="nil"/>
              <w:bottom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11,2</w:t>
            </w:r>
          </w:p>
        </w:tc>
        <w:tc>
          <w:tcPr>
            <w:tcW w:w="2126" w:type="dxa"/>
            <w:tcBorders>
              <w:top w:val="nil"/>
              <w:bottom w:val="nil"/>
              <w:right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14,8</w:t>
            </w:r>
          </w:p>
        </w:tc>
      </w:tr>
      <w:tr w:rsidR="005507F7" w:rsidRPr="00973477" w:rsidTr="00973477">
        <w:tc>
          <w:tcPr>
            <w:tcW w:w="3227" w:type="dxa"/>
            <w:tcBorders>
              <w:top w:val="nil"/>
              <w:left w:val="nil"/>
            </w:tcBorders>
          </w:tcPr>
          <w:p w:rsidR="005507F7" w:rsidRPr="00973477" w:rsidRDefault="005507F7" w:rsidP="00E82DC1">
            <w:pPr>
              <w:spacing w:after="0" w:line="240" w:lineRule="auto"/>
              <w:rPr>
                <w:rFonts w:ascii="Times New Roman" w:hAnsi="Times New Roman"/>
                <w:b/>
                <w:sz w:val="24"/>
                <w:szCs w:val="24"/>
              </w:rPr>
            </w:pPr>
            <w:r w:rsidRPr="00973477">
              <w:rPr>
                <w:rFonts w:ascii="Times New Roman" w:hAnsi="Times New Roman"/>
                <w:b/>
                <w:sz w:val="24"/>
                <w:szCs w:val="24"/>
              </w:rPr>
              <w:t>BPC</w:t>
            </w:r>
          </w:p>
        </w:tc>
        <w:tc>
          <w:tcPr>
            <w:tcW w:w="1701" w:type="dxa"/>
            <w:tcBorders>
              <w:top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1,9</w:t>
            </w:r>
          </w:p>
        </w:tc>
        <w:tc>
          <w:tcPr>
            <w:tcW w:w="1701" w:type="dxa"/>
            <w:tcBorders>
              <w:top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7,0</w:t>
            </w:r>
          </w:p>
        </w:tc>
        <w:tc>
          <w:tcPr>
            <w:tcW w:w="2126" w:type="dxa"/>
            <w:tcBorders>
              <w:top w:val="nil"/>
              <w:right w:val="nil"/>
            </w:tcBorders>
            <w:vAlign w:val="bottom"/>
          </w:tcPr>
          <w:p w:rsidR="005507F7" w:rsidRPr="00973477" w:rsidRDefault="005507F7"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8,9</w:t>
            </w:r>
          </w:p>
        </w:tc>
      </w:tr>
      <w:tr w:rsidR="007873D9" w:rsidRPr="00973477" w:rsidTr="00973477">
        <w:tc>
          <w:tcPr>
            <w:tcW w:w="3227" w:type="dxa"/>
            <w:tcBorders>
              <w:left w:val="nil"/>
            </w:tcBorders>
          </w:tcPr>
          <w:p w:rsidR="007873D9" w:rsidRPr="00973477" w:rsidRDefault="007873D9" w:rsidP="00E82DC1">
            <w:pPr>
              <w:spacing w:after="0" w:line="240" w:lineRule="auto"/>
              <w:rPr>
                <w:rFonts w:ascii="Times New Roman" w:hAnsi="Times New Roman"/>
                <w:b/>
                <w:sz w:val="24"/>
                <w:szCs w:val="24"/>
              </w:rPr>
            </w:pPr>
            <w:r w:rsidRPr="00973477">
              <w:rPr>
                <w:rFonts w:ascii="Times New Roman" w:hAnsi="Times New Roman"/>
                <w:b/>
                <w:sz w:val="24"/>
                <w:szCs w:val="24"/>
              </w:rPr>
              <w:t xml:space="preserve">Total </w:t>
            </w:r>
          </w:p>
        </w:tc>
        <w:tc>
          <w:tcPr>
            <w:tcW w:w="1701" w:type="dxa"/>
            <w:vAlign w:val="bottom"/>
          </w:tcPr>
          <w:p w:rsidR="007873D9" w:rsidRPr="00973477" w:rsidRDefault="007873D9"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86,1</w:t>
            </w:r>
          </w:p>
        </w:tc>
        <w:tc>
          <w:tcPr>
            <w:tcW w:w="1701" w:type="dxa"/>
            <w:vAlign w:val="bottom"/>
          </w:tcPr>
          <w:p w:rsidR="007873D9" w:rsidRPr="00973477" w:rsidRDefault="007873D9"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13,9</w:t>
            </w:r>
          </w:p>
        </w:tc>
        <w:tc>
          <w:tcPr>
            <w:tcW w:w="2126" w:type="dxa"/>
            <w:tcBorders>
              <w:right w:val="nil"/>
            </w:tcBorders>
            <w:vAlign w:val="bottom"/>
          </w:tcPr>
          <w:p w:rsidR="007873D9" w:rsidRPr="00973477" w:rsidRDefault="007873D9" w:rsidP="00E82DC1">
            <w:pPr>
              <w:spacing w:after="0" w:line="240" w:lineRule="auto"/>
              <w:jc w:val="center"/>
              <w:rPr>
                <w:rFonts w:ascii="Times New Roman" w:hAnsi="Times New Roman"/>
                <w:color w:val="000000"/>
                <w:sz w:val="24"/>
                <w:szCs w:val="24"/>
              </w:rPr>
            </w:pPr>
            <w:r w:rsidRPr="00973477">
              <w:rPr>
                <w:rFonts w:ascii="Times New Roman" w:hAnsi="Times New Roman"/>
                <w:color w:val="000000"/>
                <w:sz w:val="24"/>
                <w:szCs w:val="24"/>
              </w:rPr>
              <w:t>100,0</w:t>
            </w:r>
          </w:p>
        </w:tc>
      </w:tr>
    </w:tbl>
    <w:p w:rsidR="00C9015A" w:rsidRPr="00973477" w:rsidRDefault="00F60FB1">
      <w:pPr>
        <w:rPr>
          <w:rFonts w:ascii="Times New Roman" w:hAnsi="Times New Roman"/>
          <w:sz w:val="24"/>
          <w:szCs w:val="24"/>
        </w:rPr>
      </w:pPr>
      <w:r w:rsidRPr="00973477">
        <w:rPr>
          <w:rFonts w:ascii="Times New Roman" w:hAnsi="Times New Roman"/>
          <w:sz w:val="24"/>
          <w:szCs w:val="24"/>
        </w:rPr>
        <w:t>Fonte: estimativas do autor a partir dos microdados da PNAD-IBGE.</w:t>
      </w:r>
    </w:p>
    <w:p w:rsidR="007969B9" w:rsidRDefault="00A70825" w:rsidP="00D70075">
      <w:pPr>
        <w:spacing w:after="0" w:line="240" w:lineRule="auto"/>
        <w:jc w:val="both"/>
        <w:rPr>
          <w:rFonts w:ascii="Times New Roman" w:hAnsi="Times New Roman"/>
        </w:rPr>
      </w:pPr>
      <w:r>
        <w:tab/>
      </w:r>
      <w:r>
        <w:rPr>
          <w:rFonts w:ascii="Times New Roman" w:hAnsi="Times New Roman"/>
        </w:rPr>
        <w:t>Os valores da tabela 4 não deixam dúvidas quanto à importância da contribuição das fontes de renda do trabalho para a redução da desigualdade. Somadas as contribuições dos setores, em torno de 80% da redução da desigualdade (redução do índice de gini) pode ser atribuída aos movimentos de concentração e participação das rendas dos trabalhos dos setores. O restante da redução, por sua vez, pode ser totalmente atribuído aos dois programas sociais (não-espaciais) de transferências de renda (BF e BPC), que juntos são responsáveis por 23,7% da redução do Gini. Dadas as elevações em seus níveis de concentração, as fontes de renda das aposentadorias e pensões e de aluguéis e doações impedem uma maior diminuição da desigualdade regional no período.</w:t>
      </w:r>
    </w:p>
    <w:p w:rsidR="00A70825" w:rsidRDefault="00A70825" w:rsidP="00D70075">
      <w:pPr>
        <w:spacing w:after="0" w:line="240" w:lineRule="auto"/>
        <w:jc w:val="both"/>
        <w:rPr>
          <w:rFonts w:ascii="Times New Roman" w:hAnsi="Times New Roman"/>
        </w:rPr>
      </w:pPr>
      <w:r>
        <w:rPr>
          <w:rFonts w:ascii="Times New Roman" w:hAnsi="Times New Roman"/>
        </w:rPr>
        <w:tab/>
      </w:r>
      <w:r w:rsidR="00D04938">
        <w:rPr>
          <w:rFonts w:ascii="Times New Roman" w:hAnsi="Times New Roman"/>
        </w:rPr>
        <w:t xml:space="preserve">O exame </w:t>
      </w:r>
      <w:r w:rsidR="000654AB">
        <w:rPr>
          <w:rFonts w:ascii="Times New Roman" w:hAnsi="Times New Roman"/>
        </w:rPr>
        <w:t>mais detalhado d</w:t>
      </w:r>
      <w:r w:rsidR="00D04938">
        <w:rPr>
          <w:rFonts w:ascii="Times New Roman" w:hAnsi="Times New Roman"/>
        </w:rPr>
        <w:t>os valores da tabela 4 também permite notar que o movimento de diminuição da desigualdade regional é, em sua maior parte, explicado pelos movimentos em sentido progressista das fontes de renda, ou seja, movimento que privilegiam relativamente mais os estados mais pobres, o que é apreendido pelos Efeitos Concentração das fontes de renda (total 86,1% da diminuição do Gini). Entre as fontes de renda do trabalho, nota-se, neste sentido, que apenas a renda do trabalho da agricultura contribui negativamente para redução da desigualdade (efeito total de 45,2% do Gini, derivados</w:t>
      </w:r>
      <w:r w:rsidR="000C0782">
        <w:rPr>
          <w:rFonts w:ascii="Times New Roman" w:hAnsi="Times New Roman"/>
        </w:rPr>
        <w:t xml:space="preserve"> de -32,2% do efeito concentração e -12,9% do efeito participação). Ou seja, ao lado da fonte de renda dos aluguéis e doações, a renda do trabalho da agricultura impede maior queda do Gini tanto porque </w:t>
      </w:r>
      <w:r w:rsidR="00C66B2C">
        <w:rPr>
          <w:rFonts w:ascii="Times New Roman" w:hAnsi="Times New Roman"/>
        </w:rPr>
        <w:t>fica mais concentrada nas unidades federativas mais ricas, quanto porque sua participação na renda total diminui.</w:t>
      </w:r>
      <w:r w:rsidR="000654AB">
        <w:rPr>
          <w:rFonts w:ascii="Times New Roman" w:hAnsi="Times New Roman"/>
        </w:rPr>
        <w:t xml:space="preserve"> As rendas do trabalho da indústria e dos serviços apresentam dinâmicas exatamente opostas àquela verificado para a agricultura no que diz respeito à desigualdade regional: tanto os efeitos concentração como os efeitos participação são positivos, ou seja, em direção à queda do índice de Gini.</w:t>
      </w:r>
    </w:p>
    <w:p w:rsidR="007969B9" w:rsidRDefault="000654AB" w:rsidP="00973477">
      <w:pPr>
        <w:spacing w:after="0" w:line="240" w:lineRule="auto"/>
        <w:jc w:val="both"/>
        <w:rPr>
          <w:rFonts w:ascii="Times New Roman" w:hAnsi="Times New Roman"/>
          <w:sz w:val="24"/>
          <w:szCs w:val="24"/>
        </w:rPr>
      </w:pPr>
      <w:r>
        <w:rPr>
          <w:rFonts w:ascii="Times New Roman" w:hAnsi="Times New Roman"/>
        </w:rPr>
        <w:tab/>
        <w:t xml:space="preserve">Com o conjunto de evidências apresentados aqui não se pode, é evidente, atribuir toda a contribuição da renda do trabalho do segmento industrial para a redução da desigualdade regional apontada acima às políticas de desenvolvimento regional implementadas </w:t>
      </w:r>
      <w:r>
        <w:rPr>
          <w:rFonts w:ascii="Times New Roman" w:hAnsi="Times New Roman"/>
          <w:sz w:val="24"/>
        </w:rPr>
        <w:t xml:space="preserve">no período, </w:t>
      </w:r>
      <w:r w:rsidR="00A04CF1">
        <w:rPr>
          <w:rFonts w:ascii="Times New Roman" w:hAnsi="Times New Roman"/>
          <w:sz w:val="24"/>
          <w:szCs w:val="24"/>
        </w:rPr>
        <w:t>ao menos [por duas razões imediatas.</w:t>
      </w:r>
      <w:r w:rsidR="00A04CF1" w:rsidRPr="00A04CF1">
        <w:rPr>
          <w:rFonts w:ascii="Times New Roman" w:hAnsi="Times New Roman"/>
          <w:sz w:val="24"/>
          <w:szCs w:val="24"/>
        </w:rPr>
        <w:t xml:space="preserve"> Primeiro, o segmento industrial destaca-se entre os demais pelo maior grau de formalização o que, num contexto de pol</w:t>
      </w:r>
      <w:r w:rsidR="00A04CF1">
        <w:rPr>
          <w:rFonts w:ascii="Times New Roman" w:hAnsi="Times New Roman"/>
          <w:sz w:val="24"/>
          <w:szCs w:val="24"/>
        </w:rPr>
        <w:t>í</w:t>
      </w:r>
      <w:r w:rsidR="00A04CF1" w:rsidRPr="00A04CF1">
        <w:rPr>
          <w:rFonts w:ascii="Times New Roman" w:hAnsi="Times New Roman"/>
          <w:sz w:val="24"/>
          <w:szCs w:val="24"/>
        </w:rPr>
        <w:t>tica públi</w:t>
      </w:r>
      <w:r w:rsidR="00A04CF1">
        <w:rPr>
          <w:rFonts w:ascii="Times New Roman" w:hAnsi="Times New Roman"/>
          <w:sz w:val="24"/>
          <w:szCs w:val="24"/>
        </w:rPr>
        <w:t>ca federal de elevação do salár</w:t>
      </w:r>
      <w:r w:rsidR="00A04CF1" w:rsidRPr="00A04CF1">
        <w:rPr>
          <w:rFonts w:ascii="Times New Roman" w:hAnsi="Times New Roman"/>
          <w:sz w:val="24"/>
          <w:szCs w:val="24"/>
        </w:rPr>
        <w:t>io mínimo</w:t>
      </w:r>
      <w:r w:rsidR="00A04CF1">
        <w:rPr>
          <w:rFonts w:ascii="Times New Roman" w:hAnsi="Times New Roman"/>
          <w:sz w:val="24"/>
          <w:szCs w:val="24"/>
        </w:rPr>
        <w:t>,</w:t>
      </w:r>
      <w:r w:rsidR="00A04CF1" w:rsidRPr="00A04CF1">
        <w:rPr>
          <w:rFonts w:ascii="Times New Roman" w:hAnsi="Times New Roman"/>
          <w:sz w:val="24"/>
          <w:szCs w:val="24"/>
        </w:rPr>
        <w:t xml:space="preserve"> termina </w:t>
      </w:r>
      <w:r w:rsidR="00A04CF1">
        <w:rPr>
          <w:rFonts w:ascii="Times New Roman" w:hAnsi="Times New Roman"/>
          <w:sz w:val="24"/>
          <w:szCs w:val="24"/>
        </w:rPr>
        <w:t xml:space="preserve">por explicar parte dos resultados obtidos acima. Segundo, pela incapacidade de diferenciar a relevância das políticas para a desconcentração que poderia ocorrer num contexto de maior concorrência externa e exploração das vantagens comparativas regionais. Não obstante, as evidências apontadas </w:t>
      </w:r>
      <w:r w:rsidR="00371E1B">
        <w:rPr>
          <w:rFonts w:ascii="Times New Roman" w:hAnsi="Times New Roman"/>
          <w:sz w:val="24"/>
          <w:szCs w:val="24"/>
        </w:rPr>
        <w:t xml:space="preserve">recentemente </w:t>
      </w:r>
      <w:r w:rsidR="00A04CF1">
        <w:rPr>
          <w:rFonts w:ascii="Times New Roman" w:hAnsi="Times New Roman"/>
          <w:sz w:val="24"/>
          <w:szCs w:val="24"/>
        </w:rPr>
        <w:t xml:space="preserve">por </w:t>
      </w:r>
      <w:r w:rsidR="00371E1B">
        <w:rPr>
          <w:rFonts w:ascii="Times New Roman" w:hAnsi="Times New Roman"/>
          <w:sz w:val="24"/>
          <w:szCs w:val="24"/>
        </w:rPr>
        <w:t xml:space="preserve">Manoel, Resende e Silveira Neto (2009) a partir da análise do impacto dos Fundos Constitucionais FNE, FNO e FCO, sugerem que as políticas regionais, principalmente aquelas, voltadas para intermediação de crédito, devem ter </w:t>
      </w:r>
      <w:r w:rsidR="009419FD">
        <w:rPr>
          <w:rFonts w:ascii="Times New Roman" w:hAnsi="Times New Roman"/>
          <w:sz w:val="24"/>
          <w:szCs w:val="24"/>
        </w:rPr>
        <w:t>alguma responsabilidade no papel do setor industrial para redução da desigualdade regional apontado acima.</w:t>
      </w:r>
    </w:p>
    <w:p w:rsidR="009419FD" w:rsidRPr="00A04CF1" w:rsidRDefault="009419FD" w:rsidP="00973477">
      <w:pPr>
        <w:spacing w:after="0" w:line="240" w:lineRule="auto"/>
        <w:jc w:val="both"/>
        <w:rPr>
          <w:rFonts w:ascii="Times New Roman" w:hAnsi="Times New Roman"/>
          <w:sz w:val="24"/>
          <w:szCs w:val="24"/>
        </w:rPr>
      </w:pPr>
      <w:r>
        <w:rPr>
          <w:rFonts w:ascii="Times New Roman" w:hAnsi="Times New Roman"/>
          <w:sz w:val="24"/>
          <w:szCs w:val="24"/>
        </w:rPr>
        <w:tab/>
        <w:t>Por sua vez, as contribuições dos programas Bolsa Família e Benefício de Prestação Continuada</w:t>
      </w:r>
      <w:r w:rsidR="009B48E7">
        <w:rPr>
          <w:rFonts w:ascii="Times New Roman" w:hAnsi="Times New Roman"/>
          <w:sz w:val="24"/>
          <w:szCs w:val="24"/>
        </w:rPr>
        <w:t xml:space="preserve">, políticas públicas não-espaciais, </w:t>
      </w:r>
      <w:r>
        <w:rPr>
          <w:rFonts w:ascii="Times New Roman" w:hAnsi="Times New Roman"/>
          <w:sz w:val="24"/>
          <w:szCs w:val="24"/>
        </w:rPr>
        <w:t>são também bastante significativas</w:t>
      </w:r>
      <w:r w:rsidR="009B48E7">
        <w:rPr>
          <w:rFonts w:ascii="Times New Roman" w:hAnsi="Times New Roman"/>
          <w:sz w:val="24"/>
          <w:szCs w:val="24"/>
        </w:rPr>
        <w:t xml:space="preserve">; na verdade, em conjunto, tais políticas são responsáveis por uma redução da desigualdade equivalente à quase 60% da redução da desigualdade </w:t>
      </w:r>
      <w:r w:rsidR="009B48E7">
        <w:rPr>
          <w:rFonts w:ascii="Times New Roman" w:hAnsi="Times New Roman"/>
          <w:sz w:val="24"/>
          <w:szCs w:val="24"/>
        </w:rPr>
        <w:lastRenderedPageBreak/>
        <w:t xml:space="preserve">regional atribuída à renda do trabalho da indústria (23,7/40,4). Assim, os resultados obtidos permitem aferir, primeiro, que as políticas sociais desempenharam papel substantivo para a redução da desigualdade regional de renda </w:t>
      </w:r>
      <w:r w:rsidR="009B48E7">
        <w:rPr>
          <w:rFonts w:ascii="Times New Roman" w:hAnsi="Times New Roman"/>
          <w:i/>
          <w:sz w:val="24"/>
          <w:szCs w:val="24"/>
        </w:rPr>
        <w:t xml:space="preserve">per capita </w:t>
      </w:r>
      <w:r w:rsidR="009B48E7">
        <w:rPr>
          <w:rFonts w:ascii="Times New Roman" w:hAnsi="Times New Roman"/>
          <w:sz w:val="24"/>
          <w:szCs w:val="24"/>
        </w:rPr>
        <w:t>no Brasil entre 1995 e 2006 e, segundo, que a redistribuição regional da renda do trabalho do setor industrial no período</w:t>
      </w:r>
      <w:r w:rsidR="00312286">
        <w:rPr>
          <w:rFonts w:ascii="Times New Roman" w:hAnsi="Times New Roman"/>
          <w:sz w:val="24"/>
          <w:szCs w:val="24"/>
        </w:rPr>
        <w:t xml:space="preserve"> em favor dos estados mais pobres</w:t>
      </w:r>
      <w:r w:rsidR="009B48E7">
        <w:rPr>
          <w:rFonts w:ascii="Times New Roman" w:hAnsi="Times New Roman"/>
          <w:sz w:val="24"/>
          <w:szCs w:val="24"/>
        </w:rPr>
        <w:t xml:space="preserve"> </w:t>
      </w:r>
      <w:r w:rsidR="00312286">
        <w:rPr>
          <w:rFonts w:ascii="Times New Roman" w:hAnsi="Times New Roman"/>
          <w:sz w:val="24"/>
          <w:szCs w:val="24"/>
        </w:rPr>
        <w:t>é consistente com as políticas públicas de desenvolvimento regional implementadas pelos governos estaduais e federais no mesmo período.</w:t>
      </w:r>
      <w:r w:rsidR="009B48E7">
        <w:rPr>
          <w:rFonts w:ascii="Times New Roman" w:hAnsi="Times New Roman"/>
          <w:sz w:val="24"/>
          <w:szCs w:val="24"/>
        </w:rPr>
        <w:t xml:space="preserve"> </w:t>
      </w:r>
    </w:p>
    <w:p w:rsidR="00312286" w:rsidRDefault="00312286" w:rsidP="00CF4049">
      <w:pPr>
        <w:spacing w:after="0" w:line="240" w:lineRule="auto"/>
        <w:rPr>
          <w:rFonts w:ascii="Times New Roman" w:hAnsi="Times New Roman"/>
          <w:b/>
          <w:sz w:val="24"/>
          <w:szCs w:val="24"/>
        </w:rPr>
      </w:pPr>
    </w:p>
    <w:p w:rsidR="00CF4049" w:rsidRDefault="00EE6C37" w:rsidP="00CF4049">
      <w:pPr>
        <w:spacing w:after="0" w:line="240" w:lineRule="auto"/>
        <w:rPr>
          <w:rFonts w:ascii="Times New Roman" w:hAnsi="Times New Roman"/>
          <w:b/>
          <w:sz w:val="24"/>
          <w:szCs w:val="24"/>
        </w:rPr>
      </w:pPr>
      <w:r>
        <w:rPr>
          <w:rFonts w:ascii="Times New Roman" w:hAnsi="Times New Roman"/>
          <w:b/>
          <w:sz w:val="24"/>
          <w:szCs w:val="24"/>
        </w:rPr>
        <w:t>4. Reação da desigualdade regional de renda a variações de renda de diferentes fontes</w:t>
      </w:r>
    </w:p>
    <w:p w:rsidR="00EE6C37" w:rsidRDefault="00EE6C37" w:rsidP="00CF4049">
      <w:pPr>
        <w:spacing w:after="0" w:line="240" w:lineRule="auto"/>
        <w:rPr>
          <w:rFonts w:ascii="Times New Roman" w:hAnsi="Times New Roman"/>
          <w:b/>
          <w:sz w:val="24"/>
          <w:szCs w:val="24"/>
        </w:rPr>
      </w:pPr>
    </w:p>
    <w:p w:rsidR="00EE6C37" w:rsidRPr="00312286" w:rsidRDefault="00312286" w:rsidP="00973477">
      <w:pPr>
        <w:spacing w:after="0" w:line="240" w:lineRule="auto"/>
        <w:jc w:val="both"/>
        <w:rPr>
          <w:rFonts w:ascii="Times New Roman" w:hAnsi="Times New Roman"/>
          <w:sz w:val="24"/>
          <w:szCs w:val="24"/>
        </w:rPr>
      </w:pPr>
      <w:r>
        <w:rPr>
          <w:rFonts w:ascii="Times New Roman" w:hAnsi="Times New Roman"/>
          <w:b/>
          <w:sz w:val="24"/>
          <w:szCs w:val="24"/>
        </w:rPr>
        <w:tab/>
      </w:r>
      <w:r w:rsidRPr="00312286">
        <w:rPr>
          <w:rFonts w:ascii="Times New Roman" w:hAnsi="Times New Roman"/>
          <w:sz w:val="24"/>
          <w:szCs w:val="24"/>
        </w:rPr>
        <w:t>Apesar do</w:t>
      </w:r>
      <w:r>
        <w:rPr>
          <w:rFonts w:ascii="Times New Roman" w:hAnsi="Times New Roman"/>
          <w:sz w:val="24"/>
          <w:szCs w:val="24"/>
        </w:rPr>
        <w:t xml:space="preserve"> conjunto de evidências até aqui apresentado </w:t>
      </w:r>
      <w:r w:rsidR="008F6979">
        <w:rPr>
          <w:rFonts w:ascii="Times New Roman" w:hAnsi="Times New Roman"/>
          <w:sz w:val="24"/>
          <w:szCs w:val="24"/>
        </w:rPr>
        <w:t xml:space="preserve">ser bastante útil para o </w:t>
      </w:r>
      <w:r>
        <w:rPr>
          <w:rFonts w:ascii="Times New Roman" w:hAnsi="Times New Roman"/>
          <w:sz w:val="24"/>
          <w:szCs w:val="24"/>
        </w:rPr>
        <w:t xml:space="preserve">entendimento do papel das diferentes fontes de renda para explicação da desigualdade regional verificada no Brasil entre 1995 e 2006, </w:t>
      </w:r>
      <w:r w:rsidR="008F6979">
        <w:rPr>
          <w:rFonts w:ascii="Times New Roman" w:hAnsi="Times New Roman"/>
          <w:sz w:val="24"/>
          <w:szCs w:val="24"/>
        </w:rPr>
        <w:t>os resultados obtidos são produto de variações simultâneas nas rendas e participações destas diferentes fontes, ou seja, refletem movimentos retrospectivos na distribuição espacial em meio a mudanças de níveis e importância das diferentes fontes de renda. A decomposição proposta é incapaz, assim, de informar, por exemplo, quais as expectativas de redução da desigualdade regional diante de variaçõe</w:t>
      </w:r>
      <w:r w:rsidR="00973477">
        <w:rPr>
          <w:rFonts w:ascii="Times New Roman" w:hAnsi="Times New Roman"/>
          <w:sz w:val="24"/>
          <w:szCs w:val="24"/>
        </w:rPr>
        <w:t xml:space="preserve">s em mesma magnitude de fontes </w:t>
      </w:r>
      <w:r w:rsidR="008F6979">
        <w:rPr>
          <w:rFonts w:ascii="Times New Roman" w:hAnsi="Times New Roman"/>
          <w:sz w:val="24"/>
          <w:szCs w:val="24"/>
        </w:rPr>
        <w:t xml:space="preserve">alternativas de renda (produto de políticas ou não). Posta a questão através de um exemplo mais explícito: em vista dos resultados acima sobre os níveis de concentração e participação das fontes de renda, </w:t>
      </w:r>
      <w:r w:rsidR="00825B3E">
        <w:rPr>
          <w:rFonts w:ascii="Times New Roman" w:hAnsi="Times New Roman"/>
          <w:sz w:val="24"/>
          <w:szCs w:val="24"/>
        </w:rPr>
        <w:t>uma maior redução da desigualdade regional brasileira deve resultar de uma elevação de 10% das rendas das aposentadorias e pensões ou da renda do programa Bolsa Família?</w:t>
      </w:r>
    </w:p>
    <w:p w:rsidR="00825B3E" w:rsidRDefault="00825B3E" w:rsidP="00973477">
      <w:pPr>
        <w:spacing w:after="0" w:line="240" w:lineRule="auto"/>
        <w:ind w:firstLine="720"/>
        <w:jc w:val="both"/>
        <w:rPr>
          <w:rFonts w:ascii="Times New Roman" w:hAnsi="Times New Roman"/>
          <w:sz w:val="24"/>
          <w:szCs w:val="24"/>
        </w:rPr>
      </w:pPr>
      <w:r>
        <w:rPr>
          <w:rFonts w:ascii="Times New Roman" w:hAnsi="Times New Roman"/>
          <w:sz w:val="24"/>
          <w:szCs w:val="24"/>
        </w:rPr>
        <w:t xml:space="preserve">Nesta seção é utilizada uma decomposição alternativa do índice de Gini, devida a Leman e Yitzhaki (1985), que permite cotejar os impactos de variações das diferentes fontes de renda sobre a desigualdade regional brasileira de renda </w:t>
      </w:r>
      <w:r>
        <w:rPr>
          <w:rFonts w:ascii="Times New Roman" w:hAnsi="Times New Roman"/>
          <w:i/>
          <w:sz w:val="24"/>
          <w:szCs w:val="24"/>
        </w:rPr>
        <w:t xml:space="preserve">per </w:t>
      </w:r>
      <w:r w:rsidRPr="00825B3E">
        <w:rPr>
          <w:rFonts w:ascii="Times New Roman" w:hAnsi="Times New Roman"/>
          <w:sz w:val="24"/>
          <w:szCs w:val="24"/>
        </w:rPr>
        <w:t>c</w:t>
      </w:r>
      <w:r w:rsidRPr="00825B3E">
        <w:rPr>
          <w:rFonts w:ascii="Times New Roman" w:hAnsi="Times New Roman"/>
          <w:i/>
          <w:sz w:val="24"/>
          <w:szCs w:val="24"/>
        </w:rPr>
        <w:t>apita</w:t>
      </w:r>
      <w:r>
        <w:rPr>
          <w:rFonts w:ascii="Times New Roman" w:hAnsi="Times New Roman"/>
          <w:sz w:val="24"/>
          <w:szCs w:val="24"/>
        </w:rPr>
        <w:t>.</w:t>
      </w:r>
    </w:p>
    <w:p w:rsidR="000303D3" w:rsidRDefault="00825B3E" w:rsidP="00973477">
      <w:pPr>
        <w:spacing w:after="0" w:line="240" w:lineRule="auto"/>
        <w:ind w:firstLine="720"/>
        <w:jc w:val="both"/>
        <w:rPr>
          <w:rFonts w:ascii="Times New Roman" w:hAnsi="Times New Roman"/>
          <w:sz w:val="24"/>
          <w:szCs w:val="24"/>
        </w:rPr>
      </w:pPr>
      <w:r>
        <w:rPr>
          <w:rFonts w:ascii="Times New Roman" w:hAnsi="Times New Roman"/>
          <w:sz w:val="24"/>
          <w:szCs w:val="24"/>
        </w:rPr>
        <w:t>Neste sentido, a</w:t>
      </w:r>
      <w:r w:rsidR="008C4D5E" w:rsidRPr="00825B3E">
        <w:rPr>
          <w:rFonts w:ascii="Times New Roman" w:hAnsi="Times New Roman"/>
          <w:sz w:val="24"/>
          <w:szCs w:val="24"/>
        </w:rPr>
        <w:t>ssuma</w:t>
      </w:r>
      <w:r w:rsidR="008C4D5E">
        <w:rPr>
          <w:rFonts w:ascii="Times New Roman" w:hAnsi="Times New Roman"/>
          <w:sz w:val="24"/>
          <w:szCs w:val="24"/>
        </w:rPr>
        <w:t xml:space="preserve">-se </w:t>
      </w:r>
      <w:r>
        <w:rPr>
          <w:rFonts w:ascii="Times New Roman" w:hAnsi="Times New Roman"/>
          <w:sz w:val="24"/>
          <w:szCs w:val="24"/>
        </w:rPr>
        <w:t xml:space="preserve">novamente </w:t>
      </w:r>
      <w:r w:rsidR="008C4D5E">
        <w:rPr>
          <w:rFonts w:ascii="Times New Roman" w:hAnsi="Times New Roman"/>
          <w:sz w:val="24"/>
          <w:szCs w:val="24"/>
        </w:rPr>
        <w:t>que</w:t>
      </w:r>
      <w:r w:rsidR="0084229C">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e</m:t>
            </m:r>
          </m:sub>
        </m:sSub>
      </m:oMath>
      <w:r w:rsidR="008750B6" w:rsidRPr="00312286">
        <w:rPr>
          <w:rFonts w:ascii="Times New Roman" w:hAnsi="Times New Roman"/>
          <w:sz w:val="24"/>
          <w:szCs w:val="24"/>
        </w:rPr>
        <w:t xml:space="preserve"> </w:t>
      </w:r>
      <w:r w:rsidR="0084229C">
        <w:rPr>
          <w:rFonts w:ascii="Times New Roman" w:hAnsi="Times New Roman"/>
          <w:sz w:val="24"/>
          <w:szCs w:val="24"/>
        </w:rPr>
        <w:t xml:space="preserve">representa a renda das unidades de observação, obtida a partir da soma de </w:t>
      </w:r>
      <w:r w:rsidR="0084229C" w:rsidRPr="00825B3E">
        <w:rPr>
          <w:rFonts w:ascii="Times New Roman" w:hAnsi="Times New Roman"/>
          <w:i/>
          <w:sz w:val="24"/>
          <w:szCs w:val="24"/>
        </w:rPr>
        <w:t>N</w:t>
      </w:r>
      <w:r w:rsidR="0084229C" w:rsidRPr="00312286">
        <w:rPr>
          <w:rFonts w:ascii="Times New Roman" w:hAnsi="Times New Roman"/>
          <w:sz w:val="24"/>
          <w:szCs w:val="24"/>
        </w:rPr>
        <w:t xml:space="preserve"> </w:t>
      </w:r>
      <w:r w:rsidR="0084229C">
        <w:rPr>
          <w:rFonts w:ascii="Times New Roman" w:hAnsi="Times New Roman"/>
          <w:sz w:val="24"/>
          <w:szCs w:val="24"/>
        </w:rPr>
        <w:t>fontes em cada unidade,</w:t>
      </w:r>
      <w:r w:rsidR="008C4D5E">
        <w:rPr>
          <w:rFonts w:ascii="Times New Roman" w:hAnsi="Times New Roman"/>
          <w:sz w:val="24"/>
          <w:szCs w:val="24"/>
        </w:rPr>
        <w:t xml:space="preserve"> que</w:t>
      </w:r>
      <w:r w:rsidR="0084229C">
        <w:rPr>
          <w:rFonts w:ascii="Times New Roman" w:hAnsi="Times New Roman"/>
          <w:sz w:val="24"/>
          <w:szCs w:val="24"/>
        </w:rPr>
        <w:t xml:space="preserve"> </w:t>
      </w:r>
      <w:r w:rsidR="0084229C" w:rsidRPr="00825B3E">
        <w:rPr>
          <w:rFonts w:ascii="Times New Roman" w:hAnsi="Times New Roman"/>
          <w:i/>
          <w:sz w:val="24"/>
          <w:szCs w:val="24"/>
        </w:rPr>
        <w:t>F</w:t>
      </w:r>
      <w:r w:rsidR="0084229C" w:rsidRPr="00312286">
        <w:rPr>
          <w:rFonts w:ascii="Times New Roman" w:hAnsi="Times New Roman"/>
          <w:sz w:val="24"/>
          <w:szCs w:val="24"/>
        </w:rPr>
        <w:t xml:space="preserve"> </w:t>
      </w:r>
      <w:r w:rsidR="008C4D5E" w:rsidRPr="00312286">
        <w:rPr>
          <w:rFonts w:ascii="Times New Roman" w:hAnsi="Times New Roman"/>
          <w:sz w:val="24"/>
          <w:szCs w:val="24"/>
        </w:rPr>
        <w:t>apreende a</w:t>
      </w:r>
      <w:r w:rsidR="0084229C" w:rsidRPr="00312286">
        <w:rPr>
          <w:rFonts w:ascii="Times New Roman" w:hAnsi="Times New Roman"/>
          <w:sz w:val="24"/>
          <w:szCs w:val="24"/>
        </w:rPr>
        <w:t xml:space="preserve"> função acumulada da distribuição desta renda,</w:t>
      </w:r>
      <w:r w:rsidR="008C4D5E" w:rsidRPr="00312286">
        <w:rPr>
          <w:rFonts w:ascii="Times New Roman" w:hAnsi="Times New Roman"/>
          <w:sz w:val="24"/>
          <w:szCs w:val="24"/>
        </w:rPr>
        <w:t xml:space="preserve"> que</w:t>
      </w:r>
      <w:r w:rsidR="0084229C" w:rsidRPr="00312286">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f</m:t>
            </m:r>
          </m:sub>
        </m:sSub>
      </m:oMath>
      <w:r w:rsidRPr="00312286">
        <w:rPr>
          <w:rFonts w:ascii="Times New Roman" w:hAnsi="Times New Roman"/>
          <w:sz w:val="24"/>
          <w:szCs w:val="24"/>
        </w:rPr>
        <w:t xml:space="preserve"> </w:t>
      </w:r>
      <w:r w:rsidR="0084229C" w:rsidRPr="00312286">
        <w:rPr>
          <w:rFonts w:ascii="Times New Roman" w:hAnsi="Times New Roman"/>
          <w:sz w:val="24"/>
          <w:szCs w:val="24"/>
        </w:rPr>
        <w:t>d</w:t>
      </w:r>
      <w:r w:rsidR="008C4D5E" w:rsidRPr="00312286">
        <w:rPr>
          <w:rFonts w:ascii="Times New Roman" w:hAnsi="Times New Roman"/>
          <w:sz w:val="24"/>
          <w:szCs w:val="24"/>
        </w:rPr>
        <w:t>enota</w:t>
      </w:r>
      <w:r w:rsidR="0084229C" w:rsidRPr="00312286">
        <w:rPr>
          <w:rFonts w:ascii="Times New Roman" w:hAnsi="Times New Roman"/>
          <w:sz w:val="24"/>
          <w:szCs w:val="24"/>
        </w:rPr>
        <w:t xml:space="preserve"> o montante de renda da fonte </w:t>
      </w:r>
      <w:r w:rsidR="0084229C" w:rsidRPr="00825B3E">
        <w:rPr>
          <w:rFonts w:ascii="Times New Roman" w:hAnsi="Times New Roman"/>
          <w:i/>
          <w:sz w:val="24"/>
          <w:szCs w:val="24"/>
        </w:rPr>
        <w:t>f</w:t>
      </w:r>
      <w:r w:rsidR="0084229C" w:rsidRPr="00312286">
        <w:rPr>
          <w:rFonts w:ascii="Times New Roman" w:hAnsi="Times New Roman"/>
          <w:sz w:val="24"/>
          <w:szCs w:val="24"/>
        </w:rPr>
        <w:t xml:space="preserve"> e </w:t>
      </w:r>
      <w:r w:rsidR="008C4D5E" w:rsidRPr="00312286">
        <w:rPr>
          <w:rFonts w:ascii="Times New Roman" w:hAnsi="Times New Roman"/>
          <w:sz w:val="24"/>
          <w:szCs w:val="24"/>
        </w:rPr>
        <w:t xml:space="preserve">que </w:t>
      </w:r>
      <w:r w:rsidR="0084229C" w:rsidRPr="00825B3E">
        <w:rPr>
          <w:rFonts w:ascii="Times New Roman" w:hAnsi="Times New Roman"/>
          <w:i/>
          <w:sz w:val="24"/>
          <w:szCs w:val="24"/>
        </w:rPr>
        <w:t>F</w:t>
      </w:r>
      <w:r w:rsidR="0084229C" w:rsidRPr="00825B3E">
        <w:rPr>
          <w:rFonts w:ascii="Times New Roman" w:hAnsi="Times New Roman"/>
          <w:i/>
          <w:sz w:val="24"/>
          <w:szCs w:val="24"/>
          <w:vertAlign w:val="subscript"/>
        </w:rPr>
        <w:t>k</w:t>
      </w:r>
      <w:r w:rsidR="0084229C" w:rsidRPr="00312286">
        <w:rPr>
          <w:rFonts w:ascii="Times New Roman" w:hAnsi="Times New Roman"/>
          <w:sz w:val="24"/>
          <w:szCs w:val="24"/>
        </w:rPr>
        <w:t xml:space="preserve"> </w:t>
      </w:r>
      <w:r w:rsidR="008750B6" w:rsidRPr="00312286">
        <w:rPr>
          <w:rFonts w:ascii="Times New Roman" w:hAnsi="Times New Roman"/>
          <w:sz w:val="24"/>
          <w:szCs w:val="24"/>
        </w:rPr>
        <w:t xml:space="preserve"> </w:t>
      </w:r>
      <w:r w:rsidR="008C4D5E" w:rsidRPr="00312286">
        <w:rPr>
          <w:rFonts w:ascii="Times New Roman" w:hAnsi="Times New Roman"/>
          <w:sz w:val="24"/>
          <w:szCs w:val="24"/>
        </w:rPr>
        <w:t>corresponde à</w:t>
      </w:r>
      <w:r w:rsidR="0084229C" w:rsidRPr="00312286">
        <w:rPr>
          <w:rFonts w:ascii="Times New Roman" w:hAnsi="Times New Roman"/>
          <w:sz w:val="24"/>
          <w:szCs w:val="24"/>
        </w:rPr>
        <w:t xml:space="preserve"> função acumulada da distribuição desta fonte de renda, </w:t>
      </w:r>
      <w:r w:rsidR="008C4D5E" w:rsidRPr="00312286">
        <w:rPr>
          <w:rFonts w:ascii="Times New Roman" w:hAnsi="Times New Roman"/>
          <w:sz w:val="24"/>
          <w:szCs w:val="24"/>
        </w:rPr>
        <w:t xml:space="preserve">então </w:t>
      </w:r>
      <w:r w:rsidR="0084229C" w:rsidRPr="00312286">
        <w:rPr>
          <w:rFonts w:ascii="Times New Roman" w:hAnsi="Times New Roman"/>
          <w:sz w:val="24"/>
          <w:szCs w:val="24"/>
        </w:rPr>
        <w:t xml:space="preserve">o índice de Gini </w:t>
      </w:r>
      <w:r w:rsidR="008750B6" w:rsidRPr="00312286">
        <w:rPr>
          <w:rFonts w:ascii="Times New Roman" w:hAnsi="Times New Roman"/>
          <w:sz w:val="24"/>
          <w:szCs w:val="24"/>
        </w:rPr>
        <w:t xml:space="preserve">(G) </w:t>
      </w:r>
      <w:r w:rsidR="0084229C" w:rsidRPr="00312286">
        <w:rPr>
          <w:rFonts w:ascii="Times New Roman" w:hAnsi="Times New Roman"/>
          <w:sz w:val="24"/>
          <w:szCs w:val="24"/>
        </w:rPr>
        <w:t>pode ser obtido a partir da seguinte soma de parcelas associadas às diferentes fontes de renda:</w:t>
      </w:r>
    </w:p>
    <w:p w:rsidR="000303D3" w:rsidRDefault="000303D3" w:rsidP="00973477">
      <w:pPr>
        <w:spacing w:after="0" w:line="240" w:lineRule="auto"/>
        <w:rPr>
          <w:rFonts w:ascii="Times New Roman" w:hAnsi="Times New Roman"/>
          <w:sz w:val="24"/>
          <w:szCs w:val="24"/>
        </w:rPr>
      </w:pPr>
      <w:r>
        <w:rPr>
          <w:rFonts w:ascii="Times New Roman" w:hAnsi="Times New Roman"/>
          <w:sz w:val="24"/>
          <w:szCs w:val="24"/>
        </w:rPr>
        <w:t xml:space="preserve">   </w:t>
      </w:r>
    </w:p>
    <w:p w:rsidR="000731E7" w:rsidRPr="00312286" w:rsidRDefault="000303D3" w:rsidP="00973477">
      <w:pPr>
        <w:spacing w:after="0" w:line="240" w:lineRule="auto"/>
        <w:jc w:val="both"/>
        <w:rPr>
          <w:rFonts w:ascii="Times New Roman" w:hAnsi="Times New Roman"/>
          <w:sz w:val="24"/>
          <w:szCs w:val="24"/>
        </w:rPr>
      </w:pPr>
      <w:r>
        <w:rPr>
          <w:rFonts w:ascii="Times New Roman" w:hAnsi="Times New Roman"/>
          <w:sz w:val="24"/>
          <w:szCs w:val="24"/>
        </w:rPr>
        <w:t xml:space="preserve">      </w:t>
      </w:r>
      <w:r w:rsidR="001C2FB8" w:rsidRPr="00312286">
        <w:rPr>
          <w:rFonts w:ascii="Times New Roman" w:hAnsi="Times New Roman"/>
          <w:sz w:val="24"/>
          <w:szCs w:val="24"/>
        </w:rPr>
        <w:t xml:space="preserve">              </w:t>
      </w:r>
      <w:r w:rsidR="000731E7">
        <w:rPr>
          <w:rFonts w:ascii="Times New Roman" w:hAnsi="Times New Roman"/>
          <w:sz w:val="24"/>
          <w:szCs w:val="24"/>
        </w:rPr>
        <w:t xml:space="preserve">                 </w:t>
      </w:r>
      <m:oMath>
        <m:r>
          <m:rPr>
            <m:sty m:val="p"/>
          </m:rPr>
          <w:rPr>
            <w:rFonts w:ascii="Cambria Math" w:hAnsi="Cambria Math"/>
            <w:sz w:val="24"/>
            <w:szCs w:val="24"/>
          </w:rPr>
          <m:t>G=</m:t>
        </m:r>
        <m:nary>
          <m:naryPr>
            <m:chr m:val="∑"/>
            <m:limLoc m:val="undOvr"/>
            <m:ctrlPr>
              <w:rPr>
                <w:rFonts w:ascii="Cambria Math" w:hAnsi="Cambria Math"/>
                <w:sz w:val="24"/>
                <w:szCs w:val="24"/>
              </w:rPr>
            </m:ctrlPr>
          </m:naryPr>
          <m:sub>
            <m:r>
              <m:rPr>
                <m:sty m:val="p"/>
              </m:rPr>
              <w:rPr>
                <w:rFonts w:ascii="Cambria Math" w:hAnsi="Cambria Math"/>
                <w:sz w:val="24"/>
                <w:szCs w:val="24"/>
              </w:rPr>
              <m:t>f=1</m:t>
            </m:r>
          </m:sub>
          <m:sup>
            <m:r>
              <m:rPr>
                <m:sty m:val="p"/>
              </m:rPr>
              <w:rPr>
                <w:rFonts w:ascii="Cambria Math" w:hAnsi="Cambria Math"/>
                <w:sz w:val="24"/>
                <w:szCs w:val="24"/>
              </w:rPr>
              <m:t>N</m:t>
            </m:r>
          </m:sup>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f</m:t>
                </m:r>
              </m:sub>
            </m:sSub>
            <m:sSub>
              <m:sSubPr>
                <m:ctrlPr>
                  <w:rPr>
                    <w:rFonts w:ascii="Cambria Math" w:hAnsi="Cambria Math"/>
                    <w:sz w:val="24"/>
                    <w:szCs w:val="24"/>
                  </w:rPr>
                </m:ctrlPr>
              </m:sSubPr>
              <m:e>
                <m:r>
                  <m:rPr>
                    <m:sty m:val="p"/>
                  </m:rPr>
                  <w:rPr>
                    <w:rFonts w:ascii="Cambria Math" w:hAnsi="Cambria Math"/>
                    <w:sz w:val="24"/>
                    <w:szCs w:val="24"/>
                  </w:rPr>
                  <m:t>G</m:t>
                </m:r>
              </m:e>
              <m:sub>
                <m:r>
                  <m:rPr>
                    <m:sty m:val="p"/>
                  </m:rPr>
                  <w:rPr>
                    <w:rFonts w:ascii="Cambria Math" w:hAnsi="Cambria Math"/>
                    <w:sz w:val="24"/>
                    <w:szCs w:val="24"/>
                  </w:rPr>
                  <m:t>f</m:t>
                </m:r>
              </m:sub>
            </m:sSub>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f</m:t>
                </m:r>
              </m:sub>
            </m:sSub>
          </m:e>
        </m:nary>
      </m:oMath>
      <w:r w:rsidR="000731E7" w:rsidRPr="00312286">
        <w:rPr>
          <w:rFonts w:ascii="Times New Roman" w:hAnsi="Times New Roman"/>
          <w:sz w:val="24"/>
          <w:szCs w:val="24"/>
        </w:rPr>
        <w:t xml:space="preserve">                                    </w:t>
      </w:r>
      <w:r w:rsidR="001411F8">
        <w:rPr>
          <w:rFonts w:ascii="Times New Roman" w:hAnsi="Times New Roman"/>
          <w:sz w:val="24"/>
          <w:szCs w:val="24"/>
        </w:rPr>
        <w:t xml:space="preserve">                         </w:t>
      </w:r>
      <w:r w:rsidR="000731E7" w:rsidRPr="00312286">
        <w:rPr>
          <w:rFonts w:ascii="Times New Roman" w:hAnsi="Times New Roman"/>
          <w:sz w:val="24"/>
          <w:szCs w:val="24"/>
        </w:rPr>
        <w:t>(6)</w:t>
      </w:r>
    </w:p>
    <w:p w:rsidR="000731E7" w:rsidRPr="00312286" w:rsidRDefault="000731E7" w:rsidP="00973477">
      <w:pPr>
        <w:spacing w:after="0" w:line="240" w:lineRule="auto"/>
        <w:jc w:val="both"/>
        <w:rPr>
          <w:rFonts w:ascii="Times New Roman" w:hAnsi="Times New Roman"/>
          <w:sz w:val="24"/>
          <w:szCs w:val="24"/>
        </w:rPr>
      </w:pPr>
    </w:p>
    <w:p w:rsidR="008C4D5E" w:rsidRPr="00312286" w:rsidRDefault="000731E7" w:rsidP="00973477">
      <w:pPr>
        <w:spacing w:after="0" w:line="240" w:lineRule="auto"/>
        <w:jc w:val="both"/>
        <w:rPr>
          <w:rFonts w:ascii="Times New Roman" w:hAnsi="Times New Roman"/>
          <w:sz w:val="24"/>
          <w:szCs w:val="24"/>
        </w:rPr>
      </w:pPr>
      <w:r w:rsidRPr="00312286">
        <w:rPr>
          <w:rFonts w:ascii="Times New Roman" w:hAnsi="Times New Roman"/>
          <w:sz w:val="24"/>
          <w:szCs w:val="24"/>
        </w:rPr>
        <w:t>Onde,</w:t>
      </w:r>
      <w:r w:rsidR="00DC02F5">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f</m:t>
            </m:r>
          </m:sub>
        </m:sSub>
        <m:r>
          <m:rPr>
            <m:sty m:val="p"/>
          </m:rPr>
          <w:rPr>
            <w:rFonts w:ascii="Cambria Math" w:hAnsi="Cambria Math"/>
            <w:sz w:val="24"/>
            <w:szCs w:val="24"/>
          </w:rPr>
          <m:t>=cov</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f</m:t>
                </m:r>
              </m:sub>
            </m:sSub>
            <m:r>
              <m:rPr>
                <m:sty m:val="p"/>
              </m:rPr>
              <w:rPr>
                <w:rFonts w:ascii="Cambria Math" w:hAnsi="Cambria Math"/>
                <w:sz w:val="24"/>
                <w:szCs w:val="24"/>
              </w:rPr>
              <m:t>,F</m:t>
            </m:r>
          </m:e>
        </m:d>
        <m:r>
          <m:rPr>
            <m:sty m:val="p"/>
          </m:rPr>
          <w:rPr>
            <w:rFonts w:ascii="Cambria Math" w:hAnsi="Cambria Math"/>
            <w:sz w:val="24"/>
            <w:szCs w:val="24"/>
          </w:rPr>
          <m:t>/cov</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f</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f</m:t>
                </m:r>
              </m:sub>
            </m:sSub>
          </m:e>
        </m:d>
      </m:oMath>
      <w:r w:rsidR="0022655E" w:rsidRPr="00312286">
        <w:rPr>
          <w:rFonts w:ascii="Times New Roman" w:hAnsi="Times New Roman"/>
          <w:sz w:val="24"/>
          <w:szCs w:val="24"/>
        </w:rPr>
        <w:t>,</w:t>
      </w:r>
      <w:r w:rsidR="0084229C">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f</m:t>
            </m:r>
          </m:sub>
        </m:sSub>
        <m:r>
          <m:rPr>
            <m:sty m:val="p"/>
          </m:rPr>
          <w:rPr>
            <w:rFonts w:ascii="Cambria Math" w:hAnsi="Cambria Math"/>
            <w:sz w:val="24"/>
            <w:szCs w:val="24"/>
          </w:rPr>
          <m:t>=</m:t>
        </m:r>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y</m:t>
                </m:r>
              </m:e>
            </m:acc>
          </m:e>
          <m:sub>
            <m:r>
              <m:rPr>
                <m:sty m:val="p"/>
              </m:rPr>
              <w:rPr>
                <w:rFonts w:ascii="Cambria Math" w:hAnsi="Cambria Math"/>
                <w:sz w:val="24"/>
                <w:szCs w:val="24"/>
              </w:rPr>
              <m:t>f</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y</m:t>
            </m:r>
          </m:e>
        </m:acc>
      </m:oMath>
      <w:r w:rsidR="00245DCA" w:rsidRPr="00312286">
        <w:rPr>
          <w:rFonts w:ascii="Times New Roman" w:hAnsi="Times New Roman"/>
          <w:sz w:val="24"/>
          <w:szCs w:val="24"/>
        </w:rPr>
        <w:t xml:space="preserve">  (rela</w:t>
      </w:r>
      <w:r w:rsidR="008C4D5E" w:rsidRPr="00312286">
        <w:rPr>
          <w:rFonts w:ascii="Times New Roman" w:hAnsi="Times New Roman"/>
          <w:sz w:val="24"/>
          <w:szCs w:val="24"/>
        </w:rPr>
        <w:t xml:space="preserve">ção entre a renda média da componente </w:t>
      </w:r>
      <w:r w:rsidR="008C4D5E" w:rsidRPr="00825B3E">
        <w:rPr>
          <w:rFonts w:ascii="Times New Roman" w:hAnsi="Times New Roman"/>
          <w:i/>
          <w:sz w:val="24"/>
          <w:szCs w:val="24"/>
        </w:rPr>
        <w:t>f</w:t>
      </w:r>
      <w:r w:rsidR="008C4D5E" w:rsidRPr="00312286">
        <w:rPr>
          <w:rFonts w:ascii="Times New Roman" w:hAnsi="Times New Roman"/>
          <w:sz w:val="24"/>
          <w:szCs w:val="24"/>
        </w:rPr>
        <w:t xml:space="preserve"> e a renda média total) e </w:t>
      </w:r>
      <w:r w:rsidR="00245DCA" w:rsidRPr="00312286">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G</m:t>
            </m:r>
          </m:e>
          <m:sub>
            <m:r>
              <m:rPr>
                <m:sty m:val="p"/>
              </m:rPr>
              <w:rPr>
                <w:rFonts w:ascii="Cambria Math" w:hAnsi="Cambria Math"/>
                <w:sz w:val="24"/>
                <w:szCs w:val="24"/>
              </w:rPr>
              <m:t>f</m:t>
            </m:r>
          </m:sub>
        </m:sSub>
      </m:oMath>
      <w:r w:rsidR="008C4D5E" w:rsidRPr="00312286">
        <w:rPr>
          <w:rFonts w:ascii="Times New Roman" w:hAnsi="Times New Roman"/>
          <w:sz w:val="24"/>
          <w:szCs w:val="24"/>
        </w:rPr>
        <w:t xml:space="preserve"> é o índice de Gini da distribuição da fonte de renda </w:t>
      </w:r>
      <w:r w:rsidR="008C4D5E" w:rsidRPr="00825B3E">
        <w:rPr>
          <w:rFonts w:ascii="Times New Roman" w:hAnsi="Times New Roman"/>
          <w:i/>
          <w:sz w:val="24"/>
          <w:szCs w:val="24"/>
        </w:rPr>
        <w:t>f</w:t>
      </w:r>
      <w:r w:rsidR="008C4D5E" w:rsidRPr="00312286">
        <w:rPr>
          <w:rFonts w:ascii="Times New Roman" w:hAnsi="Times New Roman"/>
          <w:sz w:val="24"/>
          <w:szCs w:val="24"/>
        </w:rPr>
        <w:t>. Nesta representação,</w:t>
      </w:r>
      <w:r w:rsidR="001C2FB8" w:rsidRPr="00312286">
        <w:rPr>
          <w:rFonts w:ascii="Times New Roman" w:hAnsi="Times New Roman"/>
          <w:sz w:val="24"/>
          <w:szCs w:val="24"/>
        </w:rPr>
        <w:t xml:space="preserve"> </w:t>
      </w:r>
      <w:r w:rsidR="001C2FB8" w:rsidRPr="00825B3E">
        <w:rPr>
          <w:rFonts w:ascii="Times New Roman" w:hAnsi="Times New Roman"/>
          <w:i/>
          <w:sz w:val="24"/>
          <w:szCs w:val="24"/>
        </w:rPr>
        <w:t>cov</w:t>
      </w:r>
      <w:r w:rsidR="001C2FB8" w:rsidRPr="00312286">
        <w:rPr>
          <w:rFonts w:ascii="Times New Roman" w:hAnsi="Times New Roman"/>
          <w:sz w:val="24"/>
          <w:szCs w:val="24"/>
        </w:rPr>
        <w:t xml:space="preserve">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f</m:t>
            </m:r>
          </m:sub>
        </m:sSub>
      </m:oMath>
      <w:r w:rsidR="001C2FB8" w:rsidRPr="00312286">
        <w:rPr>
          <w:rFonts w:ascii="Times New Roman" w:hAnsi="Times New Roman"/>
          <w:sz w:val="24"/>
          <w:szCs w:val="24"/>
        </w:rPr>
        <w:t xml:space="preserve">, </w:t>
      </w:r>
      <w:r w:rsidR="001C2FB8" w:rsidRPr="00825B3E">
        <w:rPr>
          <w:rFonts w:ascii="Times New Roman" w:hAnsi="Times New Roman"/>
          <w:i/>
          <w:sz w:val="24"/>
          <w:szCs w:val="24"/>
        </w:rPr>
        <w:t>F</w:t>
      </w:r>
      <w:r w:rsidR="001C2FB8" w:rsidRPr="00312286">
        <w:rPr>
          <w:rFonts w:ascii="Times New Roman" w:hAnsi="Times New Roman"/>
          <w:sz w:val="24"/>
          <w:szCs w:val="24"/>
        </w:rPr>
        <w:t xml:space="preserve">) refere-se à covariância entre a renda da fonte </w:t>
      </w:r>
      <w:r w:rsidR="001C2FB8" w:rsidRPr="00825B3E">
        <w:rPr>
          <w:rFonts w:ascii="Times New Roman" w:hAnsi="Times New Roman"/>
          <w:i/>
          <w:sz w:val="24"/>
          <w:szCs w:val="24"/>
        </w:rPr>
        <w:t>f</w:t>
      </w:r>
      <w:r w:rsidR="001C2FB8" w:rsidRPr="00312286">
        <w:rPr>
          <w:rFonts w:ascii="Times New Roman" w:hAnsi="Times New Roman"/>
          <w:sz w:val="24"/>
          <w:szCs w:val="24"/>
        </w:rPr>
        <w:t xml:space="preserve"> e a função acumulada da renda</w:t>
      </w:r>
      <w:r w:rsidR="008750B6" w:rsidRPr="00312286">
        <w:rPr>
          <w:rFonts w:ascii="Times New Roman" w:hAnsi="Times New Roman"/>
          <w:sz w:val="24"/>
          <w:szCs w:val="24"/>
        </w:rPr>
        <w:t xml:space="preserve"> e </w:t>
      </w:r>
      <w:r w:rsidR="008750B6" w:rsidRPr="00825B3E">
        <w:rPr>
          <w:rFonts w:ascii="Times New Roman" w:hAnsi="Times New Roman"/>
          <w:i/>
          <w:sz w:val="24"/>
          <w:szCs w:val="24"/>
        </w:rPr>
        <w:t xml:space="preserve">cov </w:t>
      </w:r>
      <w:r w:rsidR="008750B6" w:rsidRPr="00312286">
        <w:rPr>
          <w:rFonts w:ascii="Times New Roman" w:hAnsi="Times New Roman"/>
          <w:sz w:val="24"/>
          <w:szCs w:val="24"/>
        </w:rPr>
        <w:t>(</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f</m:t>
            </m:r>
          </m:sub>
        </m:sSub>
      </m:oMath>
      <w:r w:rsidR="008750B6" w:rsidRPr="00312286">
        <w:rPr>
          <w:rFonts w:ascii="Times New Roman" w:hAnsi="Times New Roman"/>
          <w:sz w:val="24"/>
          <w:szCs w:val="24"/>
        </w:rPr>
        <w:t xml:space="preserve">, </w:t>
      </w:r>
      <w:r w:rsidR="00825B3E" w:rsidRPr="00825B3E">
        <w:rPr>
          <w:rFonts w:ascii="Times New Roman" w:hAnsi="Times New Roman"/>
          <w:i/>
          <w:sz w:val="24"/>
          <w:szCs w:val="24"/>
        </w:rPr>
        <w:t>F</w:t>
      </w:r>
      <w:r w:rsidR="00825B3E">
        <w:rPr>
          <w:rFonts w:ascii="Times New Roman" w:hAnsi="Times New Roman"/>
          <w:i/>
          <w:sz w:val="24"/>
          <w:szCs w:val="24"/>
          <w:vertAlign w:val="subscript"/>
        </w:rPr>
        <w:t>f</w:t>
      </w:r>
      <w:r w:rsidR="00825B3E">
        <w:rPr>
          <w:rFonts w:ascii="Times New Roman" w:hAnsi="Times New Roman"/>
          <w:sz w:val="24"/>
          <w:szCs w:val="24"/>
        </w:rPr>
        <w:t xml:space="preserve">) corresponde </w:t>
      </w:r>
      <w:r w:rsidR="008C4D5E" w:rsidRPr="00312286">
        <w:rPr>
          <w:rFonts w:ascii="Times New Roman" w:hAnsi="Times New Roman"/>
          <w:sz w:val="24"/>
          <w:szCs w:val="24"/>
        </w:rPr>
        <w:t>à</w:t>
      </w:r>
      <w:r w:rsidR="008750B6" w:rsidRPr="00312286">
        <w:rPr>
          <w:rFonts w:ascii="Times New Roman" w:hAnsi="Times New Roman"/>
          <w:sz w:val="24"/>
          <w:szCs w:val="24"/>
        </w:rPr>
        <w:t xml:space="preserve"> covariância </w:t>
      </w:r>
      <w:r w:rsidR="008C4D5E" w:rsidRPr="00312286">
        <w:rPr>
          <w:rFonts w:ascii="Times New Roman" w:hAnsi="Times New Roman"/>
          <w:sz w:val="24"/>
          <w:szCs w:val="24"/>
        </w:rPr>
        <w:t xml:space="preserve">entre a renda da fonte </w:t>
      </w:r>
      <w:r w:rsidR="008C4D5E" w:rsidRPr="00825B3E">
        <w:rPr>
          <w:rFonts w:ascii="Times New Roman" w:hAnsi="Times New Roman"/>
          <w:i/>
          <w:sz w:val="24"/>
          <w:szCs w:val="24"/>
        </w:rPr>
        <w:t xml:space="preserve">f </w:t>
      </w:r>
      <w:r w:rsidR="008C4D5E" w:rsidRPr="00312286">
        <w:rPr>
          <w:rFonts w:ascii="Times New Roman" w:hAnsi="Times New Roman"/>
          <w:sz w:val="24"/>
          <w:szCs w:val="24"/>
        </w:rPr>
        <w:t xml:space="preserve">e a função acumulada da renda desta fonte. </w:t>
      </w:r>
    </w:p>
    <w:p w:rsidR="006762E8" w:rsidRPr="00312286" w:rsidRDefault="006762E8" w:rsidP="00973477">
      <w:pPr>
        <w:spacing w:after="0" w:line="240" w:lineRule="auto"/>
        <w:jc w:val="both"/>
        <w:rPr>
          <w:rFonts w:ascii="Times New Roman" w:hAnsi="Times New Roman"/>
          <w:sz w:val="24"/>
          <w:szCs w:val="24"/>
        </w:rPr>
      </w:pPr>
      <w:r w:rsidRPr="00312286">
        <w:rPr>
          <w:rFonts w:ascii="Times New Roman" w:hAnsi="Times New Roman"/>
          <w:sz w:val="24"/>
          <w:szCs w:val="24"/>
        </w:rPr>
        <w:tab/>
        <w:t xml:space="preserve">A representação do Gini é obtida dos índices das diferentes fontes ponderadas pelas participações e pelo fator </w:t>
      </w:r>
      <w:r w:rsidRPr="00825B3E">
        <w:rPr>
          <w:rFonts w:ascii="Times New Roman" w:hAnsi="Times New Roman"/>
          <w:i/>
          <w:sz w:val="24"/>
          <w:szCs w:val="24"/>
        </w:rPr>
        <w:t>R</w:t>
      </w:r>
      <w:r w:rsidRPr="00312286">
        <w:rPr>
          <w:rFonts w:ascii="Times New Roman" w:hAnsi="Times New Roman"/>
          <w:sz w:val="24"/>
          <w:szCs w:val="24"/>
        </w:rPr>
        <w:t xml:space="preserve">, que expressa uma espécie de correlação entre as fontes e a renda total. Note-se que no caso de um componente com valor constante para todas as unidades </w:t>
      </w: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Pr="00312286">
        <w:rPr>
          <w:rFonts w:ascii="Times New Roman" w:hAnsi="Times New Roman"/>
          <w:sz w:val="24"/>
          <w:szCs w:val="24"/>
        </w:rPr>
        <w:t xml:space="preserve"> = 0, implicando contribuição nula da fonte de renda para o valor do índice de Gini; por outro lado, valores positivos</w:t>
      </w:r>
      <w:r w:rsidR="009561E6" w:rsidRPr="00312286">
        <w:rPr>
          <w:rFonts w:ascii="Times New Roman" w:hAnsi="Times New Roman"/>
          <w:sz w:val="24"/>
          <w:szCs w:val="24"/>
        </w:rPr>
        <w:t xml:space="preserve"> (negativos) de </w:t>
      </w: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825B3E" w:rsidRPr="00312286">
        <w:rPr>
          <w:rFonts w:ascii="Times New Roman" w:hAnsi="Times New Roman"/>
          <w:sz w:val="24"/>
          <w:szCs w:val="24"/>
        </w:rPr>
        <w:t xml:space="preserve"> </w:t>
      </w:r>
      <w:r w:rsidR="009561E6" w:rsidRPr="00312286">
        <w:rPr>
          <w:rFonts w:ascii="Times New Roman" w:hAnsi="Times New Roman"/>
          <w:sz w:val="24"/>
          <w:szCs w:val="24"/>
        </w:rPr>
        <w:t>implicam contribuição positiva (negativa) para desigualdade, tanto maior quanto maiores o próprio índice de Gini da fonte e o peso desta na renda total.</w:t>
      </w:r>
    </w:p>
    <w:p w:rsidR="00444721" w:rsidRDefault="00DC02F5" w:rsidP="00973477">
      <w:pPr>
        <w:spacing w:after="0" w:line="240" w:lineRule="auto"/>
        <w:ind w:firstLine="720"/>
        <w:jc w:val="both"/>
        <w:rPr>
          <w:rFonts w:ascii="Times New Roman" w:eastAsia="Times New Roman" w:hAnsi="Times New Roman"/>
          <w:sz w:val="24"/>
          <w:szCs w:val="24"/>
        </w:rPr>
      </w:pPr>
      <w:r w:rsidRPr="00312286">
        <w:rPr>
          <w:rFonts w:ascii="Times New Roman" w:hAnsi="Times New Roman"/>
          <w:sz w:val="24"/>
          <w:szCs w:val="24"/>
        </w:rPr>
        <w:t>Como mostraram Leman e Yitzhaki (1985), uma vantagem desta decomposição alternativa do índice de Gini é que ela permite obter a elasticidade do referido índice de desigualdade</w:t>
      </w:r>
      <w:r w:rsidR="008C4D5E" w:rsidRPr="00312286">
        <w:rPr>
          <w:rFonts w:ascii="Times New Roman" w:hAnsi="Times New Roman"/>
          <w:sz w:val="24"/>
          <w:szCs w:val="24"/>
        </w:rPr>
        <w:t xml:space="preserve"> em relação a variações de cada fonte de renda. </w:t>
      </w:r>
      <w:r w:rsidR="009561E6" w:rsidRPr="00312286">
        <w:rPr>
          <w:rFonts w:ascii="Times New Roman" w:hAnsi="Times New Roman"/>
          <w:sz w:val="24"/>
          <w:szCs w:val="24"/>
        </w:rPr>
        <w:t xml:space="preserve">Mais especificamente, denotando </w:t>
      </w:r>
      <w:r w:rsidR="009561E6" w:rsidRPr="002D2B28">
        <w:rPr>
          <w:rFonts w:ascii="Times New Roman" w:hAnsi="Times New Roman"/>
          <w:i/>
          <w:sz w:val="24"/>
          <w:szCs w:val="24"/>
        </w:rPr>
        <w:t>e</w:t>
      </w:r>
      <w:r w:rsidR="009561E6" w:rsidRPr="002D2B28">
        <w:rPr>
          <w:rFonts w:ascii="Times New Roman" w:hAnsi="Times New Roman"/>
          <w:i/>
          <w:sz w:val="24"/>
          <w:szCs w:val="24"/>
          <w:vertAlign w:val="subscript"/>
        </w:rPr>
        <w:t>f</w:t>
      </w:r>
      <w:r w:rsidR="009561E6" w:rsidRPr="002D2B28">
        <w:rPr>
          <w:rFonts w:ascii="Times New Roman" w:hAnsi="Times New Roman"/>
          <w:sz w:val="24"/>
          <w:szCs w:val="24"/>
          <w:vertAlign w:val="subscript"/>
        </w:rPr>
        <w:t xml:space="preserve"> </w:t>
      </w:r>
      <w:r w:rsidR="009561E6" w:rsidRPr="00312286">
        <w:rPr>
          <w:rFonts w:ascii="Times New Roman" w:hAnsi="Times New Roman"/>
          <w:sz w:val="24"/>
          <w:szCs w:val="24"/>
        </w:rPr>
        <w:t xml:space="preserve">como uma mudança percentual da fonte de renda </w:t>
      </w:r>
      <w:r w:rsidR="009561E6" w:rsidRPr="00825B3E">
        <w:rPr>
          <w:rFonts w:ascii="Times New Roman" w:hAnsi="Times New Roman"/>
          <w:i/>
          <w:sz w:val="24"/>
          <w:szCs w:val="24"/>
        </w:rPr>
        <w:t>f</w:t>
      </w:r>
      <w:r w:rsidR="009561E6" w:rsidRPr="00312286">
        <w:rPr>
          <w:rFonts w:ascii="Times New Roman" w:hAnsi="Times New Roman"/>
          <w:sz w:val="24"/>
          <w:szCs w:val="24"/>
        </w:rPr>
        <w:t>, o impacto percentual sobre o índice de Gini pode ser representado como</w:t>
      </w:r>
      <w:r w:rsidR="00444721">
        <w:rPr>
          <w:rStyle w:val="FootnoteReference"/>
          <w:rFonts w:ascii="Times New Roman" w:eastAsia="Times New Roman" w:hAnsi="Times New Roman"/>
          <w:sz w:val="24"/>
          <w:szCs w:val="24"/>
        </w:rPr>
        <w:footnoteReference w:id="8"/>
      </w:r>
      <w:r w:rsidR="009561E6">
        <w:rPr>
          <w:rFonts w:ascii="Times New Roman" w:eastAsia="Times New Roman" w:hAnsi="Times New Roman"/>
          <w:sz w:val="24"/>
          <w:szCs w:val="24"/>
        </w:rPr>
        <w:t>:</w:t>
      </w:r>
    </w:p>
    <w:p w:rsidR="001411F8" w:rsidRDefault="001411F8" w:rsidP="001411F8">
      <w:pPr>
        <w:spacing w:after="0" w:line="240" w:lineRule="auto"/>
        <w:ind w:firstLine="720"/>
        <w:jc w:val="both"/>
        <w:rPr>
          <w:rFonts w:ascii="Times New Roman" w:eastAsia="Times New Roman" w:hAnsi="Times New Roman"/>
          <w:sz w:val="24"/>
          <w:szCs w:val="24"/>
        </w:rPr>
      </w:pPr>
    </w:p>
    <w:p w:rsidR="00444721" w:rsidRDefault="00973477" w:rsidP="00444721">
      <w:pPr>
        <w:spacing w:after="0" w:line="240" w:lineRule="auto"/>
        <w:ind w:firstLine="720"/>
        <w:jc w:val="both"/>
        <w:rPr>
          <w:rFonts w:ascii="Times New Roman" w:eastAsia="Times New Roman" w:hAnsi="Times New Roman"/>
          <w:sz w:val="24"/>
          <w:szCs w:val="24"/>
        </w:rPr>
      </w:pPr>
      <m:oMathPara>
        <m:oMath>
          <m:r>
            <w:rPr>
              <w:rFonts w:ascii="Cambria Math" w:eastAsia="Times New Roman" w:hAnsi="Cambria Math"/>
              <w:sz w:val="24"/>
              <w:szCs w:val="24"/>
            </w:rPr>
            <m:t xml:space="preserve"> </m:t>
          </m:r>
          <m:f>
            <m:fPr>
              <m:ctrlPr>
                <w:rPr>
                  <w:rFonts w:ascii="Cambria Math" w:eastAsia="Times New Roman" w:hAnsi="Cambria Math"/>
                  <w:i/>
                  <w:sz w:val="24"/>
                  <w:szCs w:val="24"/>
                </w:rPr>
              </m:ctrlPr>
            </m:fPr>
            <m:num>
              <m:r>
                <w:rPr>
                  <w:rFonts w:ascii="Cambria Math" w:eastAsia="Times New Roman" w:hAnsi="Cambria Math"/>
                  <w:sz w:val="24"/>
                  <w:szCs w:val="24"/>
                </w:rPr>
                <m:t>∂G/</m:t>
              </m:r>
              <m:sSub>
                <m:sSubPr>
                  <m:ctrlPr>
                    <w:rPr>
                      <w:rFonts w:ascii="Cambria Math" w:eastAsia="Times New Roman" w:hAnsi="Cambria Math"/>
                      <w:i/>
                      <w:sz w:val="24"/>
                      <w:szCs w:val="24"/>
                    </w:rPr>
                  </m:ctrlPr>
                </m:sSubPr>
                <m:e>
                  <m:r>
                    <w:rPr>
                      <w:rFonts w:ascii="Cambria Math" w:eastAsia="Times New Roman" w:hAnsi="Cambria Math"/>
                      <w:sz w:val="24"/>
                      <w:szCs w:val="24"/>
                    </w:rPr>
                    <m:t>∂e</m:t>
                  </m:r>
                </m:e>
                <m:sub>
                  <m:r>
                    <w:rPr>
                      <w:rFonts w:ascii="Cambria Math" w:eastAsia="Times New Roman" w:hAnsi="Cambria Math"/>
                      <w:sz w:val="24"/>
                      <w:szCs w:val="24"/>
                    </w:rPr>
                    <m:t>f</m:t>
                  </m:r>
                </m:sub>
              </m:sSub>
            </m:num>
            <m:den>
              <m:r>
                <w:rPr>
                  <w:rFonts w:ascii="Cambria Math" w:eastAsia="Times New Roman" w:hAnsi="Cambria Math"/>
                  <w:sz w:val="24"/>
                  <w:szCs w:val="24"/>
                </w:rPr>
                <m:t>G</m:t>
              </m:r>
            </m:den>
          </m:f>
          <m:r>
            <w:rPr>
              <w:rFonts w:ascii="Cambria Math" w:eastAsia="Times New Roman" w:hAnsi="Cambria Math"/>
              <w:sz w:val="24"/>
              <w:szCs w:val="24"/>
            </w:rPr>
            <m:t>=</m:t>
          </m:r>
          <m:f>
            <m:fPr>
              <m:ctrlPr>
                <w:rPr>
                  <w:rFonts w:ascii="Cambria Math" w:eastAsia="Times New Roman" w:hAnsi="Cambria Math"/>
                  <w:i/>
                  <w:sz w:val="24"/>
                  <w:szCs w:val="24"/>
                </w:rPr>
              </m:ctrlPr>
            </m:fPr>
            <m:num>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f</m:t>
                      </m:r>
                    </m:sub>
                  </m:sSub>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f</m:t>
                      </m:r>
                    </m:sub>
                  </m:sSub>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f</m:t>
                      </m:r>
                    </m:sub>
                  </m:sSub>
                </m:e>
              </m:d>
            </m:num>
            <m:den>
              <m:r>
                <w:rPr>
                  <w:rFonts w:ascii="Cambria Math" w:eastAsia="Times New Roman" w:hAnsi="Cambria Math"/>
                  <w:sz w:val="24"/>
                  <w:szCs w:val="24"/>
                </w:rPr>
                <m:t>G</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f</m:t>
              </m:r>
            </m:sub>
          </m:sSub>
          <m:r>
            <m:rPr>
              <m:sty m:val="p"/>
            </m:rPr>
            <w:rPr>
              <w:rFonts w:ascii="Cambria Math" w:eastAsia="Times New Roman" w:hAnsi="Cambria Math"/>
              <w:sz w:val="24"/>
              <w:szCs w:val="24"/>
            </w:rPr>
            <m:t xml:space="preserve">                                                                              (7)</m:t>
          </m:r>
        </m:oMath>
      </m:oMathPara>
    </w:p>
    <w:p w:rsidR="00444721" w:rsidRDefault="00444721" w:rsidP="00444721">
      <w:pPr>
        <w:spacing w:after="0" w:line="240" w:lineRule="auto"/>
        <w:jc w:val="both"/>
        <w:rPr>
          <w:rFonts w:ascii="Times New Roman" w:eastAsia="Times New Roman" w:hAnsi="Times New Roman"/>
          <w:sz w:val="24"/>
          <w:szCs w:val="24"/>
        </w:rPr>
      </w:pPr>
    </w:p>
    <w:p w:rsidR="009561E6" w:rsidRDefault="002D2B28" w:rsidP="00973477">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Ou seja, a reação percentual da desigualdade (medida pela reação do índice de Gini) em relação à variação percentual de </w:t>
      </w:r>
      <w:r w:rsidRPr="00312286">
        <w:rPr>
          <w:rFonts w:ascii="Times New Roman" w:hAnsi="Times New Roman"/>
          <w:sz w:val="24"/>
          <w:szCs w:val="24"/>
        </w:rPr>
        <w:t>cada fonte de renda</w:t>
      </w:r>
      <w:r>
        <w:rPr>
          <w:rFonts w:ascii="Times New Roman" w:hAnsi="Times New Roman"/>
          <w:sz w:val="24"/>
          <w:szCs w:val="24"/>
        </w:rPr>
        <w:t xml:space="preserve"> pode ser obtida pela diferença entre a razão da parcela do Gini explicada por cada fonte e sua participação ou peso na renda total. </w:t>
      </w:r>
      <w:r>
        <w:rPr>
          <w:rFonts w:ascii="Times New Roman" w:eastAsia="Times New Roman" w:hAnsi="Times New Roman"/>
          <w:sz w:val="24"/>
          <w:szCs w:val="24"/>
        </w:rPr>
        <w:t>Na tabela 5, a seguir, são apresentados os valores desta elasticidade para cada fonte de renda nos anos de 1995 e 2006.</w:t>
      </w:r>
      <w:r w:rsidR="009561E6">
        <w:rPr>
          <w:rFonts w:ascii="Times New Roman" w:eastAsia="Times New Roman" w:hAnsi="Times New Roman"/>
          <w:sz w:val="24"/>
          <w:szCs w:val="24"/>
        </w:rPr>
        <w:t xml:space="preserve">                                                     </w:t>
      </w:r>
    </w:p>
    <w:p w:rsidR="00F37EFE" w:rsidRDefault="00F37EFE" w:rsidP="00CF4049">
      <w:pPr>
        <w:spacing w:after="0" w:line="240" w:lineRule="auto"/>
        <w:rPr>
          <w:rFonts w:ascii="Times New Roman" w:hAnsi="Times New Roman"/>
          <w:b/>
          <w:sz w:val="20"/>
          <w:szCs w:val="20"/>
        </w:rPr>
      </w:pPr>
    </w:p>
    <w:p w:rsidR="007969B9" w:rsidRPr="00973477" w:rsidRDefault="00F14E68" w:rsidP="00CF4049">
      <w:pPr>
        <w:spacing w:after="0" w:line="240" w:lineRule="auto"/>
        <w:rPr>
          <w:rFonts w:ascii="Times New Roman" w:hAnsi="Times New Roman"/>
          <w:b/>
          <w:sz w:val="24"/>
          <w:szCs w:val="20"/>
        </w:rPr>
      </w:pPr>
      <w:r w:rsidRPr="00973477">
        <w:rPr>
          <w:rFonts w:ascii="Times New Roman" w:hAnsi="Times New Roman"/>
          <w:b/>
          <w:sz w:val="24"/>
          <w:szCs w:val="20"/>
        </w:rPr>
        <w:t xml:space="preserve">Tabela 5 - </w:t>
      </w:r>
      <w:r w:rsidR="007969B9" w:rsidRPr="00973477">
        <w:rPr>
          <w:rFonts w:ascii="Times New Roman" w:hAnsi="Times New Roman"/>
          <w:b/>
          <w:sz w:val="24"/>
          <w:szCs w:val="20"/>
        </w:rPr>
        <w:t xml:space="preserve">Variação da desigualdade decorrente de variações das fontes de renda </w:t>
      </w:r>
      <w:r w:rsidR="003F1585" w:rsidRPr="00973477">
        <w:rPr>
          <w:rFonts w:ascii="Times New Roman" w:hAnsi="Times New Roman"/>
          <w:b/>
          <w:sz w:val="24"/>
          <w:szCs w:val="20"/>
        </w:rPr>
        <w:t xml:space="preserve">em 1% </w:t>
      </w:r>
      <w:r w:rsidR="007969B9" w:rsidRPr="00973477">
        <w:rPr>
          <w:rFonts w:ascii="Times New Roman" w:hAnsi="Times New Roman"/>
          <w:b/>
          <w:sz w:val="24"/>
          <w:szCs w:val="20"/>
        </w:rPr>
        <w:t>–</w:t>
      </w:r>
    </w:p>
    <w:p w:rsidR="00CF4049" w:rsidRPr="00973477" w:rsidRDefault="00CF4049" w:rsidP="00CF4049">
      <w:pPr>
        <w:spacing w:after="0" w:line="240" w:lineRule="auto"/>
        <w:rPr>
          <w:rFonts w:ascii="Times New Roman" w:hAnsi="Times New Roman"/>
          <w:b/>
          <w:sz w:val="24"/>
          <w:szCs w:val="20"/>
        </w:rPr>
      </w:pPr>
      <w:r w:rsidRPr="00973477">
        <w:rPr>
          <w:rFonts w:ascii="Times New Roman" w:hAnsi="Times New Roman"/>
          <w:b/>
          <w:sz w:val="24"/>
          <w:szCs w:val="20"/>
        </w:rPr>
        <w:t>Elasticidades do Índice de Gini com respeito às fontes de renda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3260"/>
        <w:gridCol w:w="2977"/>
      </w:tblGrid>
      <w:tr w:rsidR="007969B9" w:rsidRPr="00973477" w:rsidTr="00973477">
        <w:tc>
          <w:tcPr>
            <w:tcW w:w="3227" w:type="dxa"/>
            <w:tcBorders>
              <w:left w:val="nil"/>
              <w:bottom w:val="nil"/>
            </w:tcBorders>
          </w:tcPr>
          <w:p w:rsidR="007969B9" w:rsidRPr="00973477" w:rsidRDefault="007969B9" w:rsidP="00E82DC1">
            <w:pPr>
              <w:spacing w:after="0" w:line="240" w:lineRule="auto"/>
              <w:rPr>
                <w:rFonts w:ascii="Times New Roman" w:hAnsi="Times New Roman"/>
                <w:b/>
                <w:sz w:val="24"/>
                <w:szCs w:val="20"/>
              </w:rPr>
            </w:pPr>
          </w:p>
        </w:tc>
        <w:tc>
          <w:tcPr>
            <w:tcW w:w="3260" w:type="dxa"/>
            <w:tcBorders>
              <w:bottom w:val="nil"/>
            </w:tcBorders>
            <w:vAlign w:val="bottom"/>
          </w:tcPr>
          <w:p w:rsidR="007969B9" w:rsidRPr="00973477" w:rsidRDefault="007969B9" w:rsidP="00E82DC1">
            <w:pPr>
              <w:spacing w:after="0" w:line="240" w:lineRule="auto"/>
              <w:jc w:val="center"/>
              <w:rPr>
                <w:rFonts w:ascii="Times New Roman" w:hAnsi="Times New Roman"/>
                <w:b/>
                <w:color w:val="000000"/>
                <w:sz w:val="24"/>
                <w:szCs w:val="20"/>
              </w:rPr>
            </w:pPr>
            <w:r w:rsidRPr="00973477">
              <w:rPr>
                <w:rFonts w:ascii="Times New Roman" w:hAnsi="Times New Roman"/>
                <w:b/>
                <w:color w:val="000000"/>
                <w:sz w:val="24"/>
                <w:szCs w:val="20"/>
              </w:rPr>
              <w:t>1995</w:t>
            </w:r>
          </w:p>
        </w:tc>
        <w:tc>
          <w:tcPr>
            <w:tcW w:w="2977" w:type="dxa"/>
            <w:tcBorders>
              <w:bottom w:val="nil"/>
              <w:right w:val="nil"/>
            </w:tcBorders>
          </w:tcPr>
          <w:p w:rsidR="007969B9" w:rsidRPr="00973477" w:rsidRDefault="007969B9" w:rsidP="00E82DC1">
            <w:pPr>
              <w:spacing w:after="0" w:line="240" w:lineRule="auto"/>
              <w:jc w:val="center"/>
              <w:rPr>
                <w:rFonts w:ascii="Times New Roman" w:hAnsi="Times New Roman"/>
                <w:b/>
                <w:color w:val="000000"/>
                <w:sz w:val="24"/>
                <w:szCs w:val="20"/>
              </w:rPr>
            </w:pPr>
            <w:r w:rsidRPr="00973477">
              <w:rPr>
                <w:rFonts w:ascii="Times New Roman" w:hAnsi="Times New Roman"/>
                <w:b/>
                <w:color w:val="000000"/>
                <w:sz w:val="24"/>
                <w:szCs w:val="20"/>
              </w:rPr>
              <w:t>2006</w:t>
            </w:r>
          </w:p>
        </w:tc>
      </w:tr>
      <w:tr w:rsidR="00C5520C" w:rsidRPr="00973477" w:rsidTr="00973477">
        <w:trPr>
          <w:trHeight w:val="111"/>
        </w:trPr>
        <w:tc>
          <w:tcPr>
            <w:tcW w:w="3227" w:type="dxa"/>
            <w:tcBorders>
              <w:left w:val="nil"/>
              <w:bottom w:val="nil"/>
            </w:tcBorders>
          </w:tcPr>
          <w:p w:rsidR="00C5520C" w:rsidRPr="00973477" w:rsidRDefault="00C5520C" w:rsidP="00E82DC1">
            <w:pPr>
              <w:spacing w:after="0" w:line="240" w:lineRule="auto"/>
              <w:rPr>
                <w:rFonts w:ascii="Times New Roman" w:hAnsi="Times New Roman"/>
                <w:b/>
                <w:sz w:val="24"/>
                <w:szCs w:val="20"/>
              </w:rPr>
            </w:pPr>
            <w:r w:rsidRPr="00973477">
              <w:rPr>
                <w:rFonts w:ascii="Times New Roman" w:hAnsi="Times New Roman"/>
                <w:b/>
                <w:sz w:val="24"/>
                <w:szCs w:val="20"/>
              </w:rPr>
              <w:t>R. Trabalho da Agricultura</w:t>
            </w:r>
          </w:p>
        </w:tc>
        <w:tc>
          <w:tcPr>
            <w:tcW w:w="3260" w:type="dxa"/>
            <w:tcBorders>
              <w:bottom w:val="nil"/>
            </w:tcBorders>
            <w:vAlign w:val="bottom"/>
          </w:tcPr>
          <w:p w:rsidR="00C5520C" w:rsidRPr="00973477" w:rsidRDefault="00C5520C" w:rsidP="00E82DC1">
            <w:pPr>
              <w:spacing w:after="0" w:line="240" w:lineRule="auto"/>
              <w:jc w:val="center"/>
              <w:rPr>
                <w:rFonts w:ascii="Times New Roman" w:hAnsi="Times New Roman"/>
                <w:color w:val="000000"/>
                <w:sz w:val="24"/>
                <w:szCs w:val="20"/>
              </w:rPr>
            </w:pPr>
            <w:r w:rsidRPr="00973477">
              <w:rPr>
                <w:rFonts w:ascii="Times New Roman" w:hAnsi="Times New Roman"/>
                <w:color w:val="000000"/>
                <w:sz w:val="24"/>
                <w:szCs w:val="20"/>
              </w:rPr>
              <w:t>-0,092</w:t>
            </w:r>
          </w:p>
        </w:tc>
        <w:tc>
          <w:tcPr>
            <w:tcW w:w="2977" w:type="dxa"/>
            <w:tcBorders>
              <w:bottom w:val="nil"/>
              <w:right w:val="nil"/>
            </w:tcBorders>
            <w:vAlign w:val="bottom"/>
          </w:tcPr>
          <w:p w:rsidR="00C5520C" w:rsidRPr="00973477" w:rsidRDefault="00C5520C" w:rsidP="00E82DC1">
            <w:pPr>
              <w:spacing w:after="0" w:line="240" w:lineRule="auto"/>
              <w:jc w:val="center"/>
              <w:rPr>
                <w:rFonts w:ascii="Times New Roman" w:hAnsi="Times New Roman"/>
                <w:color w:val="000000"/>
                <w:sz w:val="24"/>
              </w:rPr>
            </w:pPr>
            <w:r w:rsidRPr="00973477">
              <w:rPr>
                <w:rFonts w:ascii="Times New Roman" w:hAnsi="Times New Roman"/>
                <w:color w:val="000000"/>
                <w:sz w:val="24"/>
              </w:rPr>
              <w:t>-0,031</w:t>
            </w:r>
          </w:p>
        </w:tc>
      </w:tr>
      <w:tr w:rsidR="00C5520C" w:rsidRPr="00973477" w:rsidTr="00973477">
        <w:tc>
          <w:tcPr>
            <w:tcW w:w="3227" w:type="dxa"/>
            <w:tcBorders>
              <w:top w:val="nil"/>
              <w:left w:val="nil"/>
              <w:bottom w:val="nil"/>
            </w:tcBorders>
          </w:tcPr>
          <w:p w:rsidR="00C5520C" w:rsidRPr="00973477" w:rsidRDefault="00C5520C" w:rsidP="00E82DC1">
            <w:pPr>
              <w:spacing w:after="0" w:line="240" w:lineRule="auto"/>
              <w:rPr>
                <w:rFonts w:ascii="Times New Roman" w:hAnsi="Times New Roman"/>
                <w:b/>
                <w:sz w:val="24"/>
                <w:szCs w:val="20"/>
              </w:rPr>
            </w:pPr>
            <w:r w:rsidRPr="00973477">
              <w:rPr>
                <w:rFonts w:ascii="Times New Roman" w:hAnsi="Times New Roman"/>
                <w:b/>
                <w:sz w:val="24"/>
                <w:szCs w:val="20"/>
              </w:rPr>
              <w:t>R. Trabalho da Indústria</w:t>
            </w:r>
          </w:p>
        </w:tc>
        <w:tc>
          <w:tcPr>
            <w:tcW w:w="3260" w:type="dxa"/>
            <w:tcBorders>
              <w:top w:val="nil"/>
              <w:bottom w:val="nil"/>
            </w:tcBorders>
            <w:vAlign w:val="bottom"/>
          </w:tcPr>
          <w:p w:rsidR="00C5520C" w:rsidRPr="00973477" w:rsidRDefault="00C5520C" w:rsidP="00E82DC1">
            <w:pPr>
              <w:spacing w:after="0" w:line="240" w:lineRule="auto"/>
              <w:jc w:val="center"/>
              <w:rPr>
                <w:rFonts w:ascii="Times New Roman" w:hAnsi="Times New Roman"/>
                <w:color w:val="000000"/>
                <w:sz w:val="24"/>
                <w:szCs w:val="20"/>
              </w:rPr>
            </w:pPr>
            <w:r w:rsidRPr="00973477">
              <w:rPr>
                <w:rFonts w:ascii="Times New Roman" w:hAnsi="Times New Roman"/>
                <w:color w:val="000000"/>
                <w:sz w:val="24"/>
                <w:szCs w:val="20"/>
              </w:rPr>
              <w:t>0,055</w:t>
            </w:r>
          </w:p>
        </w:tc>
        <w:tc>
          <w:tcPr>
            <w:tcW w:w="2977" w:type="dxa"/>
            <w:tcBorders>
              <w:top w:val="nil"/>
              <w:bottom w:val="nil"/>
              <w:right w:val="nil"/>
            </w:tcBorders>
            <w:vAlign w:val="bottom"/>
          </w:tcPr>
          <w:p w:rsidR="00C5520C" w:rsidRPr="00973477" w:rsidRDefault="00C5520C" w:rsidP="00E82DC1">
            <w:pPr>
              <w:spacing w:after="0" w:line="240" w:lineRule="auto"/>
              <w:jc w:val="center"/>
              <w:rPr>
                <w:rFonts w:ascii="Times New Roman" w:hAnsi="Times New Roman"/>
                <w:color w:val="000000"/>
                <w:sz w:val="24"/>
              </w:rPr>
            </w:pPr>
            <w:r w:rsidRPr="00973477">
              <w:rPr>
                <w:rFonts w:ascii="Times New Roman" w:hAnsi="Times New Roman"/>
                <w:color w:val="000000"/>
                <w:sz w:val="24"/>
              </w:rPr>
              <w:t>0,027</w:t>
            </w:r>
          </w:p>
        </w:tc>
      </w:tr>
      <w:tr w:rsidR="00C5520C" w:rsidRPr="00973477" w:rsidTr="00973477">
        <w:tc>
          <w:tcPr>
            <w:tcW w:w="3227" w:type="dxa"/>
            <w:tcBorders>
              <w:top w:val="nil"/>
              <w:left w:val="nil"/>
              <w:bottom w:val="nil"/>
            </w:tcBorders>
          </w:tcPr>
          <w:p w:rsidR="00C5520C" w:rsidRPr="00973477" w:rsidRDefault="00C5520C" w:rsidP="00E82DC1">
            <w:pPr>
              <w:spacing w:after="0" w:line="240" w:lineRule="auto"/>
              <w:rPr>
                <w:rFonts w:ascii="Times New Roman" w:hAnsi="Times New Roman"/>
                <w:b/>
                <w:sz w:val="24"/>
                <w:szCs w:val="20"/>
              </w:rPr>
            </w:pPr>
            <w:r w:rsidRPr="00973477">
              <w:rPr>
                <w:rFonts w:ascii="Times New Roman" w:hAnsi="Times New Roman"/>
                <w:b/>
                <w:sz w:val="24"/>
                <w:szCs w:val="20"/>
              </w:rPr>
              <w:t>R. Trabalho dos Serviços</w:t>
            </w:r>
          </w:p>
        </w:tc>
        <w:tc>
          <w:tcPr>
            <w:tcW w:w="3260" w:type="dxa"/>
            <w:tcBorders>
              <w:top w:val="nil"/>
              <w:bottom w:val="nil"/>
            </w:tcBorders>
            <w:vAlign w:val="bottom"/>
          </w:tcPr>
          <w:p w:rsidR="00C5520C" w:rsidRPr="00973477" w:rsidRDefault="00C5520C" w:rsidP="00E82DC1">
            <w:pPr>
              <w:spacing w:after="0" w:line="240" w:lineRule="auto"/>
              <w:jc w:val="center"/>
              <w:rPr>
                <w:rFonts w:ascii="Times New Roman" w:hAnsi="Times New Roman"/>
                <w:color w:val="000000"/>
                <w:sz w:val="24"/>
                <w:szCs w:val="20"/>
              </w:rPr>
            </w:pPr>
            <w:r w:rsidRPr="00973477">
              <w:rPr>
                <w:rFonts w:ascii="Times New Roman" w:hAnsi="Times New Roman"/>
                <w:color w:val="000000"/>
                <w:sz w:val="24"/>
                <w:szCs w:val="20"/>
              </w:rPr>
              <w:t>0,041</w:t>
            </w:r>
          </w:p>
        </w:tc>
        <w:tc>
          <w:tcPr>
            <w:tcW w:w="2977" w:type="dxa"/>
            <w:tcBorders>
              <w:top w:val="nil"/>
              <w:bottom w:val="nil"/>
              <w:right w:val="nil"/>
            </w:tcBorders>
            <w:vAlign w:val="bottom"/>
          </w:tcPr>
          <w:p w:rsidR="00C5520C" w:rsidRPr="00973477" w:rsidRDefault="00C5520C" w:rsidP="00E82DC1">
            <w:pPr>
              <w:spacing w:after="0" w:line="240" w:lineRule="auto"/>
              <w:jc w:val="center"/>
              <w:rPr>
                <w:rFonts w:ascii="Times New Roman" w:hAnsi="Times New Roman"/>
                <w:color w:val="000000"/>
                <w:sz w:val="24"/>
              </w:rPr>
            </w:pPr>
            <w:r w:rsidRPr="00973477">
              <w:rPr>
                <w:rFonts w:ascii="Times New Roman" w:hAnsi="Times New Roman"/>
                <w:color w:val="000000"/>
                <w:sz w:val="24"/>
              </w:rPr>
              <w:t>0,034</w:t>
            </w:r>
          </w:p>
        </w:tc>
      </w:tr>
      <w:tr w:rsidR="00C5520C" w:rsidRPr="00973477" w:rsidTr="00973477">
        <w:tc>
          <w:tcPr>
            <w:tcW w:w="3227" w:type="dxa"/>
            <w:tcBorders>
              <w:top w:val="nil"/>
              <w:left w:val="nil"/>
              <w:bottom w:val="nil"/>
            </w:tcBorders>
          </w:tcPr>
          <w:p w:rsidR="00C5520C" w:rsidRPr="00973477" w:rsidRDefault="00C5520C" w:rsidP="00E82DC1">
            <w:pPr>
              <w:spacing w:after="0" w:line="240" w:lineRule="auto"/>
              <w:rPr>
                <w:rFonts w:ascii="Times New Roman" w:hAnsi="Times New Roman"/>
                <w:b/>
                <w:sz w:val="24"/>
                <w:szCs w:val="20"/>
              </w:rPr>
            </w:pPr>
            <w:r w:rsidRPr="00973477">
              <w:rPr>
                <w:rFonts w:ascii="Times New Roman" w:hAnsi="Times New Roman"/>
                <w:b/>
                <w:sz w:val="24"/>
                <w:szCs w:val="20"/>
              </w:rPr>
              <w:t>R. Trabalho da Ad. Pública</w:t>
            </w:r>
          </w:p>
        </w:tc>
        <w:tc>
          <w:tcPr>
            <w:tcW w:w="3260" w:type="dxa"/>
            <w:tcBorders>
              <w:top w:val="nil"/>
              <w:bottom w:val="nil"/>
            </w:tcBorders>
            <w:vAlign w:val="bottom"/>
          </w:tcPr>
          <w:p w:rsidR="00C5520C" w:rsidRPr="00973477" w:rsidRDefault="00C5520C" w:rsidP="00E82DC1">
            <w:pPr>
              <w:spacing w:after="0" w:line="240" w:lineRule="auto"/>
              <w:jc w:val="center"/>
              <w:rPr>
                <w:rFonts w:ascii="Times New Roman" w:hAnsi="Times New Roman"/>
                <w:color w:val="000000"/>
                <w:sz w:val="24"/>
                <w:szCs w:val="20"/>
              </w:rPr>
            </w:pPr>
            <w:r w:rsidRPr="00973477">
              <w:rPr>
                <w:rFonts w:ascii="Times New Roman" w:hAnsi="Times New Roman"/>
                <w:color w:val="000000"/>
                <w:sz w:val="24"/>
                <w:szCs w:val="20"/>
              </w:rPr>
              <w:t>0,029</w:t>
            </w:r>
          </w:p>
        </w:tc>
        <w:tc>
          <w:tcPr>
            <w:tcW w:w="2977" w:type="dxa"/>
            <w:tcBorders>
              <w:top w:val="nil"/>
              <w:bottom w:val="nil"/>
              <w:right w:val="nil"/>
            </w:tcBorders>
            <w:vAlign w:val="bottom"/>
          </w:tcPr>
          <w:p w:rsidR="00C5520C" w:rsidRPr="00973477" w:rsidRDefault="00C5520C" w:rsidP="00E82DC1">
            <w:pPr>
              <w:spacing w:after="0" w:line="240" w:lineRule="auto"/>
              <w:jc w:val="center"/>
              <w:rPr>
                <w:rFonts w:ascii="Times New Roman" w:hAnsi="Times New Roman"/>
                <w:color w:val="000000"/>
                <w:sz w:val="24"/>
              </w:rPr>
            </w:pPr>
            <w:r w:rsidRPr="00973477">
              <w:rPr>
                <w:rFonts w:ascii="Times New Roman" w:hAnsi="Times New Roman"/>
                <w:color w:val="000000"/>
                <w:sz w:val="24"/>
              </w:rPr>
              <w:t>0,006</w:t>
            </w:r>
          </w:p>
        </w:tc>
      </w:tr>
      <w:tr w:rsidR="00C5520C" w:rsidRPr="00973477" w:rsidTr="00973477">
        <w:tc>
          <w:tcPr>
            <w:tcW w:w="3227" w:type="dxa"/>
            <w:tcBorders>
              <w:top w:val="nil"/>
              <w:left w:val="nil"/>
              <w:bottom w:val="nil"/>
            </w:tcBorders>
          </w:tcPr>
          <w:p w:rsidR="00C5520C" w:rsidRPr="00973477" w:rsidRDefault="00C5520C" w:rsidP="00E82DC1">
            <w:pPr>
              <w:spacing w:after="0" w:line="240" w:lineRule="auto"/>
              <w:rPr>
                <w:rFonts w:ascii="Times New Roman" w:hAnsi="Times New Roman"/>
                <w:b/>
                <w:sz w:val="24"/>
                <w:szCs w:val="20"/>
              </w:rPr>
            </w:pPr>
            <w:r w:rsidRPr="00973477">
              <w:rPr>
                <w:rFonts w:ascii="Times New Roman" w:hAnsi="Times New Roman"/>
                <w:b/>
                <w:sz w:val="24"/>
                <w:szCs w:val="20"/>
              </w:rPr>
              <w:t>Aposentadorias e Pensões</w:t>
            </w:r>
          </w:p>
        </w:tc>
        <w:tc>
          <w:tcPr>
            <w:tcW w:w="3260" w:type="dxa"/>
            <w:tcBorders>
              <w:top w:val="nil"/>
              <w:bottom w:val="nil"/>
            </w:tcBorders>
            <w:vAlign w:val="bottom"/>
          </w:tcPr>
          <w:p w:rsidR="00C5520C" w:rsidRPr="00973477" w:rsidRDefault="00C5520C" w:rsidP="00E82DC1">
            <w:pPr>
              <w:spacing w:after="0" w:line="240" w:lineRule="auto"/>
              <w:jc w:val="center"/>
              <w:rPr>
                <w:rFonts w:ascii="Times New Roman" w:hAnsi="Times New Roman"/>
                <w:color w:val="000000"/>
                <w:sz w:val="24"/>
                <w:szCs w:val="20"/>
              </w:rPr>
            </w:pPr>
            <w:r w:rsidRPr="00973477">
              <w:rPr>
                <w:rFonts w:ascii="Times New Roman" w:hAnsi="Times New Roman"/>
                <w:color w:val="000000"/>
                <w:sz w:val="24"/>
                <w:szCs w:val="20"/>
              </w:rPr>
              <w:t>-0,036</w:t>
            </w:r>
          </w:p>
        </w:tc>
        <w:tc>
          <w:tcPr>
            <w:tcW w:w="2977" w:type="dxa"/>
            <w:tcBorders>
              <w:top w:val="nil"/>
              <w:bottom w:val="nil"/>
              <w:right w:val="nil"/>
            </w:tcBorders>
            <w:vAlign w:val="bottom"/>
          </w:tcPr>
          <w:p w:rsidR="00C5520C" w:rsidRPr="00973477" w:rsidRDefault="00C5520C" w:rsidP="00E82DC1">
            <w:pPr>
              <w:spacing w:after="0" w:line="240" w:lineRule="auto"/>
              <w:jc w:val="center"/>
              <w:rPr>
                <w:rFonts w:ascii="Times New Roman" w:hAnsi="Times New Roman"/>
                <w:color w:val="000000"/>
                <w:sz w:val="24"/>
              </w:rPr>
            </w:pPr>
            <w:r w:rsidRPr="00973477">
              <w:rPr>
                <w:rFonts w:ascii="Times New Roman" w:hAnsi="Times New Roman"/>
                <w:color w:val="000000"/>
                <w:sz w:val="24"/>
              </w:rPr>
              <w:t>-0,011</w:t>
            </w:r>
          </w:p>
        </w:tc>
      </w:tr>
      <w:tr w:rsidR="00C5520C" w:rsidRPr="00973477" w:rsidTr="00973477">
        <w:tc>
          <w:tcPr>
            <w:tcW w:w="3227" w:type="dxa"/>
            <w:tcBorders>
              <w:top w:val="nil"/>
              <w:left w:val="nil"/>
              <w:bottom w:val="nil"/>
            </w:tcBorders>
          </w:tcPr>
          <w:p w:rsidR="00C5520C" w:rsidRPr="00973477" w:rsidRDefault="00C5520C" w:rsidP="00E82DC1">
            <w:pPr>
              <w:spacing w:after="0" w:line="240" w:lineRule="auto"/>
              <w:rPr>
                <w:rFonts w:ascii="Times New Roman" w:hAnsi="Times New Roman"/>
                <w:b/>
                <w:sz w:val="24"/>
                <w:szCs w:val="20"/>
              </w:rPr>
            </w:pPr>
            <w:r w:rsidRPr="00973477">
              <w:rPr>
                <w:rFonts w:ascii="Times New Roman" w:hAnsi="Times New Roman"/>
                <w:b/>
                <w:sz w:val="24"/>
                <w:szCs w:val="20"/>
              </w:rPr>
              <w:t>Aluguéis e Outras rendas</w:t>
            </w:r>
          </w:p>
        </w:tc>
        <w:tc>
          <w:tcPr>
            <w:tcW w:w="3260" w:type="dxa"/>
            <w:tcBorders>
              <w:top w:val="nil"/>
              <w:bottom w:val="nil"/>
            </w:tcBorders>
            <w:vAlign w:val="bottom"/>
          </w:tcPr>
          <w:p w:rsidR="00C5520C" w:rsidRPr="00973477" w:rsidRDefault="00C5520C" w:rsidP="00E82DC1">
            <w:pPr>
              <w:spacing w:after="0" w:line="240" w:lineRule="auto"/>
              <w:jc w:val="center"/>
              <w:rPr>
                <w:rFonts w:ascii="Times New Roman" w:hAnsi="Times New Roman"/>
                <w:color w:val="000000"/>
                <w:sz w:val="24"/>
                <w:szCs w:val="20"/>
              </w:rPr>
            </w:pPr>
            <w:r w:rsidRPr="00973477">
              <w:rPr>
                <w:rFonts w:ascii="Times New Roman" w:hAnsi="Times New Roman"/>
                <w:color w:val="000000"/>
                <w:sz w:val="24"/>
                <w:szCs w:val="20"/>
              </w:rPr>
              <w:t>0,002</w:t>
            </w:r>
          </w:p>
        </w:tc>
        <w:tc>
          <w:tcPr>
            <w:tcW w:w="2977" w:type="dxa"/>
            <w:tcBorders>
              <w:top w:val="nil"/>
              <w:bottom w:val="nil"/>
              <w:right w:val="nil"/>
            </w:tcBorders>
            <w:vAlign w:val="bottom"/>
          </w:tcPr>
          <w:p w:rsidR="00C5520C" w:rsidRPr="00973477" w:rsidRDefault="00C5520C" w:rsidP="00E82DC1">
            <w:pPr>
              <w:spacing w:after="0" w:line="240" w:lineRule="auto"/>
              <w:jc w:val="center"/>
              <w:rPr>
                <w:rFonts w:ascii="Times New Roman" w:hAnsi="Times New Roman"/>
                <w:color w:val="000000"/>
                <w:sz w:val="24"/>
              </w:rPr>
            </w:pPr>
            <w:r w:rsidRPr="00973477">
              <w:rPr>
                <w:rFonts w:ascii="Times New Roman" w:hAnsi="Times New Roman"/>
                <w:color w:val="000000"/>
                <w:sz w:val="24"/>
              </w:rPr>
              <w:t>0,004</w:t>
            </w:r>
          </w:p>
        </w:tc>
      </w:tr>
      <w:tr w:rsidR="00C5520C" w:rsidRPr="00973477" w:rsidTr="00973477">
        <w:tc>
          <w:tcPr>
            <w:tcW w:w="3227" w:type="dxa"/>
            <w:tcBorders>
              <w:top w:val="nil"/>
              <w:left w:val="nil"/>
              <w:bottom w:val="nil"/>
            </w:tcBorders>
          </w:tcPr>
          <w:p w:rsidR="00C5520C" w:rsidRPr="00973477" w:rsidRDefault="00C5520C" w:rsidP="00E82DC1">
            <w:pPr>
              <w:spacing w:after="0" w:line="240" w:lineRule="auto"/>
              <w:rPr>
                <w:rFonts w:ascii="Times New Roman" w:hAnsi="Times New Roman"/>
                <w:b/>
                <w:sz w:val="24"/>
                <w:szCs w:val="20"/>
              </w:rPr>
            </w:pPr>
            <w:r w:rsidRPr="00973477">
              <w:rPr>
                <w:rFonts w:ascii="Times New Roman" w:hAnsi="Times New Roman"/>
                <w:b/>
                <w:sz w:val="24"/>
                <w:szCs w:val="20"/>
              </w:rPr>
              <w:t>Renda do Capital</w:t>
            </w:r>
          </w:p>
        </w:tc>
        <w:tc>
          <w:tcPr>
            <w:tcW w:w="3260" w:type="dxa"/>
            <w:tcBorders>
              <w:top w:val="nil"/>
              <w:bottom w:val="nil"/>
            </w:tcBorders>
            <w:vAlign w:val="bottom"/>
          </w:tcPr>
          <w:p w:rsidR="00C5520C" w:rsidRPr="00973477" w:rsidRDefault="00C5520C" w:rsidP="00E82DC1">
            <w:pPr>
              <w:spacing w:after="0" w:line="240" w:lineRule="auto"/>
              <w:jc w:val="center"/>
              <w:rPr>
                <w:rFonts w:ascii="Times New Roman" w:hAnsi="Times New Roman"/>
                <w:color w:val="000000"/>
                <w:sz w:val="24"/>
                <w:szCs w:val="20"/>
              </w:rPr>
            </w:pPr>
            <w:r w:rsidRPr="00973477">
              <w:rPr>
                <w:rFonts w:ascii="Times New Roman" w:hAnsi="Times New Roman"/>
                <w:color w:val="000000"/>
                <w:sz w:val="24"/>
                <w:szCs w:val="20"/>
              </w:rPr>
              <w:t>0,001</w:t>
            </w:r>
          </w:p>
        </w:tc>
        <w:tc>
          <w:tcPr>
            <w:tcW w:w="2977" w:type="dxa"/>
            <w:tcBorders>
              <w:top w:val="nil"/>
              <w:bottom w:val="nil"/>
              <w:right w:val="nil"/>
            </w:tcBorders>
            <w:vAlign w:val="bottom"/>
          </w:tcPr>
          <w:p w:rsidR="00C5520C" w:rsidRPr="00973477" w:rsidRDefault="00C5520C" w:rsidP="00E82DC1">
            <w:pPr>
              <w:spacing w:after="0" w:line="240" w:lineRule="auto"/>
              <w:jc w:val="center"/>
              <w:rPr>
                <w:rFonts w:ascii="Times New Roman" w:hAnsi="Times New Roman"/>
                <w:color w:val="000000"/>
                <w:sz w:val="24"/>
              </w:rPr>
            </w:pPr>
            <w:r w:rsidRPr="00973477">
              <w:rPr>
                <w:rFonts w:ascii="Times New Roman" w:hAnsi="Times New Roman"/>
                <w:color w:val="000000"/>
                <w:sz w:val="24"/>
              </w:rPr>
              <w:t>0,003</w:t>
            </w:r>
          </w:p>
        </w:tc>
      </w:tr>
      <w:tr w:rsidR="00C5520C" w:rsidRPr="00973477" w:rsidTr="00973477">
        <w:tc>
          <w:tcPr>
            <w:tcW w:w="3227" w:type="dxa"/>
            <w:tcBorders>
              <w:top w:val="nil"/>
              <w:left w:val="nil"/>
              <w:bottom w:val="nil"/>
            </w:tcBorders>
          </w:tcPr>
          <w:p w:rsidR="00C5520C" w:rsidRPr="00973477" w:rsidRDefault="00C5520C" w:rsidP="00E82DC1">
            <w:pPr>
              <w:spacing w:after="0" w:line="240" w:lineRule="auto"/>
              <w:rPr>
                <w:rFonts w:ascii="Times New Roman" w:hAnsi="Times New Roman"/>
                <w:b/>
                <w:sz w:val="24"/>
                <w:szCs w:val="20"/>
              </w:rPr>
            </w:pPr>
            <w:r w:rsidRPr="00973477">
              <w:rPr>
                <w:rFonts w:ascii="Times New Roman" w:hAnsi="Times New Roman"/>
                <w:b/>
                <w:sz w:val="24"/>
                <w:szCs w:val="20"/>
              </w:rPr>
              <w:t>Bolsa Família</w:t>
            </w:r>
          </w:p>
        </w:tc>
        <w:tc>
          <w:tcPr>
            <w:tcW w:w="3260" w:type="dxa"/>
            <w:tcBorders>
              <w:top w:val="nil"/>
              <w:bottom w:val="nil"/>
            </w:tcBorders>
            <w:vAlign w:val="bottom"/>
          </w:tcPr>
          <w:p w:rsidR="00C5520C" w:rsidRPr="00973477" w:rsidRDefault="00C5520C" w:rsidP="00E82DC1">
            <w:pPr>
              <w:spacing w:after="0" w:line="240" w:lineRule="auto"/>
              <w:jc w:val="center"/>
              <w:rPr>
                <w:rFonts w:ascii="Times New Roman" w:hAnsi="Times New Roman"/>
                <w:color w:val="000000"/>
                <w:sz w:val="24"/>
                <w:szCs w:val="20"/>
              </w:rPr>
            </w:pPr>
            <w:r w:rsidRPr="00973477">
              <w:rPr>
                <w:rFonts w:ascii="Times New Roman" w:hAnsi="Times New Roman"/>
                <w:color w:val="000000"/>
                <w:sz w:val="24"/>
                <w:szCs w:val="20"/>
              </w:rPr>
              <w:t>-</w:t>
            </w:r>
          </w:p>
        </w:tc>
        <w:tc>
          <w:tcPr>
            <w:tcW w:w="2977" w:type="dxa"/>
            <w:tcBorders>
              <w:top w:val="nil"/>
              <w:bottom w:val="nil"/>
              <w:right w:val="nil"/>
            </w:tcBorders>
            <w:vAlign w:val="bottom"/>
          </w:tcPr>
          <w:p w:rsidR="00C5520C" w:rsidRPr="00973477" w:rsidRDefault="00C5520C" w:rsidP="00E82DC1">
            <w:pPr>
              <w:spacing w:after="0" w:line="240" w:lineRule="auto"/>
              <w:jc w:val="center"/>
              <w:rPr>
                <w:rFonts w:ascii="Times New Roman" w:hAnsi="Times New Roman"/>
                <w:color w:val="000000"/>
                <w:sz w:val="24"/>
              </w:rPr>
            </w:pPr>
            <w:r w:rsidRPr="00973477">
              <w:rPr>
                <w:rFonts w:ascii="Times New Roman" w:hAnsi="Times New Roman"/>
                <w:color w:val="000000"/>
                <w:sz w:val="24"/>
              </w:rPr>
              <w:t>-0,020</w:t>
            </w:r>
          </w:p>
        </w:tc>
      </w:tr>
      <w:tr w:rsidR="00C5520C" w:rsidRPr="00973477" w:rsidTr="00973477">
        <w:tc>
          <w:tcPr>
            <w:tcW w:w="3227" w:type="dxa"/>
            <w:tcBorders>
              <w:top w:val="nil"/>
              <w:left w:val="nil"/>
            </w:tcBorders>
          </w:tcPr>
          <w:p w:rsidR="00C5520C" w:rsidRPr="00973477" w:rsidRDefault="00C5520C" w:rsidP="00E82DC1">
            <w:pPr>
              <w:spacing w:after="0" w:line="240" w:lineRule="auto"/>
              <w:rPr>
                <w:rFonts w:ascii="Times New Roman" w:hAnsi="Times New Roman"/>
                <w:b/>
                <w:sz w:val="24"/>
                <w:szCs w:val="20"/>
              </w:rPr>
            </w:pPr>
            <w:r w:rsidRPr="00973477">
              <w:rPr>
                <w:rFonts w:ascii="Times New Roman" w:hAnsi="Times New Roman"/>
                <w:b/>
                <w:sz w:val="24"/>
                <w:szCs w:val="20"/>
              </w:rPr>
              <w:t>BPC</w:t>
            </w:r>
          </w:p>
        </w:tc>
        <w:tc>
          <w:tcPr>
            <w:tcW w:w="3260" w:type="dxa"/>
            <w:tcBorders>
              <w:top w:val="nil"/>
            </w:tcBorders>
            <w:vAlign w:val="bottom"/>
          </w:tcPr>
          <w:p w:rsidR="00C5520C" w:rsidRPr="00973477" w:rsidRDefault="00C5520C" w:rsidP="00E82DC1">
            <w:pPr>
              <w:spacing w:after="0" w:line="240" w:lineRule="auto"/>
              <w:jc w:val="center"/>
              <w:rPr>
                <w:rFonts w:ascii="Times New Roman" w:hAnsi="Times New Roman"/>
                <w:color w:val="000000"/>
                <w:sz w:val="24"/>
                <w:szCs w:val="20"/>
              </w:rPr>
            </w:pPr>
            <w:r w:rsidRPr="00973477">
              <w:rPr>
                <w:rFonts w:ascii="Times New Roman" w:hAnsi="Times New Roman"/>
                <w:color w:val="000000"/>
                <w:sz w:val="24"/>
                <w:szCs w:val="20"/>
              </w:rPr>
              <w:t>-</w:t>
            </w:r>
          </w:p>
        </w:tc>
        <w:tc>
          <w:tcPr>
            <w:tcW w:w="2977" w:type="dxa"/>
            <w:tcBorders>
              <w:top w:val="nil"/>
              <w:right w:val="nil"/>
            </w:tcBorders>
            <w:vAlign w:val="bottom"/>
          </w:tcPr>
          <w:p w:rsidR="00C5520C" w:rsidRPr="00973477" w:rsidRDefault="00C5520C" w:rsidP="00E82DC1">
            <w:pPr>
              <w:spacing w:after="0" w:line="240" w:lineRule="auto"/>
              <w:jc w:val="center"/>
              <w:rPr>
                <w:rFonts w:ascii="Times New Roman" w:hAnsi="Times New Roman"/>
                <w:color w:val="000000"/>
                <w:sz w:val="24"/>
              </w:rPr>
            </w:pPr>
            <w:r w:rsidRPr="00973477">
              <w:rPr>
                <w:rFonts w:ascii="Times New Roman" w:hAnsi="Times New Roman"/>
                <w:color w:val="000000"/>
                <w:sz w:val="24"/>
              </w:rPr>
              <w:t>-0,012</w:t>
            </w:r>
          </w:p>
        </w:tc>
      </w:tr>
      <w:tr w:rsidR="007969B9" w:rsidRPr="00973477" w:rsidTr="00973477">
        <w:tc>
          <w:tcPr>
            <w:tcW w:w="3227" w:type="dxa"/>
            <w:tcBorders>
              <w:left w:val="nil"/>
            </w:tcBorders>
          </w:tcPr>
          <w:p w:rsidR="007969B9" w:rsidRPr="00973477" w:rsidRDefault="007969B9" w:rsidP="00E82DC1">
            <w:pPr>
              <w:spacing w:after="0" w:line="240" w:lineRule="auto"/>
              <w:rPr>
                <w:rFonts w:ascii="Times New Roman" w:hAnsi="Times New Roman"/>
                <w:b/>
                <w:sz w:val="24"/>
                <w:szCs w:val="20"/>
              </w:rPr>
            </w:pPr>
            <w:r w:rsidRPr="00973477">
              <w:rPr>
                <w:rFonts w:ascii="Times New Roman" w:hAnsi="Times New Roman"/>
                <w:b/>
                <w:sz w:val="24"/>
                <w:szCs w:val="20"/>
              </w:rPr>
              <w:t xml:space="preserve">Total </w:t>
            </w:r>
          </w:p>
        </w:tc>
        <w:tc>
          <w:tcPr>
            <w:tcW w:w="3260" w:type="dxa"/>
            <w:vAlign w:val="bottom"/>
          </w:tcPr>
          <w:p w:rsidR="007969B9" w:rsidRPr="00973477" w:rsidRDefault="007969B9" w:rsidP="00E82DC1">
            <w:pPr>
              <w:spacing w:after="0" w:line="240" w:lineRule="auto"/>
              <w:jc w:val="center"/>
              <w:rPr>
                <w:rFonts w:ascii="Times New Roman" w:hAnsi="Times New Roman"/>
                <w:color w:val="000000"/>
                <w:sz w:val="24"/>
                <w:szCs w:val="20"/>
              </w:rPr>
            </w:pPr>
            <w:r w:rsidRPr="00973477">
              <w:rPr>
                <w:rFonts w:ascii="Times New Roman" w:hAnsi="Times New Roman"/>
                <w:color w:val="000000"/>
                <w:sz w:val="24"/>
                <w:szCs w:val="20"/>
              </w:rPr>
              <w:t>100</w:t>
            </w:r>
          </w:p>
        </w:tc>
        <w:tc>
          <w:tcPr>
            <w:tcW w:w="2977" w:type="dxa"/>
            <w:tcBorders>
              <w:right w:val="nil"/>
            </w:tcBorders>
          </w:tcPr>
          <w:p w:rsidR="007969B9" w:rsidRPr="00973477" w:rsidRDefault="007969B9" w:rsidP="00E82DC1">
            <w:pPr>
              <w:spacing w:after="0" w:line="240" w:lineRule="auto"/>
              <w:jc w:val="center"/>
              <w:rPr>
                <w:rFonts w:ascii="Times New Roman" w:hAnsi="Times New Roman"/>
                <w:color w:val="000000"/>
                <w:sz w:val="24"/>
                <w:szCs w:val="20"/>
              </w:rPr>
            </w:pPr>
            <w:r w:rsidRPr="00973477">
              <w:rPr>
                <w:rFonts w:ascii="Times New Roman" w:hAnsi="Times New Roman"/>
                <w:color w:val="000000"/>
                <w:sz w:val="24"/>
                <w:szCs w:val="20"/>
              </w:rPr>
              <w:t>100</w:t>
            </w:r>
          </w:p>
        </w:tc>
      </w:tr>
    </w:tbl>
    <w:p w:rsidR="00CF4049" w:rsidRPr="00973477" w:rsidRDefault="00CF4049" w:rsidP="00CF4049">
      <w:pPr>
        <w:rPr>
          <w:rFonts w:ascii="Times New Roman" w:hAnsi="Times New Roman"/>
          <w:sz w:val="24"/>
          <w:szCs w:val="20"/>
        </w:rPr>
      </w:pPr>
      <w:r w:rsidRPr="00973477">
        <w:rPr>
          <w:rFonts w:ascii="Times New Roman" w:hAnsi="Times New Roman"/>
          <w:sz w:val="24"/>
          <w:szCs w:val="20"/>
        </w:rPr>
        <w:t xml:space="preserve">Fonte: estimativas do autor a partir dos microdados da PNAD-IBGE. </w:t>
      </w:r>
    </w:p>
    <w:p w:rsidR="00ED20F7" w:rsidRDefault="002D2B28" w:rsidP="00973477">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952D46">
        <w:rPr>
          <w:rFonts w:ascii="Times New Roman" w:eastAsia="Times New Roman" w:hAnsi="Times New Roman"/>
          <w:color w:val="000000"/>
          <w:sz w:val="24"/>
          <w:szCs w:val="24"/>
        </w:rPr>
        <w:t xml:space="preserve">Evidentemente, os valores positivos ou negativos refletem </w:t>
      </w:r>
      <w:r w:rsidR="00AA1DD7">
        <w:rPr>
          <w:rFonts w:ascii="Times New Roman" w:eastAsia="Times New Roman" w:hAnsi="Times New Roman"/>
          <w:color w:val="000000"/>
          <w:sz w:val="24"/>
          <w:szCs w:val="24"/>
        </w:rPr>
        <w:t xml:space="preserve">o </w:t>
      </w:r>
      <w:r w:rsidR="00952D46">
        <w:rPr>
          <w:rFonts w:ascii="Times New Roman" w:eastAsia="Times New Roman" w:hAnsi="Times New Roman"/>
          <w:color w:val="000000"/>
          <w:sz w:val="24"/>
          <w:szCs w:val="24"/>
        </w:rPr>
        <w:t xml:space="preserve">quanto mais progressiva (favor das unidades federativas pobres) ou regressiva (favor das unidades federativas ricas) era a distribuição de cada fonte de renda em cada ano em relação à distribuição da renda total </w:t>
      </w:r>
      <w:r w:rsidR="00952D46">
        <w:rPr>
          <w:rFonts w:ascii="Times New Roman" w:eastAsia="Times New Roman" w:hAnsi="Times New Roman"/>
          <w:i/>
          <w:color w:val="000000"/>
          <w:sz w:val="24"/>
          <w:szCs w:val="24"/>
        </w:rPr>
        <w:t>per capita</w:t>
      </w:r>
      <w:r w:rsidR="00952D46">
        <w:rPr>
          <w:rFonts w:ascii="Times New Roman" w:eastAsia="Times New Roman" w:hAnsi="Times New Roman"/>
          <w:color w:val="000000"/>
          <w:sz w:val="24"/>
          <w:szCs w:val="24"/>
        </w:rPr>
        <w:t xml:space="preserve"> entre as unidades federativas do país</w:t>
      </w:r>
      <w:r w:rsidR="00952D46">
        <w:rPr>
          <w:rStyle w:val="FootnoteReference"/>
          <w:rFonts w:ascii="Times New Roman" w:eastAsia="Times New Roman" w:hAnsi="Times New Roman"/>
          <w:color w:val="000000"/>
          <w:sz w:val="24"/>
          <w:szCs w:val="24"/>
        </w:rPr>
        <w:footnoteReference w:id="9"/>
      </w:r>
      <w:r w:rsidR="00952D46">
        <w:rPr>
          <w:rFonts w:ascii="Times New Roman" w:eastAsia="Times New Roman" w:hAnsi="Times New Roman"/>
          <w:color w:val="000000"/>
          <w:sz w:val="24"/>
          <w:szCs w:val="24"/>
        </w:rPr>
        <w:t>.</w:t>
      </w:r>
      <w:r w:rsidR="003F1585">
        <w:rPr>
          <w:rFonts w:ascii="Times New Roman" w:eastAsia="Times New Roman" w:hAnsi="Times New Roman"/>
          <w:color w:val="000000"/>
          <w:sz w:val="24"/>
          <w:szCs w:val="24"/>
        </w:rPr>
        <w:t xml:space="preserve"> Assim, das nove fontes de renda consideradas, apenas a renda do trabalho da agricultura, a renda das aposentadorias e pensões e as rendas dos programas sociais de transferências de renda apresentam elasticidades negativas, indicando redução da desigualdade regional diante de elevação destas rendas.</w:t>
      </w:r>
    </w:p>
    <w:p w:rsidR="003F1585" w:rsidRDefault="003F1585" w:rsidP="00973477">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AB5488">
        <w:rPr>
          <w:rFonts w:ascii="Times New Roman" w:eastAsia="Times New Roman" w:hAnsi="Times New Roman"/>
          <w:color w:val="000000"/>
          <w:sz w:val="24"/>
          <w:szCs w:val="24"/>
        </w:rPr>
        <w:t xml:space="preserve">Mais especificamente, mantidas as estruturas de participação das fontes de renda, uma elevação de 10% da renda do trabalho da agricultura estava associada a uma diminuição de 0,3% da desigualdade regional de renda </w:t>
      </w:r>
      <w:r w:rsidR="00AB5488">
        <w:rPr>
          <w:rFonts w:ascii="Times New Roman" w:eastAsia="Times New Roman" w:hAnsi="Times New Roman"/>
          <w:i/>
          <w:color w:val="000000"/>
          <w:sz w:val="24"/>
          <w:szCs w:val="24"/>
        </w:rPr>
        <w:t>per capita</w:t>
      </w:r>
      <w:r w:rsidR="00AB5488">
        <w:rPr>
          <w:rFonts w:ascii="Times New Roman" w:eastAsia="Times New Roman" w:hAnsi="Times New Roman"/>
          <w:color w:val="000000"/>
          <w:sz w:val="24"/>
          <w:szCs w:val="24"/>
        </w:rPr>
        <w:t xml:space="preserve"> no Brasil em 2006, um valor que era mais elevado, em 1995 (0,9%), o que reflete a maior concentração desta fonte no período vista acima. Os valores para a renda do trabalho dos demais setores são positivos, o que indica que elevações destes componentes estão associados à elevação da desigualdade, mas apresentam redução entre os dois anos. </w:t>
      </w:r>
    </w:p>
    <w:p w:rsidR="00BB6568" w:rsidRDefault="004E256C" w:rsidP="00973477">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Com respeito às demais fontes de renda, é interessante notar que, a despeito de não representarem mais de </w:t>
      </w:r>
      <w:r w:rsidR="00892EE0">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00892EE0">
        <w:rPr>
          <w:rFonts w:ascii="Times New Roman" w:eastAsia="Times New Roman" w:hAnsi="Times New Roman"/>
          <w:color w:val="000000"/>
          <w:sz w:val="24"/>
          <w:szCs w:val="24"/>
        </w:rPr>
        <w:t>da renda total,</w:t>
      </w:r>
      <w:r>
        <w:rPr>
          <w:rFonts w:ascii="Times New Roman" w:eastAsia="Times New Roman" w:hAnsi="Times New Roman"/>
          <w:color w:val="000000"/>
          <w:sz w:val="24"/>
          <w:szCs w:val="24"/>
        </w:rPr>
        <w:t xml:space="preserve"> as elasticidades calculadas para as fontes de renda dos programas sociais </w:t>
      </w:r>
      <w:r w:rsidR="00892EE0">
        <w:rPr>
          <w:rFonts w:ascii="Times New Roman" w:eastAsia="Times New Roman" w:hAnsi="Times New Roman"/>
          <w:color w:val="000000"/>
          <w:sz w:val="24"/>
          <w:szCs w:val="24"/>
        </w:rPr>
        <w:t xml:space="preserve">em 2006 (-0,02 para o BF e -0,012 para o BPC) </w:t>
      </w:r>
      <w:r>
        <w:rPr>
          <w:rFonts w:ascii="Times New Roman" w:eastAsia="Times New Roman" w:hAnsi="Times New Roman"/>
          <w:color w:val="000000"/>
          <w:sz w:val="24"/>
          <w:szCs w:val="24"/>
        </w:rPr>
        <w:t>não situavam-se muito distantes daquelas para os componentes de renda de mais importância relativa na renda total. Neste sentido, note-se que a elasticidade obtida para a fonte de renda associado ao programa Bolsa Família apresenta um valor mais elevado (valores absolutos) que aquele obtido para as rendas das aposentadorias e pensões, com participação em torno de 18% da renda total</w:t>
      </w:r>
      <w:r w:rsidR="00892EE0">
        <w:rPr>
          <w:rFonts w:ascii="Times New Roman" w:eastAsia="Times New Roman" w:hAnsi="Times New Roman"/>
          <w:color w:val="000000"/>
          <w:sz w:val="24"/>
          <w:szCs w:val="24"/>
        </w:rPr>
        <w:t xml:space="preserve">; para a renda do programa de Benefício de Prestação Continuada não </w:t>
      </w:r>
      <w:r w:rsidR="00BB6568">
        <w:rPr>
          <w:rFonts w:ascii="Times New Roman" w:eastAsia="Times New Roman" w:hAnsi="Times New Roman"/>
          <w:color w:val="000000"/>
          <w:sz w:val="24"/>
          <w:szCs w:val="24"/>
        </w:rPr>
        <w:t xml:space="preserve">havia </w:t>
      </w:r>
      <w:r w:rsidR="00892EE0">
        <w:rPr>
          <w:rFonts w:ascii="Times New Roman" w:eastAsia="Times New Roman" w:hAnsi="Times New Roman"/>
          <w:color w:val="000000"/>
          <w:sz w:val="24"/>
          <w:szCs w:val="24"/>
        </w:rPr>
        <w:t xml:space="preserve">diferença relevante </w:t>
      </w:r>
      <w:r w:rsidR="00BB6568">
        <w:rPr>
          <w:rFonts w:ascii="Times New Roman" w:eastAsia="Times New Roman" w:hAnsi="Times New Roman"/>
          <w:color w:val="000000"/>
          <w:sz w:val="24"/>
          <w:szCs w:val="24"/>
        </w:rPr>
        <w:t xml:space="preserve">no indicador </w:t>
      </w:r>
      <w:r w:rsidR="00892EE0">
        <w:rPr>
          <w:rFonts w:ascii="Times New Roman" w:eastAsia="Times New Roman" w:hAnsi="Times New Roman"/>
          <w:color w:val="000000"/>
          <w:sz w:val="24"/>
          <w:szCs w:val="24"/>
        </w:rPr>
        <w:t>com respeito à esta última fonte de renda</w:t>
      </w:r>
      <w:r>
        <w:rPr>
          <w:rFonts w:ascii="Times New Roman" w:eastAsia="Times New Roman" w:hAnsi="Times New Roman"/>
          <w:color w:val="000000"/>
          <w:sz w:val="24"/>
          <w:szCs w:val="24"/>
        </w:rPr>
        <w:t>.</w:t>
      </w:r>
      <w:r w:rsidR="00892EE0">
        <w:rPr>
          <w:rFonts w:ascii="Times New Roman" w:eastAsia="Times New Roman" w:hAnsi="Times New Roman"/>
          <w:color w:val="000000"/>
          <w:sz w:val="24"/>
          <w:szCs w:val="24"/>
        </w:rPr>
        <w:t xml:space="preserve"> </w:t>
      </w:r>
    </w:p>
    <w:p w:rsidR="00ED20F7" w:rsidRDefault="00BB6568" w:rsidP="00973477">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Exceto para a fonte de renda associada à indústria e, em menor grau, à agricultura, tais fontes de renda, em geral não são instrumentos diretos das políticas de desenvolvimento regional implementadas no Brasil. As evidências apresentadas na tabela 5, contudo, mostram que, no que diz respeito aos níveis de desigualdade regional de renda </w:t>
      </w:r>
      <w:r>
        <w:rPr>
          <w:rFonts w:ascii="Times New Roman" w:eastAsia="Times New Roman" w:hAnsi="Times New Roman"/>
          <w:i/>
          <w:color w:val="000000"/>
          <w:sz w:val="24"/>
          <w:szCs w:val="24"/>
        </w:rPr>
        <w:t>per capita</w:t>
      </w:r>
      <w:r>
        <w:rPr>
          <w:rFonts w:ascii="Times New Roman" w:eastAsia="Times New Roman" w:hAnsi="Times New Roman"/>
          <w:color w:val="000000"/>
          <w:sz w:val="24"/>
          <w:szCs w:val="24"/>
        </w:rPr>
        <w:t>, as diferentes fontes de renda estão longe de serem neutras. Em particular, os valores obtidos acima indicam que,</w:t>
      </w:r>
      <w:r w:rsidR="00892EE0">
        <w:rPr>
          <w:rFonts w:ascii="Times New Roman" w:eastAsia="Times New Roman" w:hAnsi="Times New Roman"/>
          <w:color w:val="000000"/>
          <w:sz w:val="24"/>
          <w:szCs w:val="24"/>
        </w:rPr>
        <w:t xml:space="preserve"> além de muitíssimo mais barato, as transferências de renda </w:t>
      </w:r>
      <w:r w:rsidR="00892EE0">
        <w:rPr>
          <w:rFonts w:ascii="Times New Roman" w:eastAsia="Times New Roman" w:hAnsi="Times New Roman"/>
          <w:color w:val="000000"/>
          <w:sz w:val="24"/>
          <w:szCs w:val="24"/>
        </w:rPr>
        <w:lastRenderedPageBreak/>
        <w:t xml:space="preserve">através do BF </w:t>
      </w:r>
      <w:r>
        <w:rPr>
          <w:rFonts w:ascii="Times New Roman" w:eastAsia="Times New Roman" w:hAnsi="Times New Roman"/>
          <w:color w:val="000000"/>
          <w:sz w:val="24"/>
          <w:szCs w:val="24"/>
        </w:rPr>
        <w:t>apareciam em 2006</w:t>
      </w:r>
      <w:r w:rsidR="00892EE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com maior eficácia</w:t>
      </w:r>
      <w:r w:rsidR="00892EE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no </w:t>
      </w:r>
      <w:r w:rsidR="00892EE0">
        <w:rPr>
          <w:rFonts w:ascii="Times New Roman" w:eastAsia="Times New Roman" w:hAnsi="Times New Roman"/>
          <w:color w:val="000000"/>
          <w:sz w:val="24"/>
          <w:szCs w:val="24"/>
        </w:rPr>
        <w:t xml:space="preserve">combate à desigualdade regional que as rendas das aposentadorias e pensões. </w:t>
      </w:r>
      <w:r>
        <w:rPr>
          <w:rFonts w:ascii="Times New Roman" w:eastAsia="Times New Roman" w:hAnsi="Times New Roman"/>
          <w:color w:val="000000"/>
          <w:sz w:val="24"/>
          <w:szCs w:val="24"/>
        </w:rPr>
        <w:t xml:space="preserve">Os valores também sugerem que incentivos espacial ou regionalmente neutros à indústria estavam </w:t>
      </w:r>
      <w:r w:rsidR="000A2943">
        <w:rPr>
          <w:rFonts w:ascii="Times New Roman" w:eastAsia="Times New Roman" w:hAnsi="Times New Roman"/>
          <w:color w:val="000000"/>
          <w:sz w:val="24"/>
          <w:szCs w:val="24"/>
        </w:rPr>
        <w:t>associados</w:t>
      </w:r>
      <w:r>
        <w:rPr>
          <w:rFonts w:ascii="Times New Roman" w:eastAsia="Times New Roman" w:hAnsi="Times New Roman"/>
          <w:color w:val="000000"/>
          <w:sz w:val="24"/>
          <w:szCs w:val="24"/>
        </w:rPr>
        <w:t xml:space="preserve"> à elevação da desigualdade regional</w:t>
      </w:r>
      <w:r w:rsidR="000A2943">
        <w:rPr>
          <w:rFonts w:ascii="Times New Roman" w:eastAsia="Times New Roman" w:hAnsi="Times New Roman"/>
          <w:color w:val="000000"/>
          <w:sz w:val="24"/>
          <w:szCs w:val="24"/>
        </w:rPr>
        <w:t>, o mesmo acontecendo</w:t>
      </w:r>
      <w:r w:rsidR="00AA1DD7">
        <w:rPr>
          <w:rFonts w:ascii="Times New Roman" w:eastAsia="Times New Roman" w:hAnsi="Times New Roman"/>
          <w:color w:val="000000"/>
          <w:sz w:val="24"/>
          <w:szCs w:val="24"/>
        </w:rPr>
        <w:t xml:space="preserve"> com o setor de serviços, o que</w:t>
      </w:r>
      <w:r w:rsidR="000A2943">
        <w:rPr>
          <w:rFonts w:ascii="Times New Roman" w:eastAsia="Times New Roman" w:hAnsi="Times New Roman"/>
          <w:color w:val="000000"/>
          <w:sz w:val="24"/>
          <w:szCs w:val="24"/>
        </w:rPr>
        <w:t xml:space="preserve"> é consistente com políticas regionais de incentivos fiscais para atração de ramos industriais, embora insuficiente para justificá-las</w:t>
      </w:r>
      <w:r w:rsidR="000A2943">
        <w:rPr>
          <w:rStyle w:val="FootnoteReference"/>
          <w:rFonts w:ascii="Times New Roman" w:eastAsia="Times New Roman" w:hAnsi="Times New Roman"/>
          <w:color w:val="000000"/>
          <w:sz w:val="24"/>
          <w:szCs w:val="24"/>
        </w:rPr>
        <w:footnoteReference w:id="10"/>
      </w:r>
      <w:r w:rsidR="000A2943">
        <w:rPr>
          <w:rFonts w:ascii="Times New Roman" w:eastAsia="Times New Roman" w:hAnsi="Times New Roman"/>
          <w:color w:val="000000"/>
          <w:sz w:val="24"/>
          <w:szCs w:val="24"/>
        </w:rPr>
        <w:t>.</w:t>
      </w:r>
      <w:r w:rsidR="00892EE0">
        <w:rPr>
          <w:rFonts w:ascii="Times New Roman" w:eastAsia="Times New Roman" w:hAnsi="Times New Roman"/>
          <w:color w:val="000000"/>
          <w:sz w:val="24"/>
          <w:szCs w:val="24"/>
        </w:rPr>
        <w:t xml:space="preserve"> </w:t>
      </w:r>
    </w:p>
    <w:p w:rsidR="00973477" w:rsidRDefault="00973477" w:rsidP="00973477">
      <w:pPr>
        <w:spacing w:after="0" w:line="240" w:lineRule="auto"/>
        <w:rPr>
          <w:rFonts w:ascii="Times New Roman" w:eastAsia="Times New Roman" w:hAnsi="Times New Roman"/>
          <w:b/>
          <w:color w:val="000000"/>
          <w:sz w:val="24"/>
          <w:szCs w:val="24"/>
        </w:rPr>
      </w:pPr>
    </w:p>
    <w:p w:rsidR="00EE6C37" w:rsidRPr="005C59E9" w:rsidRDefault="00EE6C37" w:rsidP="00973477">
      <w:pPr>
        <w:spacing w:after="0" w:line="240" w:lineRule="auto"/>
        <w:rPr>
          <w:rFonts w:ascii="Times New Roman" w:eastAsia="Times New Roman" w:hAnsi="Times New Roman"/>
          <w:b/>
          <w:color w:val="000000"/>
          <w:sz w:val="24"/>
          <w:szCs w:val="24"/>
        </w:rPr>
      </w:pPr>
      <w:r w:rsidRPr="005C59E9">
        <w:rPr>
          <w:rFonts w:ascii="Times New Roman" w:eastAsia="Times New Roman" w:hAnsi="Times New Roman"/>
          <w:b/>
          <w:color w:val="000000"/>
          <w:sz w:val="24"/>
          <w:szCs w:val="24"/>
        </w:rPr>
        <w:t>5.</w:t>
      </w:r>
      <w:r w:rsidRPr="005C59E9">
        <w:rPr>
          <w:rFonts w:ascii="Times New Roman" w:eastAsia="Times New Roman" w:hAnsi="Times New Roman"/>
          <w:color w:val="000000"/>
          <w:sz w:val="24"/>
          <w:szCs w:val="24"/>
        </w:rPr>
        <w:t xml:space="preserve"> </w:t>
      </w:r>
      <w:r w:rsidRPr="005C59E9">
        <w:rPr>
          <w:rFonts w:ascii="Times New Roman" w:eastAsia="Times New Roman" w:hAnsi="Times New Roman"/>
          <w:b/>
          <w:color w:val="000000"/>
          <w:sz w:val="24"/>
          <w:szCs w:val="24"/>
        </w:rPr>
        <w:t>Conclusões</w:t>
      </w:r>
    </w:p>
    <w:p w:rsidR="00A076E4" w:rsidRDefault="00B326A6" w:rsidP="00973477">
      <w:pPr>
        <w:spacing w:after="0" w:line="240" w:lineRule="auto"/>
        <w:jc w:val="both"/>
        <w:rPr>
          <w:rFonts w:ascii="Times New Roman" w:eastAsia="Times New Roman" w:hAnsi="Times New Roman"/>
          <w:color w:val="000000"/>
          <w:sz w:val="24"/>
          <w:szCs w:val="24"/>
        </w:rPr>
      </w:pPr>
      <w:r w:rsidRPr="005C59E9">
        <w:rPr>
          <w:rFonts w:ascii="Times New Roman" w:eastAsia="Times New Roman" w:hAnsi="Times New Roman"/>
          <w:color w:val="000000"/>
          <w:sz w:val="24"/>
          <w:szCs w:val="24"/>
        </w:rPr>
        <w:tab/>
      </w:r>
      <w:r w:rsidR="00A076E4" w:rsidRPr="00A076E4">
        <w:rPr>
          <w:rFonts w:ascii="Times New Roman" w:eastAsia="Times New Roman" w:hAnsi="Times New Roman"/>
          <w:color w:val="000000"/>
          <w:sz w:val="24"/>
          <w:szCs w:val="24"/>
        </w:rPr>
        <w:t>Consideradas as dimens</w:t>
      </w:r>
      <w:r w:rsidR="00A076E4">
        <w:rPr>
          <w:rFonts w:ascii="Times New Roman" w:eastAsia="Times New Roman" w:hAnsi="Times New Roman"/>
          <w:color w:val="000000"/>
          <w:sz w:val="24"/>
          <w:szCs w:val="24"/>
        </w:rPr>
        <w:t>ões espaçais dos programas sociais de transferência de renda do governo federal e a recente desconcentração industrial verificado no Brasil, n</w:t>
      </w:r>
      <w:r w:rsidRPr="00B326A6">
        <w:rPr>
          <w:rFonts w:ascii="Times New Roman" w:eastAsia="Times New Roman" w:hAnsi="Times New Roman"/>
          <w:color w:val="000000"/>
          <w:sz w:val="24"/>
          <w:szCs w:val="24"/>
        </w:rPr>
        <w:t>este trabalho foi feito um esfor</w:t>
      </w:r>
      <w:r>
        <w:rPr>
          <w:rFonts w:ascii="Times New Roman" w:eastAsia="Times New Roman" w:hAnsi="Times New Roman"/>
          <w:color w:val="000000"/>
          <w:sz w:val="24"/>
          <w:szCs w:val="24"/>
        </w:rPr>
        <w:t xml:space="preserve">ço de pesquisa no sentido de obter um conjunto de informações que permitisse maior conhecimento a respeito da natureza da redução da desigualdade regional de renda </w:t>
      </w:r>
      <w:r>
        <w:rPr>
          <w:rFonts w:ascii="Times New Roman" w:eastAsia="Times New Roman" w:hAnsi="Times New Roman"/>
          <w:i/>
          <w:color w:val="000000"/>
          <w:sz w:val="24"/>
          <w:szCs w:val="24"/>
        </w:rPr>
        <w:t>per capita</w:t>
      </w:r>
      <w:r>
        <w:rPr>
          <w:rFonts w:ascii="Times New Roman" w:eastAsia="Times New Roman" w:hAnsi="Times New Roman"/>
          <w:color w:val="000000"/>
          <w:sz w:val="24"/>
          <w:szCs w:val="24"/>
        </w:rPr>
        <w:t xml:space="preserve"> verificada no Brasil entre 1995 e 2006. Neste sentido, as investigações expandiram parte dos resultados já revelados por Silveira Neto e Azzoni (2010) em três direções. </w:t>
      </w:r>
    </w:p>
    <w:p w:rsidR="00ED20F7" w:rsidRDefault="00B326A6" w:rsidP="00973477">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Primeiro, foi proposta uma decomposição da desigualdade regional que explicita as fontes de renda do trabalho de cada grande setor da economia</w:t>
      </w:r>
      <w:r w:rsidR="00A076E4">
        <w:rPr>
          <w:rFonts w:ascii="Times New Roman" w:eastAsia="Times New Roman" w:hAnsi="Times New Roman"/>
          <w:color w:val="000000"/>
          <w:sz w:val="24"/>
          <w:szCs w:val="24"/>
        </w:rPr>
        <w:t xml:space="preserve">. Segundo, além da fonte de renda representado pelo Programa Bolsa Família (BF) também foi destacada à parte das demais fontes de renda a renda derivada do Programa de Benefício de Prestação Continuada (BPC). Por fim, foram obtidas estimativas de reação (elasticidades) da desigualdade regional de renda </w:t>
      </w:r>
      <w:r w:rsidR="00A076E4">
        <w:rPr>
          <w:rFonts w:ascii="Times New Roman" w:eastAsia="Times New Roman" w:hAnsi="Times New Roman"/>
          <w:i/>
          <w:color w:val="000000"/>
          <w:sz w:val="24"/>
          <w:szCs w:val="24"/>
        </w:rPr>
        <w:t xml:space="preserve">per capita </w:t>
      </w:r>
      <w:r w:rsidR="00A076E4">
        <w:rPr>
          <w:rFonts w:ascii="Times New Roman" w:eastAsia="Times New Roman" w:hAnsi="Times New Roman"/>
          <w:color w:val="000000"/>
          <w:sz w:val="24"/>
          <w:szCs w:val="24"/>
        </w:rPr>
        <w:t>com respeito às diferentes fontes de renda consideradas na análise.</w:t>
      </w:r>
    </w:p>
    <w:p w:rsidR="00A076E4" w:rsidRDefault="00A076E4" w:rsidP="00973477">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 resultados obtidos indicam que, medida a redução da desigualdade através da variação do índice de Gini para a distribuição da renda </w:t>
      </w:r>
      <w:r>
        <w:rPr>
          <w:rFonts w:ascii="Times New Roman" w:eastAsia="Times New Roman" w:hAnsi="Times New Roman"/>
          <w:i/>
          <w:color w:val="000000"/>
          <w:sz w:val="24"/>
          <w:szCs w:val="24"/>
        </w:rPr>
        <w:t xml:space="preserve">per capita </w:t>
      </w:r>
      <w:r>
        <w:rPr>
          <w:rFonts w:ascii="Times New Roman" w:eastAsia="Times New Roman" w:hAnsi="Times New Roman"/>
          <w:color w:val="000000"/>
          <w:sz w:val="24"/>
          <w:szCs w:val="24"/>
        </w:rPr>
        <w:t>entre as unidades federativas brasileiras,</w:t>
      </w:r>
      <w:r w:rsidR="00D93E69">
        <w:rPr>
          <w:rFonts w:ascii="Times New Roman" w:eastAsia="Times New Roman" w:hAnsi="Times New Roman"/>
          <w:color w:val="000000"/>
          <w:sz w:val="24"/>
          <w:szCs w:val="24"/>
        </w:rPr>
        <w:t xml:space="preserve"> as diversas fontes de renda apresentaram as seguintes contribuições:</w:t>
      </w:r>
      <w:r>
        <w:rPr>
          <w:rFonts w:ascii="Times New Roman" w:eastAsia="Times New Roman" w:hAnsi="Times New Roman"/>
          <w:color w:val="000000"/>
          <w:sz w:val="24"/>
          <w:szCs w:val="24"/>
        </w:rPr>
        <w:t xml:space="preserve"> i) a maior parte da redução da desigualdade pode ser atribuída às dinâmicas de renda do trabalho dos setores econômicos</w:t>
      </w:r>
      <w:r w:rsidR="00D93E69">
        <w:rPr>
          <w:rFonts w:ascii="Times New Roman" w:eastAsia="Times New Roman" w:hAnsi="Times New Roman"/>
          <w:color w:val="000000"/>
          <w:sz w:val="24"/>
          <w:szCs w:val="24"/>
        </w:rPr>
        <w:t xml:space="preserve"> (81%)</w:t>
      </w:r>
      <w:r>
        <w:rPr>
          <w:rFonts w:ascii="Times New Roman" w:eastAsia="Times New Roman" w:hAnsi="Times New Roman"/>
          <w:color w:val="000000"/>
          <w:sz w:val="24"/>
          <w:szCs w:val="24"/>
        </w:rPr>
        <w:t xml:space="preserve">, com tal renda para a indústria e serviços favorecendo a diminuição da desigualdade regional e a renda do trabalho na agricultura impedindo maior redução desta; ii) </w:t>
      </w:r>
      <w:r w:rsidR="00D93E69">
        <w:rPr>
          <w:rFonts w:ascii="Times New Roman" w:eastAsia="Times New Roman" w:hAnsi="Times New Roman"/>
          <w:color w:val="000000"/>
          <w:sz w:val="24"/>
          <w:szCs w:val="24"/>
        </w:rPr>
        <w:t>além da renda do trabalho da agricultura, as fontes de renda de aposentadorias e pensões e de aluguéis e doações também impediram maior redução da desigualdade regional entre 1995 e 2006; iii) as fontes de renda referentes ao BF e ao BPC contribuíram, respectivamente, com cerca de 15,0% e 9,3% da redução do índice de Gini da desigualdade regional no período, apesar de representarem menos de 3,5% da renda total.</w:t>
      </w:r>
    </w:p>
    <w:p w:rsidR="0077568A" w:rsidRDefault="00D93E69" w:rsidP="00D70075">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Com respeito à reação da desigualdade em relação a variações nas diferentes fontes de renda consideradas, refletindo a distribuição espacial das atividades e dos recursos em 2006, os resultados mostram que elevações na renda do trabalho da indústria e dos serviços concorrem para elevar a desigualdade regional, enquanto que elevações da rendas do trabalho da agricultura, da renda das aposentadorias e pensões e da renda dos programas sociais estão associadas à diminuições da desigualdade regional de renda </w:t>
      </w:r>
      <w:r>
        <w:rPr>
          <w:rFonts w:ascii="Times New Roman" w:eastAsia="Times New Roman" w:hAnsi="Times New Roman"/>
          <w:i/>
          <w:color w:val="000000"/>
          <w:sz w:val="24"/>
          <w:szCs w:val="24"/>
        </w:rPr>
        <w:t>per capita</w:t>
      </w:r>
      <w:r w:rsidR="00820172">
        <w:rPr>
          <w:rFonts w:ascii="Times New Roman" w:eastAsia="Times New Roman" w:hAnsi="Times New Roman"/>
          <w:color w:val="000000"/>
          <w:sz w:val="24"/>
          <w:szCs w:val="24"/>
        </w:rPr>
        <w:t xml:space="preserve"> no país. Os resultados associados mais diretamente a políticas públicas indicam que, além de muito mais barato, a fonte de renda do BF representa um canal mais eficaz de combate a desigualdade regional que as rendas derivadas das aposentadorias e pensões, que apresentam peso significativo na renda total (cerca de 18%). </w:t>
      </w:r>
    </w:p>
    <w:p w:rsidR="00ED20F7" w:rsidRDefault="00CC6586" w:rsidP="00D70075">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implicações para constituição de políticas </w:t>
      </w:r>
      <w:r w:rsidR="00820172">
        <w:rPr>
          <w:rFonts w:ascii="Times New Roman" w:eastAsia="Times New Roman" w:hAnsi="Times New Roman"/>
          <w:color w:val="000000"/>
          <w:sz w:val="24"/>
          <w:szCs w:val="24"/>
        </w:rPr>
        <w:t xml:space="preserve">de combate à desigualdade regional brasileira de renda </w:t>
      </w:r>
      <w:r w:rsidR="00820172">
        <w:rPr>
          <w:rFonts w:ascii="Times New Roman" w:eastAsia="Times New Roman" w:hAnsi="Times New Roman"/>
          <w:i/>
          <w:color w:val="000000"/>
          <w:sz w:val="24"/>
          <w:szCs w:val="24"/>
        </w:rPr>
        <w:t>per capita</w:t>
      </w:r>
      <w:r w:rsidR="0077568A">
        <w:rPr>
          <w:rFonts w:ascii="Times New Roman" w:eastAsia="Times New Roman" w:hAnsi="Times New Roman"/>
          <w:color w:val="000000"/>
          <w:sz w:val="24"/>
          <w:szCs w:val="24"/>
        </w:rPr>
        <w:t xml:space="preserve"> são claras.</w:t>
      </w:r>
      <w:r>
        <w:rPr>
          <w:rFonts w:ascii="Times New Roman" w:eastAsia="Times New Roman" w:hAnsi="Times New Roman"/>
          <w:color w:val="000000"/>
          <w:sz w:val="24"/>
          <w:szCs w:val="24"/>
        </w:rPr>
        <w:t xml:space="preserve"> </w:t>
      </w:r>
      <w:r w:rsidR="0077568A">
        <w:rPr>
          <w:rFonts w:ascii="Times New Roman" w:eastAsia="Times New Roman" w:hAnsi="Times New Roman"/>
          <w:color w:val="000000"/>
          <w:sz w:val="24"/>
          <w:szCs w:val="24"/>
        </w:rPr>
        <w:t>E</w:t>
      </w:r>
      <w:r>
        <w:rPr>
          <w:rFonts w:ascii="Times New Roman" w:eastAsia="Times New Roman" w:hAnsi="Times New Roman"/>
          <w:color w:val="000000"/>
          <w:sz w:val="24"/>
          <w:szCs w:val="24"/>
        </w:rPr>
        <w:t>mbora não sejam diretamente políticas regionais e espaciais, as políticas sociais de transferências de renda</w:t>
      </w:r>
      <w:r w:rsidR="0077568A">
        <w:rPr>
          <w:rFonts w:ascii="Times New Roman" w:eastAsia="Times New Roman" w:hAnsi="Times New Roman"/>
          <w:color w:val="000000"/>
          <w:sz w:val="24"/>
          <w:szCs w:val="24"/>
        </w:rPr>
        <w:t>, dado o seu excelente foco nos mais pobres,</w:t>
      </w:r>
      <w:r>
        <w:rPr>
          <w:rFonts w:ascii="Times New Roman" w:eastAsia="Times New Roman" w:hAnsi="Times New Roman"/>
          <w:color w:val="000000"/>
          <w:sz w:val="24"/>
          <w:szCs w:val="24"/>
        </w:rPr>
        <w:t xml:space="preserve"> devem ser </w:t>
      </w:r>
      <w:r w:rsidR="0077568A">
        <w:rPr>
          <w:rFonts w:ascii="Times New Roman" w:eastAsia="Times New Roman" w:hAnsi="Times New Roman"/>
          <w:color w:val="000000"/>
          <w:sz w:val="24"/>
          <w:szCs w:val="24"/>
        </w:rPr>
        <w:t>consideradas efetivamente também sob tal perspectiva. Com respeito aos mecanismos de incentivos setoriais, particularmente no que diz respeito à indústria, não é possível dizer, a partir das evidências geradas, que estes têm sido efetivos, contudo</w:t>
      </w:r>
      <w:r w:rsidR="00AA1DD7">
        <w:rPr>
          <w:rFonts w:ascii="Times New Roman" w:eastAsia="Times New Roman" w:hAnsi="Times New Roman"/>
          <w:color w:val="000000"/>
          <w:sz w:val="24"/>
          <w:szCs w:val="24"/>
        </w:rPr>
        <w:t>,</w:t>
      </w:r>
      <w:r w:rsidR="0077568A">
        <w:rPr>
          <w:rFonts w:ascii="Times New Roman" w:eastAsia="Times New Roman" w:hAnsi="Times New Roman"/>
          <w:color w:val="000000"/>
          <w:sz w:val="24"/>
          <w:szCs w:val="24"/>
        </w:rPr>
        <w:t xml:space="preserve"> o estudo mostra de forma inequívoca </w:t>
      </w:r>
      <w:r w:rsidR="00C73678">
        <w:rPr>
          <w:rFonts w:ascii="Times New Roman" w:eastAsia="Times New Roman" w:hAnsi="Times New Roman"/>
          <w:color w:val="000000"/>
          <w:sz w:val="24"/>
          <w:szCs w:val="24"/>
        </w:rPr>
        <w:t>que</w:t>
      </w:r>
      <w:r w:rsidR="0077568A">
        <w:rPr>
          <w:rFonts w:ascii="Times New Roman" w:eastAsia="Times New Roman" w:hAnsi="Times New Roman"/>
          <w:color w:val="000000"/>
          <w:sz w:val="24"/>
          <w:szCs w:val="24"/>
        </w:rPr>
        <w:t xml:space="preserve">, ainda em 2006, </w:t>
      </w:r>
      <w:r w:rsidR="004E20C7">
        <w:rPr>
          <w:rFonts w:ascii="Times New Roman" w:eastAsia="Times New Roman" w:hAnsi="Times New Roman"/>
          <w:color w:val="000000"/>
          <w:sz w:val="24"/>
          <w:szCs w:val="24"/>
        </w:rPr>
        <w:t xml:space="preserve">em termos regionais ou espaciais, </w:t>
      </w:r>
      <w:r w:rsidR="0077568A">
        <w:rPr>
          <w:rFonts w:ascii="Times New Roman" w:eastAsia="Times New Roman" w:hAnsi="Times New Roman"/>
          <w:color w:val="000000"/>
          <w:sz w:val="24"/>
          <w:szCs w:val="24"/>
        </w:rPr>
        <w:t>o crescimento da renda do trabalho industrial brasileiro apresentava perfil concentrador.</w:t>
      </w:r>
    </w:p>
    <w:p w:rsidR="0077568A" w:rsidRDefault="0077568A" w:rsidP="0077568A">
      <w:pPr>
        <w:spacing w:after="0" w:line="360" w:lineRule="auto"/>
        <w:ind w:firstLine="720"/>
        <w:jc w:val="both"/>
        <w:rPr>
          <w:rFonts w:ascii="Times New Roman" w:eastAsia="Times New Roman" w:hAnsi="Times New Roman"/>
          <w:color w:val="000000"/>
          <w:sz w:val="24"/>
          <w:szCs w:val="24"/>
        </w:rPr>
      </w:pPr>
    </w:p>
    <w:p w:rsidR="00D70075" w:rsidRPr="00B326A6" w:rsidRDefault="00D70075" w:rsidP="0077568A">
      <w:pPr>
        <w:spacing w:after="0" w:line="360" w:lineRule="auto"/>
        <w:ind w:firstLine="720"/>
        <w:jc w:val="both"/>
        <w:rPr>
          <w:rFonts w:ascii="Times New Roman" w:eastAsia="Times New Roman" w:hAnsi="Times New Roman"/>
          <w:color w:val="000000"/>
          <w:sz w:val="24"/>
          <w:szCs w:val="24"/>
        </w:rPr>
      </w:pPr>
    </w:p>
    <w:p w:rsidR="00ED20F7" w:rsidRPr="005C59E9" w:rsidRDefault="00E12E53" w:rsidP="00CF4049">
      <w:pPr>
        <w:rPr>
          <w:rFonts w:ascii="Times New Roman" w:eastAsia="Times New Roman" w:hAnsi="Times New Roman"/>
          <w:b/>
          <w:color w:val="000000"/>
          <w:sz w:val="24"/>
          <w:szCs w:val="24"/>
        </w:rPr>
      </w:pPr>
      <w:r w:rsidRPr="005C59E9">
        <w:rPr>
          <w:rFonts w:ascii="Times New Roman" w:eastAsia="Times New Roman" w:hAnsi="Times New Roman"/>
          <w:b/>
          <w:color w:val="000000"/>
          <w:sz w:val="24"/>
          <w:szCs w:val="24"/>
        </w:rPr>
        <w:lastRenderedPageBreak/>
        <w:t>Re</w:t>
      </w:r>
      <w:r w:rsidR="00ED20F7" w:rsidRPr="005C59E9">
        <w:rPr>
          <w:rFonts w:ascii="Times New Roman" w:eastAsia="Times New Roman" w:hAnsi="Times New Roman"/>
          <w:b/>
          <w:color w:val="000000"/>
          <w:sz w:val="24"/>
          <w:szCs w:val="24"/>
        </w:rPr>
        <w:t>ferências</w:t>
      </w:r>
    </w:p>
    <w:p w:rsidR="00A73DC6" w:rsidRDefault="00A73DC6" w:rsidP="00973477">
      <w:pPr>
        <w:pStyle w:val="BodyText"/>
        <w:rPr>
          <w:b w:val="0"/>
          <w:bCs w:val="0"/>
          <w:color w:val="000000"/>
          <w:lang w:val="pt-BR" w:eastAsia="en-US"/>
        </w:rPr>
      </w:pPr>
      <w:r w:rsidRPr="005C59E9">
        <w:rPr>
          <w:b w:val="0"/>
          <w:bCs w:val="0"/>
          <w:color w:val="000000"/>
          <w:lang w:val="pt-BR" w:eastAsia="en-US"/>
        </w:rPr>
        <w:t xml:space="preserve">FERREIRA F.H.G.. </w:t>
      </w:r>
      <w:r w:rsidRPr="00A73DC6">
        <w:rPr>
          <w:b w:val="0"/>
          <w:bCs w:val="0"/>
          <w:color w:val="000000"/>
          <w:lang w:eastAsia="en-US"/>
        </w:rPr>
        <w:t xml:space="preserve">LEITE. P.G.. LITCHIEELD. J.A.. </w:t>
      </w:r>
      <w:r w:rsidRPr="005C59E9">
        <w:rPr>
          <w:b w:val="0"/>
          <w:bCs w:val="0"/>
          <w:color w:val="000000"/>
          <w:lang w:val="pt-BR" w:eastAsia="en-US"/>
        </w:rPr>
        <w:t xml:space="preserve">ULYSSEA. </w:t>
      </w:r>
      <w:r w:rsidRPr="00A73DC6">
        <w:rPr>
          <w:b w:val="0"/>
          <w:bCs w:val="0"/>
          <w:color w:val="000000"/>
          <w:lang w:val="pt-BR" w:eastAsia="en-US"/>
        </w:rPr>
        <w:t xml:space="preserve">G. (2006) Ascensão e quedada desigualdade de renda no Brasil. </w:t>
      </w:r>
      <w:r w:rsidRPr="00911623">
        <w:rPr>
          <w:b w:val="0"/>
          <w:bCs w:val="0"/>
          <w:color w:val="000000"/>
          <w:lang w:val="pt-BR" w:eastAsia="en-US"/>
        </w:rPr>
        <w:t xml:space="preserve">Econômica. </w:t>
      </w:r>
      <w:r w:rsidRPr="005C59E9">
        <w:rPr>
          <w:b w:val="0"/>
          <w:bCs w:val="0"/>
          <w:color w:val="000000"/>
          <w:lang w:val="pt-BR" w:eastAsia="en-US"/>
        </w:rPr>
        <w:t>Rio de Janeiro. V. 8. N. 1. 147-171.</w:t>
      </w:r>
    </w:p>
    <w:p w:rsidR="00D70075" w:rsidRPr="005C59E9" w:rsidRDefault="00D70075" w:rsidP="00973477">
      <w:pPr>
        <w:pStyle w:val="BodyText"/>
        <w:rPr>
          <w:b w:val="0"/>
          <w:bCs w:val="0"/>
          <w:color w:val="000000"/>
          <w:lang w:val="pt-BR" w:eastAsia="en-US"/>
        </w:rPr>
      </w:pPr>
    </w:p>
    <w:p w:rsidR="00A73DC6" w:rsidRDefault="00A73DC6" w:rsidP="00973477">
      <w:pPr>
        <w:spacing w:after="0" w:line="240" w:lineRule="auto"/>
        <w:jc w:val="both"/>
        <w:rPr>
          <w:rFonts w:ascii="Times New Roman" w:eastAsia="Times New Roman" w:hAnsi="Times New Roman"/>
          <w:color w:val="000000"/>
          <w:sz w:val="24"/>
          <w:szCs w:val="24"/>
          <w:lang w:val="en-US"/>
        </w:rPr>
      </w:pPr>
      <w:r w:rsidRPr="005C59E9">
        <w:rPr>
          <w:rFonts w:ascii="Times New Roman" w:eastAsia="Times New Roman" w:hAnsi="Times New Roman"/>
          <w:color w:val="000000"/>
          <w:sz w:val="24"/>
          <w:szCs w:val="24"/>
        </w:rPr>
        <w:t xml:space="preserve">HOFFMAN (2006). Transferências de renda e a redução da desigualdade no Brasil e cinco regiões entre 1997 e 2004. </w:t>
      </w:r>
      <w:r w:rsidRPr="00A73DC6">
        <w:rPr>
          <w:rFonts w:ascii="Times New Roman" w:eastAsia="Times New Roman" w:hAnsi="Times New Roman"/>
          <w:color w:val="000000"/>
          <w:sz w:val="24"/>
          <w:szCs w:val="24"/>
          <w:lang w:val="en-US"/>
        </w:rPr>
        <w:t>Econômica. Rio de Janeiro. V. 8. N. 1. 55-81.</w:t>
      </w:r>
    </w:p>
    <w:p w:rsidR="00D70075" w:rsidRDefault="00D70075" w:rsidP="00973477">
      <w:pPr>
        <w:spacing w:after="0" w:line="240" w:lineRule="auto"/>
        <w:jc w:val="both"/>
        <w:rPr>
          <w:rFonts w:ascii="Times New Roman" w:eastAsia="Times New Roman" w:hAnsi="Times New Roman"/>
          <w:color w:val="000000"/>
          <w:sz w:val="24"/>
          <w:szCs w:val="24"/>
          <w:lang w:val="en-US"/>
        </w:rPr>
      </w:pPr>
    </w:p>
    <w:p w:rsidR="00A73DC6" w:rsidRDefault="00A73DC6" w:rsidP="00973477">
      <w:pPr>
        <w:spacing w:after="0" w:line="240" w:lineRule="auto"/>
        <w:jc w:val="both"/>
        <w:rPr>
          <w:rFonts w:ascii="Times New Roman" w:eastAsia="Times New Roman" w:hAnsi="Times New Roman"/>
          <w:color w:val="000000"/>
          <w:sz w:val="24"/>
          <w:szCs w:val="24"/>
          <w:lang w:val="en-US"/>
        </w:rPr>
      </w:pPr>
      <w:r w:rsidRPr="00A73DC6">
        <w:rPr>
          <w:rFonts w:ascii="Times New Roman" w:eastAsia="Times New Roman" w:hAnsi="Times New Roman"/>
          <w:color w:val="000000"/>
          <w:sz w:val="24"/>
          <w:szCs w:val="24"/>
          <w:lang w:val="en-US"/>
        </w:rPr>
        <w:t>JENKINS. S.P. (1995) “Accounting for Inequality Trends: Decomposition Analysis for the UK. 1971-1986”. Economica. 62. p.139-191.</w:t>
      </w:r>
    </w:p>
    <w:p w:rsidR="00D70075" w:rsidRPr="00A73DC6" w:rsidRDefault="00D70075" w:rsidP="00973477">
      <w:pPr>
        <w:spacing w:after="0" w:line="240" w:lineRule="auto"/>
        <w:jc w:val="both"/>
        <w:rPr>
          <w:rFonts w:ascii="Times New Roman" w:eastAsia="Times New Roman" w:hAnsi="Times New Roman"/>
          <w:color w:val="000000"/>
          <w:sz w:val="24"/>
          <w:szCs w:val="24"/>
          <w:lang w:val="en-US"/>
        </w:rPr>
      </w:pPr>
    </w:p>
    <w:p w:rsidR="00CF4049" w:rsidRDefault="009419FD" w:rsidP="00973477">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LEMAN</w:t>
      </w:r>
      <w:r w:rsidR="00ED20F7">
        <w:rPr>
          <w:rFonts w:ascii="Times New Roman" w:eastAsia="Times New Roman" w:hAnsi="Times New Roman"/>
          <w:color w:val="000000"/>
          <w:sz w:val="24"/>
          <w:szCs w:val="24"/>
          <w:lang w:val="en-US"/>
        </w:rPr>
        <w:t xml:space="preserve">, R. I., </w:t>
      </w:r>
      <w:r w:rsidR="00E12E53">
        <w:rPr>
          <w:rFonts w:ascii="Times New Roman" w:eastAsia="Times New Roman" w:hAnsi="Times New Roman"/>
          <w:color w:val="000000"/>
          <w:sz w:val="24"/>
          <w:szCs w:val="24"/>
          <w:lang w:val="en-US"/>
        </w:rPr>
        <w:t>&amp;</w:t>
      </w:r>
      <w:r>
        <w:rPr>
          <w:rFonts w:ascii="Times New Roman" w:eastAsia="Times New Roman" w:hAnsi="Times New Roman"/>
          <w:color w:val="000000"/>
          <w:sz w:val="24"/>
          <w:szCs w:val="24"/>
          <w:lang w:val="en-US"/>
        </w:rPr>
        <w:t xml:space="preserve"> YITZHAKI, S.</w:t>
      </w:r>
      <w:r w:rsidR="00ED20F7">
        <w:rPr>
          <w:rFonts w:ascii="Times New Roman" w:eastAsia="Times New Roman" w:hAnsi="Times New Roman"/>
          <w:color w:val="000000"/>
          <w:sz w:val="24"/>
          <w:szCs w:val="24"/>
          <w:lang w:val="en-US"/>
        </w:rPr>
        <w:t xml:space="preserve"> (1985) “</w:t>
      </w:r>
      <w:r w:rsidR="00ED20F7" w:rsidRPr="00ED20F7">
        <w:rPr>
          <w:rFonts w:ascii="Times New Roman" w:eastAsia="Times New Roman" w:hAnsi="Times New Roman"/>
          <w:color w:val="000000"/>
          <w:sz w:val="24"/>
          <w:szCs w:val="24"/>
          <w:lang w:val="en-US"/>
        </w:rPr>
        <w:t>Income inequality effects by income source: A new approach and applications to the United States</w:t>
      </w:r>
      <w:r w:rsidR="00ED20F7">
        <w:rPr>
          <w:rFonts w:ascii="Times New Roman" w:eastAsia="Times New Roman" w:hAnsi="Times New Roman"/>
          <w:color w:val="000000"/>
          <w:sz w:val="24"/>
          <w:szCs w:val="24"/>
          <w:lang w:val="en-US"/>
        </w:rPr>
        <w:t>”,</w:t>
      </w:r>
      <w:r w:rsidR="00ED20F7" w:rsidRPr="00ED20F7">
        <w:rPr>
          <w:rFonts w:ascii="Times New Roman" w:eastAsia="Times New Roman" w:hAnsi="Times New Roman"/>
          <w:color w:val="000000"/>
          <w:sz w:val="24"/>
          <w:szCs w:val="24"/>
          <w:lang w:val="en-US"/>
        </w:rPr>
        <w:t xml:space="preserve"> </w:t>
      </w:r>
      <w:r w:rsidR="00ED20F7" w:rsidRPr="00ED20F7">
        <w:rPr>
          <w:rFonts w:ascii="Times New Roman" w:eastAsia="Times New Roman" w:hAnsi="Times New Roman"/>
          <w:i/>
          <w:color w:val="000000"/>
          <w:sz w:val="24"/>
          <w:szCs w:val="24"/>
          <w:lang w:val="en-US"/>
        </w:rPr>
        <w:t>Review of Economics and Statistics</w:t>
      </w:r>
      <w:r w:rsidR="00ED20F7" w:rsidRPr="00ED20F7">
        <w:rPr>
          <w:rFonts w:ascii="Times New Roman" w:eastAsia="Times New Roman" w:hAnsi="Times New Roman"/>
          <w:color w:val="000000"/>
          <w:sz w:val="24"/>
          <w:szCs w:val="24"/>
          <w:lang w:val="en-US"/>
        </w:rPr>
        <w:t xml:space="preserve"> 67: 151-156.</w:t>
      </w:r>
    </w:p>
    <w:p w:rsidR="00D70075" w:rsidRDefault="00D70075" w:rsidP="00973477">
      <w:pPr>
        <w:spacing w:after="0" w:line="240" w:lineRule="auto"/>
        <w:jc w:val="both"/>
        <w:rPr>
          <w:rFonts w:ascii="Times New Roman" w:eastAsia="Times New Roman" w:hAnsi="Times New Roman"/>
          <w:color w:val="000000"/>
          <w:sz w:val="24"/>
          <w:szCs w:val="24"/>
          <w:lang w:val="en-US"/>
        </w:rPr>
      </w:pPr>
    </w:p>
    <w:p w:rsidR="009419FD" w:rsidRDefault="009419FD" w:rsidP="00973477">
      <w:pPr>
        <w:widowControl w:val="0"/>
        <w:tabs>
          <w:tab w:val="left" w:pos="0"/>
        </w:tabs>
        <w:autoSpaceDE w:val="0"/>
        <w:autoSpaceDN w:val="0"/>
        <w:adjustRightInd w:val="0"/>
        <w:spacing w:after="0" w:line="240" w:lineRule="auto"/>
        <w:jc w:val="both"/>
        <w:rPr>
          <w:rFonts w:ascii="Times New Roman" w:eastAsia="Times New Roman" w:hAnsi="Times New Roman"/>
          <w:color w:val="000000"/>
          <w:sz w:val="24"/>
          <w:szCs w:val="24"/>
          <w:lang w:val="en-US"/>
        </w:rPr>
      </w:pPr>
      <w:r w:rsidRPr="009419FD">
        <w:rPr>
          <w:rFonts w:ascii="Times New Roman" w:eastAsia="Times New Roman" w:hAnsi="Times New Roman"/>
          <w:color w:val="000000"/>
          <w:sz w:val="24"/>
          <w:szCs w:val="24"/>
        </w:rPr>
        <w:t xml:space="preserve">MANOEL, A., RESENDE, G. M., SILVEIRA NETO, R. M. </w:t>
      </w:r>
      <w:r>
        <w:rPr>
          <w:rFonts w:ascii="Times New Roman" w:eastAsia="Times New Roman" w:hAnsi="Times New Roman"/>
          <w:color w:val="000000"/>
          <w:sz w:val="24"/>
          <w:szCs w:val="24"/>
        </w:rPr>
        <w:t>“</w:t>
      </w:r>
      <w:r w:rsidRPr="009419FD">
        <w:rPr>
          <w:rFonts w:ascii="Times New Roman" w:eastAsia="Times New Roman" w:hAnsi="Times New Roman"/>
          <w:color w:val="000000"/>
          <w:sz w:val="24"/>
          <w:szCs w:val="24"/>
        </w:rPr>
        <w:t xml:space="preserve">Eficácia do Gasto Público: Uma Avaliação do FNE, FNO e FCO. </w:t>
      </w:r>
      <w:r w:rsidRPr="009419FD">
        <w:rPr>
          <w:rFonts w:ascii="Times New Roman" w:eastAsia="Times New Roman" w:hAnsi="Times New Roman"/>
          <w:color w:val="000000"/>
          <w:sz w:val="24"/>
          <w:szCs w:val="24"/>
          <w:lang w:val="en-US"/>
        </w:rPr>
        <w:t>Estudos Econômicos. Instituto de Pesquisas Econômicas. , v.39, p.89 - 125, 2009.</w:t>
      </w:r>
    </w:p>
    <w:p w:rsidR="00D70075" w:rsidRDefault="00D70075" w:rsidP="00973477">
      <w:pPr>
        <w:widowControl w:val="0"/>
        <w:tabs>
          <w:tab w:val="left" w:pos="0"/>
        </w:tabs>
        <w:autoSpaceDE w:val="0"/>
        <w:autoSpaceDN w:val="0"/>
        <w:adjustRightInd w:val="0"/>
        <w:spacing w:after="0" w:line="240" w:lineRule="auto"/>
        <w:jc w:val="both"/>
        <w:rPr>
          <w:rFonts w:ascii="Times New Roman" w:eastAsia="Times New Roman" w:hAnsi="Times New Roman"/>
          <w:color w:val="000000"/>
          <w:sz w:val="24"/>
          <w:szCs w:val="24"/>
          <w:lang w:val="en-US"/>
        </w:rPr>
      </w:pPr>
    </w:p>
    <w:p w:rsidR="00A73DC6" w:rsidRDefault="00A73DC6" w:rsidP="00973477">
      <w:pPr>
        <w:spacing w:after="0" w:line="240" w:lineRule="auto"/>
        <w:jc w:val="both"/>
        <w:rPr>
          <w:rFonts w:ascii="Times New Roman" w:eastAsia="Times New Roman" w:hAnsi="Times New Roman"/>
          <w:color w:val="000000"/>
          <w:sz w:val="24"/>
          <w:szCs w:val="24"/>
          <w:lang w:val="en-US"/>
        </w:rPr>
      </w:pPr>
      <w:r w:rsidRPr="005C59E9">
        <w:rPr>
          <w:rFonts w:ascii="Times New Roman" w:eastAsia="Times New Roman" w:hAnsi="Times New Roman"/>
          <w:color w:val="000000"/>
          <w:sz w:val="24"/>
          <w:szCs w:val="24"/>
          <w:lang w:val="en-US"/>
        </w:rPr>
        <w:t xml:space="preserve">SHORROCKS A. (1982). Inequality decomposition by factor components. </w:t>
      </w:r>
      <w:r w:rsidRPr="006942A0">
        <w:rPr>
          <w:rFonts w:ascii="Times New Roman" w:eastAsia="Times New Roman" w:hAnsi="Times New Roman"/>
          <w:color w:val="000000"/>
          <w:sz w:val="24"/>
          <w:szCs w:val="24"/>
          <w:lang w:val="en-US"/>
        </w:rPr>
        <w:t>Econometrica. V. 50. N. 1. 193-211.</w:t>
      </w:r>
    </w:p>
    <w:p w:rsidR="00D70075" w:rsidRPr="006942A0" w:rsidRDefault="00D70075" w:rsidP="00973477">
      <w:pPr>
        <w:spacing w:after="0" w:line="240" w:lineRule="auto"/>
        <w:jc w:val="both"/>
        <w:rPr>
          <w:rFonts w:ascii="Times New Roman" w:eastAsia="Times New Roman" w:hAnsi="Times New Roman"/>
          <w:color w:val="000000"/>
          <w:sz w:val="24"/>
          <w:szCs w:val="24"/>
          <w:lang w:val="en-US"/>
        </w:rPr>
      </w:pPr>
    </w:p>
    <w:p w:rsidR="00E12E53" w:rsidRDefault="009419FD" w:rsidP="00973477">
      <w:pPr>
        <w:spacing w:after="0" w:line="240" w:lineRule="auto"/>
        <w:jc w:val="both"/>
        <w:rPr>
          <w:rFonts w:ascii="Times New Roman" w:hAnsi="Times New Roman"/>
          <w:color w:val="000000"/>
          <w:sz w:val="24"/>
          <w:szCs w:val="24"/>
          <w:lang w:val="en-US"/>
        </w:rPr>
      </w:pPr>
      <w:r w:rsidRPr="006942A0">
        <w:rPr>
          <w:rFonts w:ascii="Times New Roman" w:eastAsia="Times New Roman" w:hAnsi="Times New Roman"/>
          <w:color w:val="000000"/>
          <w:sz w:val="24"/>
          <w:szCs w:val="24"/>
          <w:lang w:val="en-US"/>
        </w:rPr>
        <w:t>SILVEIRA NETO</w:t>
      </w:r>
      <w:r w:rsidR="00E12E53" w:rsidRPr="006942A0">
        <w:rPr>
          <w:rFonts w:ascii="Times New Roman" w:eastAsia="Times New Roman" w:hAnsi="Times New Roman"/>
          <w:color w:val="000000"/>
          <w:sz w:val="24"/>
          <w:szCs w:val="24"/>
          <w:lang w:val="en-US"/>
        </w:rPr>
        <w:t>, R. &amp; A</w:t>
      </w:r>
      <w:r w:rsidRPr="006942A0">
        <w:rPr>
          <w:rFonts w:ascii="Times New Roman" w:eastAsia="Times New Roman" w:hAnsi="Times New Roman"/>
          <w:color w:val="000000"/>
          <w:sz w:val="24"/>
          <w:szCs w:val="24"/>
          <w:lang w:val="en-US"/>
        </w:rPr>
        <w:t>ZZONI, C.</w:t>
      </w:r>
      <w:r w:rsidR="00E12E53" w:rsidRPr="006942A0">
        <w:rPr>
          <w:rFonts w:ascii="Times New Roman" w:eastAsia="Times New Roman" w:hAnsi="Times New Roman"/>
          <w:color w:val="000000"/>
          <w:sz w:val="24"/>
          <w:szCs w:val="24"/>
          <w:lang w:val="en-US"/>
        </w:rPr>
        <w:t xml:space="preserve"> (2010) “</w:t>
      </w:r>
      <w:r w:rsidR="006942A0" w:rsidRPr="006942A0">
        <w:rPr>
          <w:rFonts w:ascii="Times New Roman" w:hAnsi="Times New Roman"/>
          <w:color w:val="000000"/>
          <w:sz w:val="24"/>
          <w:szCs w:val="24"/>
          <w:lang w:val="en-US"/>
        </w:rPr>
        <w:t>Non-spatial government policies and regional income inequality in Brazil</w:t>
      </w:r>
      <w:r w:rsidR="006942A0">
        <w:rPr>
          <w:rFonts w:ascii="Times New Roman" w:hAnsi="Times New Roman"/>
          <w:color w:val="000000"/>
          <w:sz w:val="24"/>
          <w:szCs w:val="24"/>
          <w:lang w:val="en-US"/>
        </w:rPr>
        <w:t xml:space="preserve">”, </w:t>
      </w:r>
      <w:r w:rsidR="006942A0">
        <w:rPr>
          <w:rFonts w:ascii="Times New Roman" w:hAnsi="Times New Roman"/>
          <w:i/>
          <w:color w:val="000000"/>
          <w:sz w:val="24"/>
          <w:szCs w:val="24"/>
          <w:lang w:val="en-US"/>
        </w:rPr>
        <w:t xml:space="preserve">Regional Studies </w:t>
      </w:r>
      <w:r w:rsidR="006942A0">
        <w:rPr>
          <w:rFonts w:ascii="Times New Roman" w:hAnsi="Times New Roman"/>
          <w:color w:val="000000"/>
          <w:sz w:val="24"/>
          <w:szCs w:val="24"/>
          <w:lang w:val="en-US"/>
        </w:rPr>
        <w:t>(forthcoming).</w:t>
      </w:r>
    </w:p>
    <w:p w:rsidR="00D70075" w:rsidRPr="006942A0" w:rsidRDefault="00D70075" w:rsidP="00973477">
      <w:pPr>
        <w:spacing w:after="0" w:line="240" w:lineRule="auto"/>
        <w:jc w:val="both"/>
        <w:rPr>
          <w:rFonts w:ascii="Times New Roman" w:eastAsia="Times New Roman" w:hAnsi="Times New Roman"/>
          <w:color w:val="000000"/>
          <w:sz w:val="24"/>
          <w:szCs w:val="24"/>
          <w:lang w:val="en-US"/>
        </w:rPr>
      </w:pPr>
    </w:p>
    <w:p w:rsidR="00A73DC6" w:rsidRDefault="00A73DC6" w:rsidP="00973477">
      <w:pPr>
        <w:spacing w:after="0" w:line="240" w:lineRule="auto"/>
        <w:jc w:val="both"/>
        <w:rPr>
          <w:rFonts w:ascii="Times New Roman" w:eastAsia="Times New Roman" w:hAnsi="Times New Roman"/>
          <w:color w:val="000000"/>
          <w:sz w:val="24"/>
          <w:szCs w:val="24"/>
        </w:rPr>
      </w:pPr>
      <w:r w:rsidRPr="00A73DC6">
        <w:rPr>
          <w:rFonts w:ascii="Times New Roman" w:eastAsia="Times New Roman" w:hAnsi="Times New Roman"/>
          <w:color w:val="000000"/>
          <w:sz w:val="24"/>
          <w:szCs w:val="24"/>
        </w:rPr>
        <w:t xml:space="preserve">SOARES S. (2006a). Distribuição de renda no Brasil de </w:t>
      </w:r>
      <w:smartTag w:uri="urn:schemas-microsoft-com:office:smarttags" w:element="metricconverter">
        <w:smartTagPr>
          <w:attr w:name="ProductID" w:val="1976 a"/>
        </w:smartTagPr>
        <w:r w:rsidRPr="00A73DC6">
          <w:rPr>
            <w:rFonts w:ascii="Times New Roman" w:eastAsia="Times New Roman" w:hAnsi="Times New Roman"/>
            <w:color w:val="000000"/>
            <w:sz w:val="24"/>
            <w:szCs w:val="24"/>
          </w:rPr>
          <w:t>1976 a</w:t>
        </w:r>
      </w:smartTag>
      <w:r w:rsidRPr="00A73DC6">
        <w:rPr>
          <w:rFonts w:ascii="Times New Roman" w:eastAsia="Times New Roman" w:hAnsi="Times New Roman"/>
          <w:color w:val="000000"/>
          <w:sz w:val="24"/>
          <w:szCs w:val="24"/>
        </w:rPr>
        <w:t xml:space="preserve"> 2004 com ênfase no período entre 2001 e 2004. Brasília: IPEA. (Textos para discussão. N. 1166).</w:t>
      </w:r>
    </w:p>
    <w:p w:rsidR="00D70075" w:rsidRPr="00A73DC6" w:rsidRDefault="00D70075" w:rsidP="00973477">
      <w:pPr>
        <w:spacing w:after="0" w:line="240" w:lineRule="auto"/>
        <w:jc w:val="both"/>
        <w:rPr>
          <w:rFonts w:ascii="Times New Roman" w:eastAsia="Times New Roman" w:hAnsi="Times New Roman"/>
          <w:color w:val="000000"/>
          <w:sz w:val="24"/>
          <w:szCs w:val="24"/>
        </w:rPr>
      </w:pPr>
    </w:p>
    <w:p w:rsidR="00A73DC6" w:rsidRDefault="00A73DC6" w:rsidP="00973477">
      <w:pPr>
        <w:spacing w:after="0" w:line="240" w:lineRule="auto"/>
        <w:jc w:val="both"/>
        <w:rPr>
          <w:rFonts w:ascii="Times New Roman" w:eastAsia="Times New Roman" w:hAnsi="Times New Roman"/>
          <w:color w:val="000000"/>
          <w:sz w:val="24"/>
          <w:szCs w:val="24"/>
        </w:rPr>
      </w:pPr>
      <w:r w:rsidRPr="00A73DC6">
        <w:rPr>
          <w:rFonts w:ascii="Times New Roman" w:eastAsia="Times New Roman" w:hAnsi="Times New Roman"/>
          <w:color w:val="000000"/>
          <w:sz w:val="24"/>
          <w:szCs w:val="24"/>
        </w:rPr>
        <w:t>________ (2006b). Análise de bem-estar e Decomposição por fatores da queda na desigualdade entre 1995 e 2004. Econômica. Rio de Janeiro. V. 8. N. 1. 83-115.</w:t>
      </w:r>
    </w:p>
    <w:p w:rsidR="00D70075" w:rsidRDefault="00D70075" w:rsidP="00973477">
      <w:pPr>
        <w:spacing w:after="0" w:line="240" w:lineRule="auto"/>
        <w:jc w:val="both"/>
        <w:rPr>
          <w:rFonts w:ascii="Times New Roman" w:eastAsia="Times New Roman" w:hAnsi="Times New Roman"/>
          <w:color w:val="000000"/>
          <w:sz w:val="24"/>
          <w:szCs w:val="24"/>
        </w:rPr>
      </w:pPr>
    </w:p>
    <w:p w:rsidR="006942A0" w:rsidRPr="00A73DC6" w:rsidRDefault="006942A0" w:rsidP="00973477">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SOARES, S &amp; SÁTYRO, N. (2009) “O Programa Bolsa Família: Desenho Institucional, Impactos e Possibilidades Futuras”, </w:t>
      </w:r>
      <w:r w:rsidRPr="00A73DC6">
        <w:rPr>
          <w:rFonts w:ascii="Times New Roman" w:eastAsia="Times New Roman" w:hAnsi="Times New Roman"/>
          <w:color w:val="000000"/>
          <w:sz w:val="24"/>
          <w:szCs w:val="24"/>
        </w:rPr>
        <w:t>Brasília: IPEA. (Textos para discussão.</w:t>
      </w:r>
      <w:r>
        <w:rPr>
          <w:rFonts w:ascii="Times New Roman" w:eastAsia="Times New Roman" w:hAnsi="Times New Roman"/>
          <w:color w:val="000000"/>
          <w:sz w:val="24"/>
          <w:szCs w:val="24"/>
        </w:rPr>
        <w:t xml:space="preserve"> N. 1424</w:t>
      </w:r>
      <w:r w:rsidRPr="00A73DC6">
        <w:rPr>
          <w:rFonts w:ascii="Times New Roman" w:eastAsia="Times New Roman" w:hAnsi="Times New Roman"/>
          <w:color w:val="000000"/>
          <w:sz w:val="24"/>
          <w:szCs w:val="24"/>
        </w:rPr>
        <w:t>).</w:t>
      </w:r>
    </w:p>
    <w:sectPr w:rsidR="006942A0" w:rsidRPr="00A73DC6" w:rsidSect="00621C12">
      <w:pgSz w:w="12240" w:h="15840"/>
      <w:pgMar w:top="1134" w:right="85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1A5" w:rsidRDefault="000351A5" w:rsidP="00EE6C37">
      <w:pPr>
        <w:spacing w:after="0" w:line="240" w:lineRule="auto"/>
      </w:pPr>
      <w:r>
        <w:separator/>
      </w:r>
    </w:p>
  </w:endnote>
  <w:endnote w:type="continuationSeparator" w:id="0">
    <w:p w:rsidR="000351A5" w:rsidRDefault="000351A5" w:rsidP="00EE6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1A5" w:rsidRDefault="000351A5" w:rsidP="00EE6C37">
      <w:pPr>
        <w:spacing w:after="0" w:line="240" w:lineRule="auto"/>
      </w:pPr>
      <w:r>
        <w:separator/>
      </w:r>
    </w:p>
  </w:footnote>
  <w:footnote w:type="continuationSeparator" w:id="0">
    <w:p w:rsidR="000351A5" w:rsidRDefault="000351A5" w:rsidP="00EE6C37">
      <w:pPr>
        <w:spacing w:after="0" w:line="240" w:lineRule="auto"/>
      </w:pPr>
      <w:r>
        <w:continuationSeparator/>
      </w:r>
    </w:p>
  </w:footnote>
  <w:footnote w:id="1">
    <w:p w:rsidR="005C59E9" w:rsidRPr="004F18AA" w:rsidRDefault="005C59E9" w:rsidP="00F36F82">
      <w:pPr>
        <w:pStyle w:val="FootnoteText"/>
        <w:jc w:val="both"/>
      </w:pPr>
      <w:r>
        <w:rPr>
          <w:rStyle w:val="FootnoteReference"/>
        </w:rPr>
        <w:footnoteRef/>
      </w:r>
      <w:r>
        <w:t xml:space="preserve"> Na verdade, há, na literatura empírica brasileira duas formas distintas de registro destas renda a partir de informações da PNAD. Soares, </w:t>
      </w:r>
      <w:r>
        <w:rPr>
          <w:i/>
        </w:rPr>
        <w:t xml:space="preserve">et al. </w:t>
      </w:r>
      <w:r>
        <w:t>(2006) utiliza um conjunto de regras de atribuição de renda às famílias a partir dos critérios da BPC e do BF; já Foguel e Barros (2008) e Silveira Neto e Azzoni (2010) procuram identificar as famílias com as características do programa na atribuição de renda. Por maior facilidade quanto à comparação dos resultados, a presente pesquisa deu preferência ao primeiro expediente.</w:t>
      </w:r>
    </w:p>
  </w:footnote>
  <w:footnote w:id="2">
    <w:p w:rsidR="005C59E9" w:rsidRDefault="005C59E9" w:rsidP="00D70075">
      <w:pPr>
        <w:pStyle w:val="FootnoteText"/>
        <w:jc w:val="both"/>
      </w:pPr>
      <w:r>
        <w:rPr>
          <w:rStyle w:val="FootnoteReference"/>
        </w:rPr>
        <w:footnoteRef/>
      </w:r>
      <w:r>
        <w:t xml:space="preserve"> Veja-se Krugman (1991) para o detalhamento maior da medida e Silveira Neto (2005) para uma aplicação para os diferentes ramos industriais brasileiros ente 1950 e 2000. </w:t>
      </w:r>
    </w:p>
  </w:footnote>
  <w:footnote w:id="3">
    <w:p w:rsidR="005C59E9" w:rsidRDefault="005C59E9" w:rsidP="00D70075">
      <w:pPr>
        <w:pStyle w:val="FootnoteText"/>
        <w:jc w:val="both"/>
      </w:pPr>
      <w:r>
        <w:rPr>
          <w:rStyle w:val="FootnoteReference"/>
        </w:rPr>
        <w:footnoteRef/>
      </w:r>
      <w:r>
        <w:t xml:space="preserve"> Embora de óbvia relevância, está fora do escopo deste trabalho uma discussão a respeito da natureza desta redução de desigualdade e quais ramos industriais específicos são responsáveis pelo movimento geral observado. A este respeito, Silveira Neto (2005) apresenta uma análise </w:t>
      </w:r>
      <w:r w:rsidR="00621C12">
        <w:t>empírica dos determinantes da desconcentração industrial brasileira do período 1985</w:t>
      </w:r>
      <w:r>
        <w:t>-2000.</w:t>
      </w:r>
    </w:p>
  </w:footnote>
  <w:footnote w:id="4">
    <w:p w:rsidR="005C59E9" w:rsidRPr="00F1253D" w:rsidRDefault="005C59E9" w:rsidP="00EE6C37">
      <w:pPr>
        <w:pStyle w:val="FootnoteText"/>
        <w:jc w:val="both"/>
      </w:pPr>
      <w:r>
        <w:rPr>
          <w:rStyle w:val="FootnoteReference"/>
        </w:rPr>
        <w:footnoteRef/>
      </w:r>
      <w:r>
        <w:t xml:space="preserve"> Por exemplo, se toda a renda da parcela de aposentadorias estivesse direcionada para os 50% mais pobres (medidos em termos de renda total), a curva de concentração para esta parcela de renda seria horizontal para os demais 50%, ao contrário da curva de Lorenz que é sempre crescente.</w:t>
      </w:r>
    </w:p>
  </w:footnote>
  <w:footnote w:id="5">
    <w:p w:rsidR="005C59E9" w:rsidRDefault="005C59E9" w:rsidP="00F77E19">
      <w:pPr>
        <w:pStyle w:val="FootnoteText"/>
        <w:jc w:val="both"/>
      </w:pPr>
      <w:r>
        <w:rPr>
          <w:rStyle w:val="FootnoteReference"/>
        </w:rPr>
        <w:footnoteRef/>
      </w:r>
      <w:r>
        <w:t xml:space="preserve"> Veja-se Jenkins (1995) para maior desenvolvimento desta e de outras decomposições.</w:t>
      </w:r>
    </w:p>
  </w:footnote>
  <w:footnote w:id="6">
    <w:p w:rsidR="005C59E9" w:rsidRDefault="005C59E9" w:rsidP="006D656E">
      <w:pPr>
        <w:pStyle w:val="FootnoteText"/>
        <w:jc w:val="both"/>
      </w:pPr>
      <w:r>
        <w:rPr>
          <w:rStyle w:val="FootnoteReference"/>
        </w:rPr>
        <w:footnoteRef/>
      </w:r>
      <w:r>
        <w:t xml:space="preserve"> Enfatize-se, contudo, que tanto o Índice de Gini, como as medidas de Entropia Generalizadas, obedece ao axioma das transferências de Dalton-Pigou.</w:t>
      </w:r>
    </w:p>
  </w:footnote>
  <w:footnote w:id="7">
    <w:p w:rsidR="005C59E9" w:rsidRPr="002F60CC" w:rsidRDefault="005C59E9" w:rsidP="002F60CC">
      <w:pPr>
        <w:pStyle w:val="FootnoteText"/>
        <w:jc w:val="both"/>
      </w:pPr>
      <w:r>
        <w:rPr>
          <w:rStyle w:val="FootnoteReference"/>
        </w:rPr>
        <w:footnoteRef/>
      </w:r>
      <w:r>
        <w:t xml:space="preserve"> O valor negativo para coeficiente de concentração da renda do trabalho da agricultura, relembre-se, indica que tal fonte beneficiava relativamente mais os estados mais pobres, dada a distribuição da renda total </w:t>
      </w:r>
      <w:r>
        <w:rPr>
          <w:i/>
        </w:rPr>
        <w:t>per capita</w:t>
      </w:r>
      <w:r>
        <w:t>.</w:t>
      </w:r>
    </w:p>
  </w:footnote>
  <w:footnote w:id="8">
    <w:p w:rsidR="005C59E9" w:rsidRDefault="005C59E9">
      <w:pPr>
        <w:pStyle w:val="FootnoteText"/>
      </w:pPr>
      <w:r>
        <w:rPr>
          <w:rStyle w:val="FootnoteReference"/>
        </w:rPr>
        <w:footnoteRef/>
      </w:r>
      <w:r>
        <w:t xml:space="preserve"> Para derivação desta relação, veja-se Leman e Yitzhaki (1985).</w:t>
      </w:r>
    </w:p>
  </w:footnote>
  <w:footnote w:id="9">
    <w:p w:rsidR="005C59E9" w:rsidRDefault="005C59E9" w:rsidP="00952D46">
      <w:pPr>
        <w:pStyle w:val="FootnoteText"/>
        <w:jc w:val="both"/>
      </w:pPr>
      <w:r>
        <w:rPr>
          <w:rStyle w:val="FootnoteReference"/>
        </w:rPr>
        <w:footnoteRef/>
      </w:r>
      <w:r>
        <w:t xml:space="preserve"> Ou seja, valores negativos (positivos) para elasticidades correspondem a valores do coeficiente de concentração das referidas fontes de renda menores (maiores) que o índice de Gini (compare-se valores da tabela 2 com estes da tabela 5).</w:t>
      </w:r>
    </w:p>
  </w:footnote>
  <w:footnote w:id="10">
    <w:p w:rsidR="005C59E9" w:rsidRDefault="005C59E9" w:rsidP="000A2943">
      <w:pPr>
        <w:pStyle w:val="FootnoteText"/>
        <w:jc w:val="both"/>
      </w:pPr>
      <w:r>
        <w:rPr>
          <w:rStyle w:val="FootnoteReference"/>
        </w:rPr>
        <w:footnoteRef/>
      </w:r>
      <w:r>
        <w:t xml:space="preserve"> Perceba-se que a elasticidade da desigualdade regional com respeito à renda do trabalho da indústria era a mais elevada em 1995</w:t>
      </w:r>
      <w:r w:rsidR="00AA1DD7">
        <w:t xml:space="preserve">, mas apresenta </w:t>
      </w:r>
      <w:r>
        <w:t xml:space="preserve">metade </w:t>
      </w:r>
      <w:r w:rsidR="00AA1DD7">
        <w:t xml:space="preserve">do valor anterior </w:t>
      </w:r>
      <w:r>
        <w:t>em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4B0F"/>
    <w:multiLevelType w:val="hybridMultilevel"/>
    <w:tmpl w:val="3B00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E2880"/>
    <w:multiLevelType w:val="hybridMultilevel"/>
    <w:tmpl w:val="F7169E68"/>
    <w:lvl w:ilvl="0" w:tplc="B3D43F26">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9015A"/>
    <w:rsid w:val="0001619E"/>
    <w:rsid w:val="000303D3"/>
    <w:rsid w:val="000303E2"/>
    <w:rsid w:val="000351A5"/>
    <w:rsid w:val="00053743"/>
    <w:rsid w:val="000654AB"/>
    <w:rsid w:val="000731E7"/>
    <w:rsid w:val="00082342"/>
    <w:rsid w:val="00082767"/>
    <w:rsid w:val="000A2943"/>
    <w:rsid w:val="000B658F"/>
    <w:rsid w:val="000C0782"/>
    <w:rsid w:val="000C424B"/>
    <w:rsid w:val="000E214F"/>
    <w:rsid w:val="00105936"/>
    <w:rsid w:val="00107DFF"/>
    <w:rsid w:val="0012300C"/>
    <w:rsid w:val="001341BA"/>
    <w:rsid w:val="001411F8"/>
    <w:rsid w:val="00155994"/>
    <w:rsid w:val="00197AF6"/>
    <w:rsid w:val="001A47F0"/>
    <w:rsid w:val="001B4928"/>
    <w:rsid w:val="001B74A5"/>
    <w:rsid w:val="001C2FB8"/>
    <w:rsid w:val="001D2992"/>
    <w:rsid w:val="001E1962"/>
    <w:rsid w:val="001E24F8"/>
    <w:rsid w:val="001E6E33"/>
    <w:rsid w:val="001F4EE3"/>
    <w:rsid w:val="00221C9D"/>
    <w:rsid w:val="0022655E"/>
    <w:rsid w:val="00245DCA"/>
    <w:rsid w:val="00255317"/>
    <w:rsid w:val="00260DDE"/>
    <w:rsid w:val="002A6771"/>
    <w:rsid w:val="002B5209"/>
    <w:rsid w:val="002C4930"/>
    <w:rsid w:val="002D2B28"/>
    <w:rsid w:val="002D2D44"/>
    <w:rsid w:val="002D4CA2"/>
    <w:rsid w:val="002E0C91"/>
    <w:rsid w:val="002F498C"/>
    <w:rsid w:val="002F60CC"/>
    <w:rsid w:val="00312286"/>
    <w:rsid w:val="00324CF0"/>
    <w:rsid w:val="00352A93"/>
    <w:rsid w:val="00352CD5"/>
    <w:rsid w:val="003619AC"/>
    <w:rsid w:val="00367591"/>
    <w:rsid w:val="00371E1B"/>
    <w:rsid w:val="00383D7F"/>
    <w:rsid w:val="00396896"/>
    <w:rsid w:val="003A0D3E"/>
    <w:rsid w:val="003B577C"/>
    <w:rsid w:val="003B5882"/>
    <w:rsid w:val="003C5F42"/>
    <w:rsid w:val="003E172E"/>
    <w:rsid w:val="003E28E8"/>
    <w:rsid w:val="003F1585"/>
    <w:rsid w:val="004205AA"/>
    <w:rsid w:val="00444721"/>
    <w:rsid w:val="00454441"/>
    <w:rsid w:val="00454855"/>
    <w:rsid w:val="00456F4E"/>
    <w:rsid w:val="00461E7C"/>
    <w:rsid w:val="0047412F"/>
    <w:rsid w:val="00480799"/>
    <w:rsid w:val="00486CFB"/>
    <w:rsid w:val="0049646A"/>
    <w:rsid w:val="004B5029"/>
    <w:rsid w:val="004B57A5"/>
    <w:rsid w:val="004B5AB8"/>
    <w:rsid w:val="004E20C7"/>
    <w:rsid w:val="004E256C"/>
    <w:rsid w:val="004F1844"/>
    <w:rsid w:val="004F18AA"/>
    <w:rsid w:val="00504724"/>
    <w:rsid w:val="005237B9"/>
    <w:rsid w:val="005507F7"/>
    <w:rsid w:val="005539C3"/>
    <w:rsid w:val="00563F7B"/>
    <w:rsid w:val="00583F06"/>
    <w:rsid w:val="00584EFA"/>
    <w:rsid w:val="005B0EB5"/>
    <w:rsid w:val="005C59E9"/>
    <w:rsid w:val="005C7BC0"/>
    <w:rsid w:val="005D6046"/>
    <w:rsid w:val="006151D8"/>
    <w:rsid w:val="00621C12"/>
    <w:rsid w:val="0065771A"/>
    <w:rsid w:val="00672F96"/>
    <w:rsid w:val="006762E8"/>
    <w:rsid w:val="0067747C"/>
    <w:rsid w:val="00677E3F"/>
    <w:rsid w:val="006942A0"/>
    <w:rsid w:val="006B01A9"/>
    <w:rsid w:val="006B15EC"/>
    <w:rsid w:val="006B4CF2"/>
    <w:rsid w:val="006D0467"/>
    <w:rsid w:val="006D42F9"/>
    <w:rsid w:val="006D656E"/>
    <w:rsid w:val="006E334B"/>
    <w:rsid w:val="006E432C"/>
    <w:rsid w:val="006E6206"/>
    <w:rsid w:val="006F6FCE"/>
    <w:rsid w:val="007142E6"/>
    <w:rsid w:val="00746E05"/>
    <w:rsid w:val="00755F02"/>
    <w:rsid w:val="00770208"/>
    <w:rsid w:val="0077568A"/>
    <w:rsid w:val="007767AE"/>
    <w:rsid w:val="007873D9"/>
    <w:rsid w:val="007969B9"/>
    <w:rsid w:val="007A1FD5"/>
    <w:rsid w:val="007B67AA"/>
    <w:rsid w:val="007D6995"/>
    <w:rsid w:val="007E6D41"/>
    <w:rsid w:val="007F5AC4"/>
    <w:rsid w:val="008015D0"/>
    <w:rsid w:val="00804C22"/>
    <w:rsid w:val="00820172"/>
    <w:rsid w:val="00822CB3"/>
    <w:rsid w:val="00825B3E"/>
    <w:rsid w:val="00826D6B"/>
    <w:rsid w:val="00835ACB"/>
    <w:rsid w:val="0084229C"/>
    <w:rsid w:val="0084350C"/>
    <w:rsid w:val="00846EFE"/>
    <w:rsid w:val="008678C8"/>
    <w:rsid w:val="008750B6"/>
    <w:rsid w:val="00885EF7"/>
    <w:rsid w:val="00892EE0"/>
    <w:rsid w:val="008C42BD"/>
    <w:rsid w:val="008C4D5E"/>
    <w:rsid w:val="008F269F"/>
    <w:rsid w:val="008F6979"/>
    <w:rsid w:val="00910DF2"/>
    <w:rsid w:val="00911623"/>
    <w:rsid w:val="009419FD"/>
    <w:rsid w:val="00952D46"/>
    <w:rsid w:val="009561E6"/>
    <w:rsid w:val="0096454F"/>
    <w:rsid w:val="00973477"/>
    <w:rsid w:val="009771A9"/>
    <w:rsid w:val="009B220C"/>
    <w:rsid w:val="009B48E7"/>
    <w:rsid w:val="009C3596"/>
    <w:rsid w:val="009C5B50"/>
    <w:rsid w:val="009E6BDD"/>
    <w:rsid w:val="00A01A77"/>
    <w:rsid w:val="00A04CF1"/>
    <w:rsid w:val="00A06113"/>
    <w:rsid w:val="00A076E4"/>
    <w:rsid w:val="00A16D4D"/>
    <w:rsid w:val="00A46894"/>
    <w:rsid w:val="00A57977"/>
    <w:rsid w:val="00A70825"/>
    <w:rsid w:val="00A73DC6"/>
    <w:rsid w:val="00A97297"/>
    <w:rsid w:val="00AA09BC"/>
    <w:rsid w:val="00AA1DD7"/>
    <w:rsid w:val="00AB5488"/>
    <w:rsid w:val="00AC1272"/>
    <w:rsid w:val="00AE1EA3"/>
    <w:rsid w:val="00B326A6"/>
    <w:rsid w:val="00B36FDB"/>
    <w:rsid w:val="00B45C35"/>
    <w:rsid w:val="00B65CC5"/>
    <w:rsid w:val="00B92C8B"/>
    <w:rsid w:val="00BA3242"/>
    <w:rsid w:val="00BB6568"/>
    <w:rsid w:val="00BC549B"/>
    <w:rsid w:val="00BE5DF0"/>
    <w:rsid w:val="00C5520C"/>
    <w:rsid w:val="00C631F9"/>
    <w:rsid w:val="00C66B2C"/>
    <w:rsid w:val="00C70BB1"/>
    <w:rsid w:val="00C73678"/>
    <w:rsid w:val="00C771C6"/>
    <w:rsid w:val="00C836E2"/>
    <w:rsid w:val="00C9015A"/>
    <w:rsid w:val="00C9099C"/>
    <w:rsid w:val="00C922A5"/>
    <w:rsid w:val="00CA46DF"/>
    <w:rsid w:val="00CC6586"/>
    <w:rsid w:val="00CE3033"/>
    <w:rsid w:val="00CF4049"/>
    <w:rsid w:val="00D04938"/>
    <w:rsid w:val="00D04A54"/>
    <w:rsid w:val="00D2368E"/>
    <w:rsid w:val="00D23A8F"/>
    <w:rsid w:val="00D36F15"/>
    <w:rsid w:val="00D67B3E"/>
    <w:rsid w:val="00D70075"/>
    <w:rsid w:val="00D728B6"/>
    <w:rsid w:val="00D77005"/>
    <w:rsid w:val="00D93E69"/>
    <w:rsid w:val="00DC02F5"/>
    <w:rsid w:val="00DF7641"/>
    <w:rsid w:val="00E03D5B"/>
    <w:rsid w:val="00E12777"/>
    <w:rsid w:val="00E12E53"/>
    <w:rsid w:val="00E425C8"/>
    <w:rsid w:val="00E50D70"/>
    <w:rsid w:val="00E51E29"/>
    <w:rsid w:val="00E6088A"/>
    <w:rsid w:val="00E61656"/>
    <w:rsid w:val="00E752B4"/>
    <w:rsid w:val="00E82DC1"/>
    <w:rsid w:val="00E9494E"/>
    <w:rsid w:val="00EB0A1C"/>
    <w:rsid w:val="00EB7CBA"/>
    <w:rsid w:val="00ED20F7"/>
    <w:rsid w:val="00ED4B3C"/>
    <w:rsid w:val="00EE26AB"/>
    <w:rsid w:val="00EE6C37"/>
    <w:rsid w:val="00F14E68"/>
    <w:rsid w:val="00F214C5"/>
    <w:rsid w:val="00F27178"/>
    <w:rsid w:val="00F2728C"/>
    <w:rsid w:val="00F36F82"/>
    <w:rsid w:val="00F37EFE"/>
    <w:rsid w:val="00F60FB1"/>
    <w:rsid w:val="00F64F54"/>
    <w:rsid w:val="00F72147"/>
    <w:rsid w:val="00F77E19"/>
    <w:rsid w:val="00F813B6"/>
    <w:rsid w:val="00F86EFB"/>
    <w:rsid w:val="00FA511E"/>
    <w:rsid w:val="00FC2488"/>
    <w:rsid w:val="00FF7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4C5"/>
    <w:pPr>
      <w:spacing w:after="200" w:line="276" w:lineRule="auto"/>
    </w:pPr>
    <w:rPr>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1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205AA"/>
    <w:pPr>
      <w:ind w:left="720"/>
      <w:contextualSpacing/>
    </w:pPr>
  </w:style>
  <w:style w:type="paragraph" w:styleId="FootnoteText">
    <w:name w:val="footnote text"/>
    <w:basedOn w:val="Normal"/>
    <w:link w:val="FootnoteTextChar"/>
    <w:rsid w:val="00EE6C3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EE6C37"/>
    <w:rPr>
      <w:rFonts w:ascii="Times New Roman" w:eastAsia="Times New Roman" w:hAnsi="Times New Roman" w:cs="Times New Roman"/>
      <w:sz w:val="20"/>
      <w:szCs w:val="20"/>
      <w:lang w:val="pt-BR"/>
    </w:rPr>
  </w:style>
  <w:style w:type="character" w:styleId="FootnoteReference">
    <w:name w:val="footnote reference"/>
    <w:basedOn w:val="DefaultParagraphFont"/>
    <w:rsid w:val="00EE6C37"/>
    <w:rPr>
      <w:vertAlign w:val="superscript"/>
    </w:rPr>
  </w:style>
  <w:style w:type="character" w:styleId="PlaceholderText">
    <w:name w:val="Placeholder Text"/>
    <w:basedOn w:val="DefaultParagraphFont"/>
    <w:uiPriority w:val="99"/>
    <w:semiHidden/>
    <w:rsid w:val="00F64F54"/>
    <w:rPr>
      <w:color w:val="808080"/>
    </w:rPr>
  </w:style>
  <w:style w:type="paragraph" w:styleId="BalloonText">
    <w:name w:val="Balloon Text"/>
    <w:basedOn w:val="Normal"/>
    <w:link w:val="BalloonTextChar"/>
    <w:uiPriority w:val="99"/>
    <w:semiHidden/>
    <w:unhideWhenUsed/>
    <w:rsid w:val="00F64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F54"/>
    <w:rPr>
      <w:rFonts w:ascii="Tahoma" w:hAnsi="Tahoma" w:cs="Tahoma"/>
      <w:sz w:val="16"/>
      <w:szCs w:val="16"/>
      <w:lang w:val="pt-BR"/>
    </w:rPr>
  </w:style>
  <w:style w:type="paragraph" w:styleId="BodyText">
    <w:name w:val="Body Text"/>
    <w:basedOn w:val="Normal"/>
    <w:link w:val="BodyTextChar"/>
    <w:rsid w:val="00A73DC6"/>
    <w:pPr>
      <w:spacing w:after="0" w:line="240" w:lineRule="auto"/>
      <w:jc w:val="both"/>
    </w:pPr>
    <w:rPr>
      <w:rFonts w:ascii="Times New Roman" w:eastAsia="Times New Roman" w:hAnsi="Times New Roman"/>
      <w:b/>
      <w:bCs/>
      <w:sz w:val="24"/>
      <w:szCs w:val="24"/>
      <w:lang w:val="en-US" w:eastAsia="pt-BR"/>
    </w:rPr>
  </w:style>
  <w:style w:type="character" w:customStyle="1" w:styleId="BodyTextChar">
    <w:name w:val="Body Text Char"/>
    <w:basedOn w:val="DefaultParagraphFont"/>
    <w:link w:val="BodyText"/>
    <w:rsid w:val="00A73DC6"/>
    <w:rPr>
      <w:rFonts w:ascii="Times New Roman" w:eastAsia="Times New Roman" w:hAnsi="Times New Roman" w:cs="Times New Roman"/>
      <w:b/>
      <w:bCs/>
      <w:sz w:val="24"/>
      <w:szCs w:val="24"/>
      <w:lang w:eastAsia="pt-BR"/>
    </w:rPr>
  </w:style>
</w:styles>
</file>

<file path=word/webSettings.xml><?xml version="1.0" encoding="utf-8"?>
<w:webSettings xmlns:r="http://schemas.openxmlformats.org/officeDocument/2006/relationships" xmlns:w="http://schemas.openxmlformats.org/wordprocessingml/2006/main">
  <w:divs>
    <w:div w:id="122817684">
      <w:bodyDiv w:val="1"/>
      <w:marLeft w:val="0"/>
      <w:marRight w:val="0"/>
      <w:marTop w:val="0"/>
      <w:marBottom w:val="0"/>
      <w:divBdr>
        <w:top w:val="none" w:sz="0" w:space="0" w:color="auto"/>
        <w:left w:val="none" w:sz="0" w:space="0" w:color="auto"/>
        <w:bottom w:val="none" w:sz="0" w:space="0" w:color="auto"/>
        <w:right w:val="none" w:sz="0" w:space="0" w:color="auto"/>
      </w:divBdr>
    </w:div>
    <w:div w:id="1143738697">
      <w:bodyDiv w:val="1"/>
      <w:marLeft w:val="0"/>
      <w:marRight w:val="0"/>
      <w:marTop w:val="0"/>
      <w:marBottom w:val="0"/>
      <w:divBdr>
        <w:top w:val="none" w:sz="0" w:space="0" w:color="auto"/>
        <w:left w:val="none" w:sz="0" w:space="0" w:color="auto"/>
        <w:bottom w:val="none" w:sz="0" w:space="0" w:color="auto"/>
        <w:right w:val="none" w:sz="0" w:space="0" w:color="auto"/>
      </w:divBdr>
    </w:div>
    <w:div w:id="1202548569">
      <w:bodyDiv w:val="1"/>
      <w:marLeft w:val="0"/>
      <w:marRight w:val="0"/>
      <w:marTop w:val="0"/>
      <w:marBottom w:val="0"/>
      <w:divBdr>
        <w:top w:val="none" w:sz="0" w:space="0" w:color="auto"/>
        <w:left w:val="none" w:sz="0" w:space="0" w:color="auto"/>
        <w:bottom w:val="none" w:sz="0" w:space="0" w:color="auto"/>
        <w:right w:val="none" w:sz="0" w:space="0" w:color="auto"/>
      </w:divBdr>
    </w:div>
    <w:div w:id="15671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chart" Target="charts/chart3.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Oscar\Documents\Artigos%20pr&#243;prios%202009%20e%202010\Submetidos\Regional%20Studies\Extens&#227;o\Figura%20Bolsa%20Fam&#237;l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scar\Documents\Artigos%20pr&#243;prios%202009%20e%202010\Submetidos\Regional%20Studies\Extens&#227;o\Figura%20Bolsa%20Fam&#237;l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scar\Documents\Artigos%20pr&#243;prios%202009%20e%202010\Submetidos\Regional%20Studies\Extens&#227;o\Figura%20Bolsa%20Fam&#237;li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scar\Documents\Artigos%20pr&#243;prios%202009%20e%202010\Submetidos\Regional%20Studies\Extens&#227;o\Figura%20Bolsa%20Fam&#237;lia.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Oscar\Documents\Artigos%20pr&#243;prios%202009%20e%202010\Submetidos\Regional%20Studies\Revis&#227;o%202009\Resultados\figures%2033%20e%2044%20nova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25" b="0" i="0" u="none" strike="noStrike" baseline="0">
                <a:solidFill>
                  <a:srgbClr val="000000"/>
                </a:solidFill>
                <a:latin typeface="Arial"/>
                <a:ea typeface="Arial"/>
                <a:cs typeface="Arial"/>
              </a:defRPr>
            </a:pPr>
            <a:r>
              <a:rPr lang="en-US" sz="975" b="1" i="0" u="none" strike="noStrike" baseline="0">
                <a:solidFill>
                  <a:srgbClr val="000000"/>
                </a:solidFill>
                <a:latin typeface="Arial"/>
                <a:cs typeface="Arial"/>
              </a:rPr>
              <a:t>Gráfico 1 - Renda mensal </a:t>
            </a:r>
            <a:r>
              <a:rPr lang="en-US" sz="975" b="1" i="1" u="none" strike="noStrike" baseline="0">
                <a:solidFill>
                  <a:srgbClr val="000000"/>
                </a:solidFill>
                <a:latin typeface="Arial"/>
                <a:cs typeface="Arial"/>
              </a:rPr>
              <a:t>per capita </a:t>
            </a:r>
            <a:r>
              <a:rPr lang="en-US" sz="975" b="1" i="0" u="none" strike="noStrike" baseline="0">
                <a:solidFill>
                  <a:srgbClr val="000000"/>
                </a:solidFill>
                <a:latin typeface="Arial"/>
                <a:cs typeface="Arial"/>
              </a:rPr>
              <a:t>derivada do Programa Bolsa Família- 2006</a:t>
            </a:r>
          </a:p>
        </c:rich>
      </c:tx>
      <c:layout>
        <c:manualLayout>
          <c:xMode val="edge"/>
          <c:yMode val="edge"/>
          <c:x val="0.13716125197269041"/>
          <c:y val="1.5873015873015883E-2"/>
        </c:manualLayout>
      </c:layout>
      <c:spPr>
        <a:noFill/>
        <a:ln w="25400">
          <a:noFill/>
        </a:ln>
      </c:spPr>
    </c:title>
    <c:plotArea>
      <c:layout>
        <c:manualLayout>
          <c:layoutTarget val="inner"/>
          <c:xMode val="edge"/>
          <c:yMode val="edge"/>
          <c:x val="0.1036684230282211"/>
          <c:y val="0.20000062004160477"/>
          <c:w val="0.88038414633196382"/>
          <c:h val="0.5682557299594807"/>
        </c:manualLayout>
      </c:layout>
      <c:barChart>
        <c:barDir val="col"/>
        <c:grouping val="clustered"/>
        <c:ser>
          <c:idx val="0"/>
          <c:order val="0"/>
          <c:tx>
            <c:strRef>
              <c:f>Plan1!$K$4</c:f>
              <c:strCache>
                <c:ptCount val="1"/>
                <c:pt idx="0">
                  <c:v>Gasto BF Per capita</c:v>
                </c:pt>
              </c:strCache>
            </c:strRef>
          </c:tx>
          <c:spPr>
            <a:solidFill>
              <a:srgbClr val="FFFFFF"/>
            </a:solidFill>
            <a:ln w="12700">
              <a:solidFill>
                <a:srgbClr val="000000"/>
              </a:solidFill>
              <a:prstDash val="solid"/>
            </a:ln>
          </c:spPr>
          <c:cat>
            <c:strRef>
              <c:f>Plan1!$J$5:$J$31</c:f>
              <c:strCache>
                <c:ptCount val="27"/>
                <c:pt idx="0">
                  <c:v>MA</c:v>
                </c:pt>
                <c:pt idx="1">
                  <c:v>AL</c:v>
                </c:pt>
                <c:pt idx="2">
                  <c:v>PI</c:v>
                </c:pt>
                <c:pt idx="3">
                  <c:v>CE</c:v>
                </c:pt>
                <c:pt idx="4">
                  <c:v>BA</c:v>
                </c:pt>
                <c:pt idx="5">
                  <c:v>PE</c:v>
                </c:pt>
                <c:pt idx="6">
                  <c:v>PB</c:v>
                </c:pt>
                <c:pt idx="7">
                  <c:v>SE</c:v>
                </c:pt>
                <c:pt idx="8">
                  <c:v>RR</c:v>
                </c:pt>
                <c:pt idx="9">
                  <c:v>TO</c:v>
                </c:pt>
                <c:pt idx="10">
                  <c:v>PA</c:v>
                </c:pt>
                <c:pt idx="11">
                  <c:v>RN</c:v>
                </c:pt>
                <c:pt idx="12">
                  <c:v>AM</c:v>
                </c:pt>
                <c:pt idx="13">
                  <c:v>AP</c:v>
                </c:pt>
                <c:pt idx="14">
                  <c:v>AC</c:v>
                </c:pt>
                <c:pt idx="15">
                  <c:v>MT</c:v>
                </c:pt>
                <c:pt idx="16">
                  <c:v>MG</c:v>
                </c:pt>
                <c:pt idx="17">
                  <c:v>GO</c:v>
                </c:pt>
                <c:pt idx="18">
                  <c:v>MS</c:v>
                </c:pt>
                <c:pt idx="19">
                  <c:v>RO</c:v>
                </c:pt>
                <c:pt idx="20">
                  <c:v>ES</c:v>
                </c:pt>
                <c:pt idx="21">
                  <c:v>PR</c:v>
                </c:pt>
                <c:pt idx="22">
                  <c:v>RS</c:v>
                </c:pt>
                <c:pt idx="23">
                  <c:v>SC</c:v>
                </c:pt>
                <c:pt idx="24">
                  <c:v>RJ</c:v>
                </c:pt>
                <c:pt idx="25">
                  <c:v>SP</c:v>
                </c:pt>
                <c:pt idx="26">
                  <c:v>DF</c:v>
                </c:pt>
              </c:strCache>
            </c:strRef>
          </c:cat>
          <c:val>
            <c:numRef>
              <c:f>Plan1!$K$5:$K$31</c:f>
              <c:numCache>
                <c:formatCode>0.00</c:formatCode>
                <c:ptCount val="27"/>
                <c:pt idx="0">
                  <c:v>6.6815020000000001</c:v>
                </c:pt>
                <c:pt idx="1">
                  <c:v>5.9541019999999945</c:v>
                </c:pt>
                <c:pt idx="2">
                  <c:v>7.4080630000000207</c:v>
                </c:pt>
                <c:pt idx="3">
                  <c:v>6.4174339999999965</c:v>
                </c:pt>
                <c:pt idx="4">
                  <c:v>5.8068010000000001</c:v>
                </c:pt>
                <c:pt idx="5">
                  <c:v>6.0031539999999985</c:v>
                </c:pt>
                <c:pt idx="6">
                  <c:v>6.6200189999999761</c:v>
                </c:pt>
                <c:pt idx="7">
                  <c:v>4.3182229999999997</c:v>
                </c:pt>
                <c:pt idx="8">
                  <c:v>1.1444890000000001</c:v>
                </c:pt>
                <c:pt idx="9">
                  <c:v>5.220581999999979</c:v>
                </c:pt>
                <c:pt idx="10">
                  <c:v>3.9283310000000098</c:v>
                </c:pt>
                <c:pt idx="11">
                  <c:v>5.9464189999999997</c:v>
                </c:pt>
                <c:pt idx="12">
                  <c:v>3.491994</c:v>
                </c:pt>
                <c:pt idx="13">
                  <c:v>2.9680599999999977</c:v>
                </c:pt>
                <c:pt idx="14">
                  <c:v>2.9878930000000001</c:v>
                </c:pt>
                <c:pt idx="15">
                  <c:v>2.1736789999999977</c:v>
                </c:pt>
                <c:pt idx="16">
                  <c:v>3.0674549999999998</c:v>
                </c:pt>
                <c:pt idx="17">
                  <c:v>4.8488009999999955</c:v>
                </c:pt>
                <c:pt idx="18">
                  <c:v>4.0780510000000003</c:v>
                </c:pt>
                <c:pt idx="19">
                  <c:v>4.865565999999979</c:v>
                </c:pt>
                <c:pt idx="20">
                  <c:v>2.6577730000000002</c:v>
                </c:pt>
                <c:pt idx="21">
                  <c:v>1.8887700000000001</c:v>
                </c:pt>
                <c:pt idx="22">
                  <c:v>2.4795319999999998</c:v>
                </c:pt>
                <c:pt idx="23">
                  <c:v>1.2278689999999945</c:v>
                </c:pt>
                <c:pt idx="24">
                  <c:v>1.452582</c:v>
                </c:pt>
                <c:pt idx="25">
                  <c:v>1.4162870000000001</c:v>
                </c:pt>
                <c:pt idx="26">
                  <c:v>3.6495099999999998</c:v>
                </c:pt>
              </c:numCache>
            </c:numRef>
          </c:val>
        </c:ser>
        <c:axId val="51071616"/>
        <c:axId val="70932736"/>
      </c:barChart>
      <c:catAx>
        <c:axId val="51071616"/>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0932736"/>
        <c:crosses val="autoZero"/>
        <c:auto val="1"/>
        <c:lblAlgn val="ctr"/>
        <c:lblOffset val="100"/>
        <c:tickLblSkip val="1"/>
        <c:tickMarkSkip val="1"/>
      </c:catAx>
      <c:valAx>
        <c:axId val="70932736"/>
        <c:scaling>
          <c:orientation val="minMax"/>
        </c:scaling>
        <c:axPos val="l"/>
        <c:majorGridlines>
          <c:spPr>
            <a:ln w="3175">
              <a:solidFill>
                <a:srgbClr val="000000"/>
              </a:solidFill>
              <a:prstDash val="sysDash"/>
            </a:ln>
          </c:spPr>
        </c:majorGridlines>
        <c:numFmt formatCode="0" sourceLinked="0"/>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51071616"/>
        <c:crosses val="autoZero"/>
        <c:crossBetween val="between"/>
      </c:valAx>
      <c:spPr>
        <a:noFill/>
        <a:ln w="25400">
          <a:noFill/>
        </a:ln>
      </c:spPr>
    </c:plotArea>
    <c:plotVisOnly val="1"/>
    <c:dispBlanksAs val="gap"/>
  </c:chart>
  <c:spPr>
    <a:solidFill>
      <a:srgbClr val="FFFFFF"/>
    </a:solidFill>
    <a:ln w="9525">
      <a:noFill/>
    </a:ln>
  </c:spPr>
  <c:txPr>
    <a:bodyPr/>
    <a:lstStyle/>
    <a:p>
      <a:pPr>
        <a:defRPr sz="1125"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a:pPr>
            <a:r>
              <a:rPr lang="en-US" sz="1000">
                <a:latin typeface="Arial" pitchFamily="34" charset="0"/>
                <a:cs typeface="Arial" pitchFamily="34" charset="0"/>
              </a:rPr>
              <a:t>Gráfico 2 - Renda mensal </a:t>
            </a:r>
            <a:r>
              <a:rPr lang="en-US" sz="1000" i="1">
                <a:latin typeface="Arial" pitchFamily="34" charset="0"/>
                <a:cs typeface="Arial" pitchFamily="34" charset="0"/>
              </a:rPr>
              <a:t>per capita </a:t>
            </a:r>
            <a:r>
              <a:rPr lang="en-US" sz="1000" i="0">
                <a:latin typeface="Arial" pitchFamily="34" charset="0"/>
                <a:cs typeface="Arial" pitchFamily="34" charset="0"/>
              </a:rPr>
              <a:t>derivada do Benefício</a:t>
            </a:r>
            <a:r>
              <a:rPr lang="en-US" sz="1000" i="0" baseline="0">
                <a:latin typeface="Arial" pitchFamily="34" charset="0"/>
                <a:cs typeface="Arial" pitchFamily="34" charset="0"/>
              </a:rPr>
              <a:t> de Prestação Continuada</a:t>
            </a:r>
            <a:endParaRPr lang="en-US" sz="1000">
              <a:latin typeface="Arial" pitchFamily="34" charset="0"/>
              <a:cs typeface="Arial" pitchFamily="34" charset="0"/>
            </a:endParaRPr>
          </a:p>
        </c:rich>
      </c:tx>
      <c:layout>
        <c:manualLayout>
          <c:xMode val="edge"/>
          <c:yMode val="edge"/>
          <c:x val="0.12203529847230662"/>
          <c:y val="3.4431874077717833E-2"/>
        </c:manualLayout>
      </c:layout>
    </c:title>
    <c:plotArea>
      <c:layout/>
      <c:barChart>
        <c:barDir val="col"/>
        <c:grouping val="clustered"/>
        <c:ser>
          <c:idx val="0"/>
          <c:order val="0"/>
          <c:tx>
            <c:strRef>
              <c:f>Plan1!$K$37</c:f>
              <c:strCache>
                <c:ptCount val="1"/>
                <c:pt idx="0">
                  <c:v>Gasto BPC Per capita</c:v>
                </c:pt>
              </c:strCache>
            </c:strRef>
          </c:tx>
          <c:spPr>
            <a:noFill/>
            <a:ln>
              <a:solidFill>
                <a:prstClr val="black"/>
              </a:solidFill>
            </a:ln>
          </c:spPr>
          <c:cat>
            <c:strRef>
              <c:f>Plan1!$J$38:$J$64</c:f>
              <c:strCache>
                <c:ptCount val="27"/>
                <c:pt idx="0">
                  <c:v>MA</c:v>
                </c:pt>
                <c:pt idx="1">
                  <c:v>AL</c:v>
                </c:pt>
                <c:pt idx="2">
                  <c:v>PI</c:v>
                </c:pt>
                <c:pt idx="3">
                  <c:v>CE</c:v>
                </c:pt>
                <c:pt idx="4">
                  <c:v>BA</c:v>
                </c:pt>
                <c:pt idx="5">
                  <c:v>PE</c:v>
                </c:pt>
                <c:pt idx="6">
                  <c:v>PB</c:v>
                </c:pt>
                <c:pt idx="7">
                  <c:v>SE</c:v>
                </c:pt>
                <c:pt idx="8">
                  <c:v>RR</c:v>
                </c:pt>
                <c:pt idx="9">
                  <c:v>TO</c:v>
                </c:pt>
                <c:pt idx="10">
                  <c:v>PA</c:v>
                </c:pt>
                <c:pt idx="11">
                  <c:v>RN</c:v>
                </c:pt>
                <c:pt idx="12">
                  <c:v>AM</c:v>
                </c:pt>
                <c:pt idx="13">
                  <c:v>AP</c:v>
                </c:pt>
                <c:pt idx="14">
                  <c:v>AC</c:v>
                </c:pt>
                <c:pt idx="15">
                  <c:v>MT</c:v>
                </c:pt>
                <c:pt idx="16">
                  <c:v>MG</c:v>
                </c:pt>
                <c:pt idx="17">
                  <c:v>GO</c:v>
                </c:pt>
                <c:pt idx="18">
                  <c:v>MS</c:v>
                </c:pt>
                <c:pt idx="19">
                  <c:v>RO</c:v>
                </c:pt>
                <c:pt idx="20">
                  <c:v>ES</c:v>
                </c:pt>
                <c:pt idx="21">
                  <c:v>PR</c:v>
                </c:pt>
                <c:pt idx="22">
                  <c:v>RS</c:v>
                </c:pt>
                <c:pt idx="23">
                  <c:v>SC</c:v>
                </c:pt>
                <c:pt idx="24">
                  <c:v>RJ</c:v>
                </c:pt>
                <c:pt idx="25">
                  <c:v>SP</c:v>
                </c:pt>
                <c:pt idx="26">
                  <c:v>DF</c:v>
                </c:pt>
              </c:strCache>
            </c:strRef>
          </c:cat>
          <c:val>
            <c:numRef>
              <c:f>Plan1!$K$38:$K$64</c:f>
              <c:numCache>
                <c:formatCode>0.00</c:formatCode>
                <c:ptCount val="27"/>
                <c:pt idx="0">
                  <c:v>3.6709419999999997</c:v>
                </c:pt>
                <c:pt idx="1">
                  <c:v>3.0726889999999876</c:v>
                </c:pt>
                <c:pt idx="2">
                  <c:v>2.9791189999999967</c:v>
                </c:pt>
                <c:pt idx="3">
                  <c:v>4.0525739999999955</c:v>
                </c:pt>
                <c:pt idx="4">
                  <c:v>3.9121079999999977</c:v>
                </c:pt>
                <c:pt idx="5">
                  <c:v>6.8478979999999945</c:v>
                </c:pt>
                <c:pt idx="6">
                  <c:v>2.2280090000000001</c:v>
                </c:pt>
                <c:pt idx="7">
                  <c:v>2.1858</c:v>
                </c:pt>
                <c:pt idx="8">
                  <c:v>3.1893920000000002</c:v>
                </c:pt>
                <c:pt idx="9">
                  <c:v>5.6360210000000004</c:v>
                </c:pt>
                <c:pt idx="10">
                  <c:v>2.7661320000000011</c:v>
                </c:pt>
                <c:pt idx="11">
                  <c:v>2.377583</c:v>
                </c:pt>
                <c:pt idx="12">
                  <c:v>7.3865990000000004</c:v>
                </c:pt>
                <c:pt idx="13">
                  <c:v>1.639173</c:v>
                </c:pt>
                <c:pt idx="14">
                  <c:v>0.43634990000000123</c:v>
                </c:pt>
                <c:pt idx="15">
                  <c:v>2.3635120000000001</c:v>
                </c:pt>
                <c:pt idx="16">
                  <c:v>2.7710889999999977</c:v>
                </c:pt>
                <c:pt idx="17">
                  <c:v>3.6721159999999977</c:v>
                </c:pt>
                <c:pt idx="18">
                  <c:v>5.5317129999999999</c:v>
                </c:pt>
                <c:pt idx="19">
                  <c:v>3.1893920000000002</c:v>
                </c:pt>
                <c:pt idx="20">
                  <c:v>1.598473</c:v>
                </c:pt>
                <c:pt idx="21">
                  <c:v>1.8581560000000001</c:v>
                </c:pt>
                <c:pt idx="22">
                  <c:v>1.3164580000000001</c:v>
                </c:pt>
                <c:pt idx="23">
                  <c:v>0.61436000000000002</c:v>
                </c:pt>
                <c:pt idx="24">
                  <c:v>0.63614669999999995</c:v>
                </c:pt>
                <c:pt idx="25">
                  <c:v>1.082986</c:v>
                </c:pt>
                <c:pt idx="26">
                  <c:v>2.5853009999999998</c:v>
                </c:pt>
              </c:numCache>
            </c:numRef>
          </c:val>
        </c:ser>
        <c:axId val="95891456"/>
        <c:axId val="95893376"/>
      </c:barChart>
      <c:catAx>
        <c:axId val="95891456"/>
        <c:scaling>
          <c:orientation val="minMax"/>
        </c:scaling>
        <c:axPos val="b"/>
        <c:tickLblPos val="nextTo"/>
        <c:crossAx val="95893376"/>
        <c:crosses val="autoZero"/>
        <c:auto val="1"/>
        <c:lblAlgn val="ctr"/>
        <c:lblOffset val="100"/>
      </c:catAx>
      <c:valAx>
        <c:axId val="95893376"/>
        <c:scaling>
          <c:orientation val="minMax"/>
        </c:scaling>
        <c:axPos val="l"/>
        <c:majorGridlines>
          <c:spPr>
            <a:ln>
              <a:prstDash val="sysDot"/>
            </a:ln>
          </c:spPr>
        </c:majorGridlines>
        <c:numFmt formatCode="0" sourceLinked="0"/>
        <c:tickLblPos val="nextTo"/>
        <c:crossAx val="95891456"/>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latin typeface="Arial" pitchFamily="34" charset="0"/>
                <a:cs typeface="Arial" pitchFamily="34" charset="0"/>
              </a:rPr>
              <a:t>Gráfico 3 - Evolução do Coeficiente de Gini Locacional para a distruição do emprego industrial entre os estados brasileiros</a:t>
            </a:r>
          </a:p>
        </c:rich>
      </c:tx>
      <c:layout>
        <c:manualLayout>
          <c:xMode val="edge"/>
          <c:yMode val="edge"/>
          <c:x val="0.11665466816647919"/>
          <c:y val="2.3148148148148147E-2"/>
        </c:manualLayout>
      </c:layout>
    </c:title>
    <c:plotArea>
      <c:layout/>
      <c:lineChart>
        <c:grouping val="standard"/>
        <c:ser>
          <c:idx val="0"/>
          <c:order val="0"/>
          <c:tx>
            <c:strRef>
              <c:f>indústria!$AB$60</c:f>
              <c:strCache>
                <c:ptCount val="1"/>
                <c:pt idx="0">
                  <c:v>Gini locacional</c:v>
                </c:pt>
              </c:strCache>
            </c:strRef>
          </c:tx>
          <c:spPr>
            <a:ln>
              <a:solidFill>
                <a:schemeClr val="tx1"/>
              </a:solidFill>
            </a:ln>
          </c:spPr>
          <c:marker>
            <c:symbol val="none"/>
          </c:marker>
          <c:dLbls>
            <c:dLbl>
              <c:idx val="0"/>
              <c:layout>
                <c:manualLayout>
                  <c:x val="-7.1428571428571504E-3"/>
                  <c:y val="-3.7037037037037056E-2"/>
                </c:manualLayout>
              </c:layout>
              <c:showVal val="1"/>
            </c:dLbl>
            <c:dLbl>
              <c:idx val="1"/>
              <c:delete val="1"/>
            </c:dLbl>
            <c:dLbl>
              <c:idx val="2"/>
              <c:delete val="1"/>
            </c:dLbl>
            <c:dLbl>
              <c:idx val="3"/>
              <c:layout>
                <c:manualLayout>
                  <c:x val="-2.1428571428571491E-2"/>
                  <c:y val="-5.5555555555555455E-2"/>
                </c:manualLayout>
              </c:layout>
              <c:showVal val="1"/>
            </c:dLbl>
            <c:dLbl>
              <c:idx val="4"/>
              <c:delete val="1"/>
            </c:dLbl>
            <c:dLbl>
              <c:idx val="5"/>
              <c:layout>
                <c:manualLayout>
                  <c:x val="2.3809523809523812E-3"/>
                  <c:y val="-6.0185185185185147E-2"/>
                </c:manualLayout>
              </c:layout>
              <c:showVal val="1"/>
            </c:dLbl>
            <c:dLbl>
              <c:idx val="6"/>
              <c:delete val="1"/>
            </c:dLbl>
            <c:dLbl>
              <c:idx val="7"/>
              <c:delete val="1"/>
            </c:dLbl>
            <c:dLbl>
              <c:idx val="8"/>
              <c:delete val="1"/>
            </c:dLbl>
            <c:dLbl>
              <c:idx val="9"/>
              <c:delete val="1"/>
            </c:dLbl>
            <c:dLbl>
              <c:idx val="10"/>
              <c:layout>
                <c:manualLayout>
                  <c:x val="-7.1428571428571504E-3"/>
                  <c:y val="-5.5555555555555455E-2"/>
                </c:manualLayout>
              </c:layout>
              <c:showVal val="1"/>
            </c:dLbl>
            <c:showVal val="1"/>
          </c:dLbls>
          <c:cat>
            <c:numRef>
              <c:f>indústria!$AC$59:$AM$59</c:f>
              <c:numCache>
                <c:formatCode>General</c:formatCode>
                <c:ptCount val="11"/>
                <c:pt idx="0">
                  <c:v>1995</c:v>
                </c:pt>
                <c:pt idx="1">
                  <c:v>1996</c:v>
                </c:pt>
                <c:pt idx="2">
                  <c:v>1997</c:v>
                </c:pt>
                <c:pt idx="3">
                  <c:v>1998</c:v>
                </c:pt>
                <c:pt idx="4">
                  <c:v>1999</c:v>
                </c:pt>
                <c:pt idx="5">
                  <c:v>2001</c:v>
                </c:pt>
                <c:pt idx="6">
                  <c:v>2002</c:v>
                </c:pt>
                <c:pt idx="7">
                  <c:v>2003</c:v>
                </c:pt>
                <c:pt idx="8">
                  <c:v>2004</c:v>
                </c:pt>
                <c:pt idx="9">
                  <c:v>2005</c:v>
                </c:pt>
                <c:pt idx="10">
                  <c:v>2006</c:v>
                </c:pt>
              </c:numCache>
            </c:numRef>
          </c:cat>
          <c:val>
            <c:numRef>
              <c:f>indústria!$AC$60:$AM$60</c:f>
              <c:numCache>
                <c:formatCode>0.0000</c:formatCode>
                <c:ptCount val="11"/>
                <c:pt idx="0">
                  <c:v>0.17832469999999989</c:v>
                </c:pt>
                <c:pt idx="1">
                  <c:v>0.16891300000000073</c:v>
                </c:pt>
                <c:pt idx="2">
                  <c:v>0.16414701999999992</c:v>
                </c:pt>
                <c:pt idx="3">
                  <c:v>0.15729308000000108</c:v>
                </c:pt>
                <c:pt idx="4">
                  <c:v>0.15559578000000093</c:v>
                </c:pt>
                <c:pt idx="5">
                  <c:v>0.14181746000000053</c:v>
                </c:pt>
                <c:pt idx="6">
                  <c:v>0.13914954000000004</c:v>
                </c:pt>
                <c:pt idx="7">
                  <c:v>0.13931596000000004</c:v>
                </c:pt>
                <c:pt idx="8">
                  <c:v>0.14317381999999987</c:v>
                </c:pt>
                <c:pt idx="9">
                  <c:v>0.13947440000000041</c:v>
                </c:pt>
                <c:pt idx="10">
                  <c:v>0.13079273999999996</c:v>
                </c:pt>
              </c:numCache>
            </c:numRef>
          </c:val>
        </c:ser>
        <c:marker val="1"/>
        <c:axId val="96337280"/>
        <c:axId val="97670656"/>
      </c:lineChart>
      <c:catAx>
        <c:axId val="96337280"/>
        <c:scaling>
          <c:orientation val="minMax"/>
        </c:scaling>
        <c:axPos val="b"/>
        <c:numFmt formatCode="General" sourceLinked="1"/>
        <c:tickLblPos val="nextTo"/>
        <c:crossAx val="97670656"/>
        <c:crosses val="autoZero"/>
        <c:auto val="1"/>
        <c:lblAlgn val="ctr"/>
        <c:lblOffset val="100"/>
      </c:catAx>
      <c:valAx>
        <c:axId val="97670656"/>
        <c:scaling>
          <c:orientation val="minMax"/>
          <c:min val="0.1"/>
        </c:scaling>
        <c:axPos val="l"/>
        <c:numFmt formatCode="0.0000" sourceLinked="1"/>
        <c:tickLblPos val="nextTo"/>
        <c:crossAx val="96337280"/>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6965011529528884E-2"/>
          <c:y val="0.15788203557888641"/>
          <c:w val="0.91727243103902745"/>
          <c:h val="0.68408172936716238"/>
        </c:manualLayout>
      </c:layout>
      <c:barChart>
        <c:barDir val="col"/>
        <c:grouping val="clustered"/>
        <c:ser>
          <c:idx val="0"/>
          <c:order val="0"/>
          <c:tx>
            <c:strRef>
              <c:f>indústria!$P$105</c:f>
              <c:strCache>
                <c:ptCount val="1"/>
                <c:pt idx="0">
                  <c:v>1995</c:v>
                </c:pt>
              </c:strCache>
            </c:strRef>
          </c:tx>
          <c:cat>
            <c:strRef>
              <c:f>indústria!$O$106:$O$132</c:f>
              <c:strCache>
                <c:ptCount val="27"/>
                <c:pt idx="0">
                  <c:v>MA</c:v>
                </c:pt>
                <c:pt idx="1">
                  <c:v>AL</c:v>
                </c:pt>
                <c:pt idx="2">
                  <c:v>PI</c:v>
                </c:pt>
                <c:pt idx="3">
                  <c:v>CE</c:v>
                </c:pt>
                <c:pt idx="4">
                  <c:v>BA</c:v>
                </c:pt>
                <c:pt idx="5">
                  <c:v>PE</c:v>
                </c:pt>
                <c:pt idx="6">
                  <c:v>PB</c:v>
                </c:pt>
                <c:pt idx="7">
                  <c:v>SE</c:v>
                </c:pt>
                <c:pt idx="8">
                  <c:v>RR</c:v>
                </c:pt>
                <c:pt idx="9">
                  <c:v>TO</c:v>
                </c:pt>
                <c:pt idx="10">
                  <c:v>PA</c:v>
                </c:pt>
                <c:pt idx="11">
                  <c:v>RN</c:v>
                </c:pt>
                <c:pt idx="12">
                  <c:v>AM</c:v>
                </c:pt>
                <c:pt idx="13">
                  <c:v>AP</c:v>
                </c:pt>
                <c:pt idx="14">
                  <c:v>AC</c:v>
                </c:pt>
                <c:pt idx="15">
                  <c:v>MT</c:v>
                </c:pt>
                <c:pt idx="16">
                  <c:v>MG</c:v>
                </c:pt>
                <c:pt idx="17">
                  <c:v>GO</c:v>
                </c:pt>
                <c:pt idx="18">
                  <c:v>MS</c:v>
                </c:pt>
                <c:pt idx="19">
                  <c:v>RO</c:v>
                </c:pt>
                <c:pt idx="20">
                  <c:v>ES</c:v>
                </c:pt>
                <c:pt idx="21">
                  <c:v>PR</c:v>
                </c:pt>
                <c:pt idx="22">
                  <c:v>RS</c:v>
                </c:pt>
                <c:pt idx="23">
                  <c:v>SC</c:v>
                </c:pt>
                <c:pt idx="24">
                  <c:v>RJ</c:v>
                </c:pt>
                <c:pt idx="25">
                  <c:v>SP</c:v>
                </c:pt>
                <c:pt idx="26">
                  <c:v>DF</c:v>
                </c:pt>
              </c:strCache>
            </c:strRef>
          </c:cat>
          <c:val>
            <c:numRef>
              <c:f>indústria!$P$106:$P$132</c:f>
              <c:numCache>
                <c:formatCode>0.0</c:formatCode>
                <c:ptCount val="27"/>
                <c:pt idx="0">
                  <c:v>31.465558279984108</c:v>
                </c:pt>
                <c:pt idx="1">
                  <c:v>54.602708007255416</c:v>
                </c:pt>
                <c:pt idx="2">
                  <c:v>46.021237773965765</c:v>
                </c:pt>
                <c:pt idx="3">
                  <c:v>34.148019821385368</c:v>
                </c:pt>
                <c:pt idx="4">
                  <c:v>55.946764506942294</c:v>
                </c:pt>
                <c:pt idx="5">
                  <c:v>77.360205502794258</c:v>
                </c:pt>
                <c:pt idx="6">
                  <c:v>57.062023012615114</c:v>
                </c:pt>
                <c:pt idx="7">
                  <c:v>37.048626235587605</c:v>
                </c:pt>
                <c:pt idx="8">
                  <c:v>127.77591724439081</c:v>
                </c:pt>
                <c:pt idx="9">
                  <c:v>57.978549702178611</c:v>
                </c:pt>
                <c:pt idx="10">
                  <c:v>62.224448982262224</c:v>
                </c:pt>
                <c:pt idx="11">
                  <c:v>34.381092411020205</c:v>
                </c:pt>
                <c:pt idx="12">
                  <c:v>52.937582661500194</c:v>
                </c:pt>
                <c:pt idx="13">
                  <c:v>95.921714978534311</c:v>
                </c:pt>
                <c:pt idx="14">
                  <c:v>155.48140844776367</c:v>
                </c:pt>
                <c:pt idx="15">
                  <c:v>110.67714839817755</c:v>
                </c:pt>
                <c:pt idx="16">
                  <c:v>97.37988948291185</c:v>
                </c:pt>
                <c:pt idx="17">
                  <c:v>76.830534985486949</c:v>
                </c:pt>
                <c:pt idx="18">
                  <c:v>107.1792857896516</c:v>
                </c:pt>
                <c:pt idx="19">
                  <c:v>127.84412812931242</c:v>
                </c:pt>
                <c:pt idx="20">
                  <c:v>73.923845087624358</c:v>
                </c:pt>
                <c:pt idx="21">
                  <c:v>134.94596307002232</c:v>
                </c:pt>
                <c:pt idx="22">
                  <c:v>168.8875518858168</c:v>
                </c:pt>
                <c:pt idx="23">
                  <c:v>240.90177318796609</c:v>
                </c:pt>
                <c:pt idx="24">
                  <c:v>164.93908297314357</c:v>
                </c:pt>
                <c:pt idx="25">
                  <c:v>280.91732704934611</c:v>
                </c:pt>
                <c:pt idx="26">
                  <c:v>135.21761239236008</c:v>
                </c:pt>
              </c:numCache>
            </c:numRef>
          </c:val>
        </c:ser>
        <c:ser>
          <c:idx val="1"/>
          <c:order val="1"/>
          <c:tx>
            <c:strRef>
              <c:f>indústria!$Q$105</c:f>
              <c:strCache>
                <c:ptCount val="1"/>
                <c:pt idx="0">
                  <c:v>2006</c:v>
                </c:pt>
              </c:strCache>
            </c:strRef>
          </c:tx>
          <c:cat>
            <c:strRef>
              <c:f>indústria!$O$106:$O$132</c:f>
              <c:strCache>
                <c:ptCount val="27"/>
                <c:pt idx="0">
                  <c:v>MA</c:v>
                </c:pt>
                <c:pt idx="1">
                  <c:v>AL</c:v>
                </c:pt>
                <c:pt idx="2">
                  <c:v>PI</c:v>
                </c:pt>
                <c:pt idx="3">
                  <c:v>CE</c:v>
                </c:pt>
                <c:pt idx="4">
                  <c:v>BA</c:v>
                </c:pt>
                <c:pt idx="5">
                  <c:v>PE</c:v>
                </c:pt>
                <c:pt idx="6">
                  <c:v>PB</c:v>
                </c:pt>
                <c:pt idx="7">
                  <c:v>SE</c:v>
                </c:pt>
                <c:pt idx="8">
                  <c:v>RR</c:v>
                </c:pt>
                <c:pt idx="9">
                  <c:v>TO</c:v>
                </c:pt>
                <c:pt idx="10">
                  <c:v>PA</c:v>
                </c:pt>
                <c:pt idx="11">
                  <c:v>RN</c:v>
                </c:pt>
                <c:pt idx="12">
                  <c:v>AM</c:v>
                </c:pt>
                <c:pt idx="13">
                  <c:v>AP</c:v>
                </c:pt>
                <c:pt idx="14">
                  <c:v>AC</c:v>
                </c:pt>
                <c:pt idx="15">
                  <c:v>MT</c:v>
                </c:pt>
                <c:pt idx="16">
                  <c:v>MG</c:v>
                </c:pt>
                <c:pt idx="17">
                  <c:v>GO</c:v>
                </c:pt>
                <c:pt idx="18">
                  <c:v>MS</c:v>
                </c:pt>
                <c:pt idx="19">
                  <c:v>RO</c:v>
                </c:pt>
                <c:pt idx="20">
                  <c:v>ES</c:v>
                </c:pt>
                <c:pt idx="21">
                  <c:v>PR</c:v>
                </c:pt>
                <c:pt idx="22">
                  <c:v>RS</c:v>
                </c:pt>
                <c:pt idx="23">
                  <c:v>SC</c:v>
                </c:pt>
                <c:pt idx="24">
                  <c:v>RJ</c:v>
                </c:pt>
                <c:pt idx="25">
                  <c:v>SP</c:v>
                </c:pt>
                <c:pt idx="26">
                  <c:v>DF</c:v>
                </c:pt>
              </c:strCache>
            </c:strRef>
          </c:cat>
          <c:val>
            <c:numRef>
              <c:f>indústria!$Q$106:$Q$132</c:f>
              <c:numCache>
                <c:formatCode>0.0</c:formatCode>
                <c:ptCount val="27"/>
                <c:pt idx="0">
                  <c:v>56.538034532838466</c:v>
                </c:pt>
                <c:pt idx="1">
                  <c:v>63.297902210747132</c:v>
                </c:pt>
                <c:pt idx="2">
                  <c:v>51.512893335484918</c:v>
                </c:pt>
                <c:pt idx="3">
                  <c:v>50.002614168145882</c:v>
                </c:pt>
                <c:pt idx="4">
                  <c:v>60.649104405357264</c:v>
                </c:pt>
                <c:pt idx="5">
                  <c:v>85.025012102629688</c:v>
                </c:pt>
                <c:pt idx="6">
                  <c:v>55.12343069227046</c:v>
                </c:pt>
                <c:pt idx="7">
                  <c:v>62.166532192996613</c:v>
                </c:pt>
                <c:pt idx="8">
                  <c:v>98.901758915604319</c:v>
                </c:pt>
                <c:pt idx="9">
                  <c:v>58.761416814587925</c:v>
                </c:pt>
                <c:pt idx="10">
                  <c:v>67.016136840406588</c:v>
                </c:pt>
                <c:pt idx="11">
                  <c:v>61.545118605777013</c:v>
                </c:pt>
                <c:pt idx="12">
                  <c:v>61.500129094723256</c:v>
                </c:pt>
                <c:pt idx="13">
                  <c:v>61.29222204292433</c:v>
                </c:pt>
                <c:pt idx="14">
                  <c:v>89.224818460545421</c:v>
                </c:pt>
                <c:pt idx="15">
                  <c:v>117.00687429401322</c:v>
                </c:pt>
                <c:pt idx="16">
                  <c:v>102.96712925609172</c:v>
                </c:pt>
                <c:pt idx="17">
                  <c:v>111.67652089720831</c:v>
                </c:pt>
                <c:pt idx="18">
                  <c:v>134.54666774245598</c:v>
                </c:pt>
                <c:pt idx="19">
                  <c:v>137.79488462158997</c:v>
                </c:pt>
                <c:pt idx="20">
                  <c:v>104.96675810876231</c:v>
                </c:pt>
                <c:pt idx="21">
                  <c:v>145.87108278199128</c:v>
                </c:pt>
                <c:pt idx="22">
                  <c:v>170.65676940455052</c:v>
                </c:pt>
                <c:pt idx="23">
                  <c:v>217.1294174600614</c:v>
                </c:pt>
                <c:pt idx="24">
                  <c:v>148.14955623688726</c:v>
                </c:pt>
                <c:pt idx="25">
                  <c:v>229.89188316927545</c:v>
                </c:pt>
                <c:pt idx="26">
                  <c:v>96.827497176052418</c:v>
                </c:pt>
              </c:numCache>
            </c:numRef>
          </c:val>
        </c:ser>
        <c:axId val="97950720"/>
        <c:axId val="99907072"/>
      </c:barChart>
      <c:catAx>
        <c:axId val="97950720"/>
        <c:scaling>
          <c:orientation val="minMax"/>
        </c:scaling>
        <c:axPos val="b"/>
        <c:tickLblPos val="nextTo"/>
        <c:crossAx val="99907072"/>
        <c:crosses val="autoZero"/>
        <c:auto val="1"/>
        <c:lblAlgn val="ctr"/>
        <c:lblOffset val="100"/>
      </c:catAx>
      <c:valAx>
        <c:axId val="99907072"/>
        <c:scaling>
          <c:orientation val="minMax"/>
        </c:scaling>
        <c:axPos val="l"/>
        <c:majorGridlines>
          <c:spPr>
            <a:ln>
              <a:prstDash val="sysDot"/>
            </a:ln>
          </c:spPr>
        </c:majorGridlines>
        <c:numFmt formatCode="0" sourceLinked="0"/>
        <c:tickLblPos val="nextTo"/>
        <c:crossAx val="97950720"/>
        <c:crosses val="autoZero"/>
        <c:crossBetween val="between"/>
      </c:valAx>
    </c:plotArea>
    <c:legend>
      <c:legendPos val="r"/>
      <c:layout>
        <c:manualLayout>
          <c:xMode val="edge"/>
          <c:yMode val="edge"/>
          <c:x val="0.45317096236539606"/>
          <c:y val="0.16628280839895013"/>
          <c:w val="8.1854984609998904E-2"/>
          <c:h val="0.16743438320210088"/>
        </c:manualLayout>
      </c:layout>
    </c:legend>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964154480689931E-2"/>
          <c:y val="0.21289290851027592"/>
          <c:w val="0.84035764760174214"/>
          <c:h val="0.59788693595962716"/>
        </c:manualLayout>
      </c:layout>
      <c:lineChart>
        <c:grouping val="standard"/>
        <c:ser>
          <c:idx val="0"/>
          <c:order val="0"/>
          <c:tx>
            <c:strRef>
              <c:f>'gráficos 3 e 4'!$K$43</c:f>
              <c:strCache>
                <c:ptCount val="1"/>
                <c:pt idx="0">
                  <c:v>Gini</c:v>
                </c:pt>
              </c:strCache>
            </c:strRef>
          </c:tx>
          <c:spPr>
            <a:ln w="19050">
              <a:solidFill>
                <a:schemeClr val="tx1"/>
              </a:solidFill>
              <a:prstDash val="solid"/>
            </a:ln>
          </c:spPr>
          <c:marker>
            <c:symbol val="none"/>
          </c:marker>
          <c:cat>
            <c:numRef>
              <c:f>'gráficos 3 e 4'!$L$42:$V$42</c:f>
              <c:numCache>
                <c:formatCode>General</c:formatCode>
                <c:ptCount val="11"/>
                <c:pt idx="0">
                  <c:v>1995</c:v>
                </c:pt>
                <c:pt idx="1">
                  <c:v>1996</c:v>
                </c:pt>
                <c:pt idx="2">
                  <c:v>1997</c:v>
                </c:pt>
                <c:pt idx="3">
                  <c:v>1998</c:v>
                </c:pt>
                <c:pt idx="4">
                  <c:v>1999</c:v>
                </c:pt>
                <c:pt idx="5">
                  <c:v>2001</c:v>
                </c:pt>
                <c:pt idx="6">
                  <c:v>2002</c:v>
                </c:pt>
                <c:pt idx="7">
                  <c:v>2003</c:v>
                </c:pt>
                <c:pt idx="8">
                  <c:v>2004</c:v>
                </c:pt>
                <c:pt idx="9">
                  <c:v>2005</c:v>
                </c:pt>
                <c:pt idx="10">
                  <c:v>2006</c:v>
                </c:pt>
              </c:numCache>
            </c:numRef>
          </c:cat>
          <c:val>
            <c:numRef>
              <c:f>'gráficos 3 e 4'!$L$43:$V$43</c:f>
              <c:numCache>
                <c:formatCode>General</c:formatCode>
                <c:ptCount val="11"/>
                <c:pt idx="0">
                  <c:v>0.22504124000000059</c:v>
                </c:pt>
                <c:pt idx="1">
                  <c:v>0.22637521999999988</c:v>
                </c:pt>
                <c:pt idx="2">
                  <c:v>0.22720856000000003</c:v>
                </c:pt>
                <c:pt idx="3">
                  <c:v>0.22558040000000004</c:v>
                </c:pt>
                <c:pt idx="4">
                  <c:v>0.21526277999999999</c:v>
                </c:pt>
                <c:pt idx="5">
                  <c:v>0.21261322000000021</c:v>
                </c:pt>
                <c:pt idx="6">
                  <c:v>0.20811091999999998</c:v>
                </c:pt>
                <c:pt idx="7">
                  <c:v>0.20724500000000073</c:v>
                </c:pt>
                <c:pt idx="8">
                  <c:v>0.18613524000000062</c:v>
                </c:pt>
                <c:pt idx="9">
                  <c:v>0.19852334000000024</c:v>
                </c:pt>
                <c:pt idx="10">
                  <c:v>0.19890000000000005</c:v>
                </c:pt>
              </c:numCache>
            </c:numRef>
          </c:val>
        </c:ser>
        <c:ser>
          <c:idx val="1"/>
          <c:order val="1"/>
          <c:tx>
            <c:strRef>
              <c:f>'gráficos 3 e 4'!$K$44</c:f>
              <c:strCache>
                <c:ptCount val="1"/>
                <c:pt idx="0">
                  <c:v>Sigma</c:v>
                </c:pt>
              </c:strCache>
            </c:strRef>
          </c:tx>
          <c:spPr>
            <a:ln w="19050">
              <a:solidFill>
                <a:schemeClr val="tx1"/>
              </a:solidFill>
              <a:prstDash val="sysDash"/>
            </a:ln>
          </c:spPr>
          <c:marker>
            <c:symbol val="none"/>
          </c:marker>
          <c:cat>
            <c:numRef>
              <c:f>'gráficos 3 e 4'!$L$42:$V$42</c:f>
              <c:numCache>
                <c:formatCode>General</c:formatCode>
                <c:ptCount val="11"/>
                <c:pt idx="0">
                  <c:v>1995</c:v>
                </c:pt>
                <c:pt idx="1">
                  <c:v>1996</c:v>
                </c:pt>
                <c:pt idx="2">
                  <c:v>1997</c:v>
                </c:pt>
                <c:pt idx="3">
                  <c:v>1998</c:v>
                </c:pt>
                <c:pt idx="4">
                  <c:v>1999</c:v>
                </c:pt>
                <c:pt idx="5">
                  <c:v>2001</c:v>
                </c:pt>
                <c:pt idx="6">
                  <c:v>2002</c:v>
                </c:pt>
                <c:pt idx="7">
                  <c:v>2003</c:v>
                </c:pt>
                <c:pt idx="8">
                  <c:v>2004</c:v>
                </c:pt>
                <c:pt idx="9">
                  <c:v>2005</c:v>
                </c:pt>
                <c:pt idx="10">
                  <c:v>2006</c:v>
                </c:pt>
              </c:numCache>
            </c:numRef>
          </c:cat>
          <c:val>
            <c:numRef>
              <c:f>'gráficos 3 e 4'!$L$44:$V$44</c:f>
              <c:numCache>
                <c:formatCode>General</c:formatCode>
                <c:ptCount val="11"/>
                <c:pt idx="0">
                  <c:v>0.42688966000000217</c:v>
                </c:pt>
                <c:pt idx="1">
                  <c:v>0.42939944000000002</c:v>
                </c:pt>
                <c:pt idx="2">
                  <c:v>0.42842033000000135</c:v>
                </c:pt>
                <c:pt idx="3">
                  <c:v>0.41780550000000038</c:v>
                </c:pt>
                <c:pt idx="4">
                  <c:v>0.402529580000001</c:v>
                </c:pt>
                <c:pt idx="5">
                  <c:v>0.40146439000000111</c:v>
                </c:pt>
                <c:pt idx="6">
                  <c:v>0.40039920000000001</c:v>
                </c:pt>
                <c:pt idx="7">
                  <c:v>0.39008832000000188</c:v>
                </c:pt>
                <c:pt idx="8">
                  <c:v>0.39561104000000002</c:v>
                </c:pt>
                <c:pt idx="9">
                  <c:v>0.36720471000000032</c:v>
                </c:pt>
                <c:pt idx="10">
                  <c:v>0.38400000000000112</c:v>
                </c:pt>
              </c:numCache>
            </c:numRef>
          </c:val>
        </c:ser>
        <c:marker val="1"/>
        <c:axId val="104696448"/>
        <c:axId val="137855360"/>
      </c:lineChart>
      <c:catAx>
        <c:axId val="104696448"/>
        <c:scaling>
          <c:orientation val="minMax"/>
        </c:scaling>
        <c:axPos val="b"/>
        <c:numFmt formatCode="General" sourceLinked="1"/>
        <c:tickLblPos val="nextTo"/>
        <c:crossAx val="137855360"/>
        <c:crosses val="autoZero"/>
        <c:auto val="1"/>
        <c:lblAlgn val="ctr"/>
        <c:lblOffset val="100"/>
      </c:catAx>
      <c:valAx>
        <c:axId val="137855360"/>
        <c:scaling>
          <c:orientation val="minMax"/>
          <c:min val="0.15000000000000024"/>
        </c:scaling>
        <c:axPos val="l"/>
        <c:numFmt formatCode="General" sourceLinked="1"/>
        <c:tickLblPos val="nextTo"/>
        <c:crossAx val="104696448"/>
        <c:crosses val="autoZero"/>
        <c:crossBetween val="between"/>
        <c:majorUnit val="2.0000000000000014E-2"/>
      </c:valAx>
    </c:plotArea>
    <c:legend>
      <c:legendPos val="r"/>
      <c:layout>
        <c:manualLayout>
          <c:xMode val="edge"/>
          <c:yMode val="edge"/>
          <c:x val="0.2225693350831148"/>
          <c:y val="0.89776428988042956"/>
          <c:w val="0.58298622047243842"/>
          <c:h val="9.7989938757655284E-2"/>
        </c:manualLayout>
      </c:layout>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0.28616</cdr:x>
      <cdr:y>0.02431</cdr:y>
    </cdr:from>
    <cdr:to>
      <cdr:x>0.82737</cdr:x>
      <cdr:y>0.15278</cdr:y>
    </cdr:to>
    <cdr:sp macro="" textlink="">
      <cdr:nvSpPr>
        <cdr:cNvPr id="2" name="TextBox 1"/>
        <cdr:cNvSpPr txBox="1"/>
      </cdr:nvSpPr>
      <cdr:spPr>
        <a:xfrm xmlns:a="http://schemas.openxmlformats.org/drawingml/2006/main">
          <a:off x="1752600" y="66675"/>
          <a:ext cx="33147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0.35148</cdr:x>
      <cdr:y>0.04514</cdr:y>
    </cdr:from>
    <cdr:to>
      <cdr:x>0.69673</cdr:x>
      <cdr:y>0.12153</cdr:y>
    </cdr:to>
    <cdr:sp macro="" textlink="">
      <cdr:nvSpPr>
        <cdr:cNvPr id="3" name="TextBox 2"/>
        <cdr:cNvSpPr txBox="1"/>
      </cdr:nvSpPr>
      <cdr:spPr>
        <a:xfrm xmlns:a="http://schemas.openxmlformats.org/drawingml/2006/main" flipV="1">
          <a:off x="2152650" y="123825"/>
          <a:ext cx="211455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0.10575</cdr:x>
      <cdr:y>0.04167</cdr:y>
    </cdr:from>
    <cdr:to>
      <cdr:x>0.94868</cdr:x>
      <cdr:y>0.12847</cdr:y>
    </cdr:to>
    <cdr:sp macro="" textlink="">
      <cdr:nvSpPr>
        <cdr:cNvPr id="4" name="TextBox 3"/>
        <cdr:cNvSpPr txBox="1"/>
      </cdr:nvSpPr>
      <cdr:spPr>
        <a:xfrm xmlns:a="http://schemas.openxmlformats.org/drawingml/2006/main">
          <a:off x="647701" y="114300"/>
          <a:ext cx="51625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Arial" pitchFamily="34" charset="0"/>
              <a:cs typeface="Arial" pitchFamily="34" charset="0"/>
            </a:rPr>
            <a:t>Gráfico 4 - renda do trabalho </a:t>
          </a:r>
          <a:r>
            <a:rPr lang="en-US" sz="1000" b="1" i="0">
              <a:latin typeface="Arial" pitchFamily="34" charset="0"/>
              <a:cs typeface="Arial" pitchFamily="34" charset="0"/>
            </a:rPr>
            <a:t>da indústria </a:t>
          </a:r>
          <a:r>
            <a:rPr lang="en-US" sz="1000" b="1" i="1">
              <a:latin typeface="Arial" pitchFamily="34" charset="0"/>
              <a:cs typeface="Arial" pitchFamily="34" charset="0"/>
            </a:rPr>
            <a:t>per capita </a:t>
          </a:r>
          <a:r>
            <a:rPr lang="en-US" sz="1000" b="1" i="0">
              <a:latin typeface="Arial" pitchFamily="34" charset="0"/>
              <a:cs typeface="Arial" pitchFamily="34" charset="0"/>
            </a:rPr>
            <a:t>em relação à média (%)</a:t>
          </a:r>
          <a:endParaRPr lang="en-US" sz="1000" b="1">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0.26608</cdr:x>
      <cdr:y>0.02431</cdr:y>
    </cdr:from>
    <cdr:to>
      <cdr:x>0.85809</cdr:x>
      <cdr:y>0.10069</cdr:y>
    </cdr:to>
    <cdr:sp macro="" textlink="">
      <cdr:nvSpPr>
        <cdr:cNvPr id="2" name="TextBox 1"/>
        <cdr:cNvSpPr txBox="1"/>
      </cdr:nvSpPr>
      <cdr:spPr>
        <a:xfrm xmlns:a="http://schemas.openxmlformats.org/drawingml/2006/main">
          <a:off x="1143000" y="66675"/>
          <a:ext cx="254317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0.10989</cdr:x>
      <cdr:y>0.02786</cdr:y>
    </cdr:from>
    <cdr:to>
      <cdr:x>0.89011</cdr:x>
      <cdr:y>0.10836</cdr:y>
    </cdr:to>
    <cdr:sp macro="" textlink="">
      <cdr:nvSpPr>
        <cdr:cNvPr id="3" name="TextBox 2"/>
        <cdr:cNvSpPr txBox="1"/>
      </cdr:nvSpPr>
      <cdr:spPr>
        <a:xfrm xmlns:a="http://schemas.openxmlformats.org/drawingml/2006/main" flipV="1">
          <a:off x="476250" y="85725"/>
          <a:ext cx="33813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0.05494</cdr:x>
      <cdr:y>0.01548</cdr:y>
    </cdr:from>
    <cdr:to>
      <cdr:x>0.98022</cdr:x>
      <cdr:y>0.18885</cdr:y>
    </cdr:to>
    <cdr:sp macro="" textlink="">
      <cdr:nvSpPr>
        <cdr:cNvPr id="4" name="TextBox 3"/>
        <cdr:cNvSpPr txBox="1"/>
      </cdr:nvSpPr>
      <cdr:spPr>
        <a:xfrm xmlns:a="http://schemas.openxmlformats.org/drawingml/2006/main">
          <a:off x="238124" y="47625"/>
          <a:ext cx="4010026" cy="533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Arial" pitchFamily="34" charset="0"/>
              <a:cs typeface="Arial" pitchFamily="34" charset="0"/>
            </a:rPr>
            <a:t>Gráfico</a:t>
          </a:r>
          <a:r>
            <a:rPr lang="en-US" sz="1000" b="1" baseline="0">
              <a:latin typeface="Arial" pitchFamily="34" charset="0"/>
              <a:cs typeface="Arial" pitchFamily="34" charset="0"/>
            </a:rPr>
            <a:t> 5 - Convergência sigma (</a:t>
          </a:r>
          <a:r>
            <a:rPr lang="el-GR" sz="1000" b="1" baseline="0">
              <a:latin typeface="Arial" pitchFamily="34" charset="0"/>
              <a:cs typeface="Arial" pitchFamily="34" charset="0"/>
            </a:rPr>
            <a:t>σ</a:t>
          </a:r>
          <a:r>
            <a:rPr lang="pt-BR" sz="1000" b="1" baseline="0">
              <a:latin typeface="Arial" pitchFamily="34" charset="0"/>
              <a:cs typeface="Arial" pitchFamily="34" charset="0"/>
            </a:rPr>
            <a:t>) e índice de Gini para a distribuição renda </a:t>
          </a:r>
          <a:r>
            <a:rPr lang="pt-BR" sz="1000" b="1" i="1" baseline="0">
              <a:latin typeface="Arial" pitchFamily="34" charset="0"/>
              <a:cs typeface="Arial" pitchFamily="34" charset="0"/>
            </a:rPr>
            <a:t>per capita </a:t>
          </a:r>
          <a:r>
            <a:rPr lang="pt-BR" sz="1000" b="1" i="0" baseline="0">
              <a:latin typeface="Arial" pitchFamily="34" charset="0"/>
              <a:cs typeface="Arial" pitchFamily="34" charset="0"/>
            </a:rPr>
            <a:t>entre os estados brasileiros</a:t>
          </a:r>
          <a:endParaRPr lang="en-US" sz="1000" b="1" i="1">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FD1E-5C17-4F70-934E-21A4D48B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8037</Words>
  <Characters>45817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Silveira Neto</dc:creator>
  <cp:lastModifiedBy>Raul Silveira Neto</cp:lastModifiedBy>
  <cp:revision>7</cp:revision>
  <cp:lastPrinted>2010-05-03T18:14:00Z</cp:lastPrinted>
  <dcterms:created xsi:type="dcterms:W3CDTF">2010-07-12T19:17:00Z</dcterms:created>
  <dcterms:modified xsi:type="dcterms:W3CDTF">2010-07-12T19:45:00Z</dcterms:modified>
</cp:coreProperties>
</file>