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9DC" w:rsidRDefault="000229DC" w:rsidP="000229DC">
      <w:pPr>
        <w:tabs>
          <w:tab w:val="left" w:pos="720"/>
          <w:tab w:val="left" w:pos="9270"/>
        </w:tabs>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REGIMES CAMBIAIS IMPORTAM? UMA ANÁLISE DE DESALINHAMENTO CAMBIAL COM PAINEL-COINTEGRAÇÃO</w:t>
      </w:r>
    </w:p>
    <w:p w:rsidR="000229DC" w:rsidRDefault="000229DC" w:rsidP="000229DC">
      <w:pPr>
        <w:tabs>
          <w:tab w:val="left" w:pos="720"/>
          <w:tab w:val="left" w:pos="9270"/>
        </w:tabs>
        <w:spacing w:after="0" w:line="240" w:lineRule="auto"/>
        <w:jc w:val="both"/>
        <w:rPr>
          <w:rFonts w:ascii="Times New Roman" w:hAnsi="Times New Roman" w:cs="Times New Roman"/>
          <w:b/>
          <w:sz w:val="24"/>
          <w:szCs w:val="24"/>
          <w:lang w:val="pt-BR"/>
        </w:rPr>
      </w:pPr>
    </w:p>
    <w:p w:rsidR="000229DC" w:rsidRDefault="00DB1F12" w:rsidP="00DB1F12">
      <w:pPr>
        <w:tabs>
          <w:tab w:val="left" w:pos="720"/>
          <w:tab w:val="left" w:pos="9270"/>
        </w:tabs>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Marcos Rocha</w:t>
      </w:r>
    </w:p>
    <w:p w:rsidR="00DB1F12" w:rsidRDefault="00DB1F12" w:rsidP="00DB1F12">
      <w:pPr>
        <w:tabs>
          <w:tab w:val="left" w:pos="720"/>
          <w:tab w:val="left" w:pos="9270"/>
        </w:tabs>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Professor de Economia da PUC-SP e Doutorando em Economia na EESP-FGV</w:t>
      </w:r>
    </w:p>
    <w:p w:rsidR="00DB1F12" w:rsidRDefault="00DB1F12" w:rsidP="00DB1F12">
      <w:pPr>
        <w:tabs>
          <w:tab w:val="left" w:pos="720"/>
          <w:tab w:val="left" w:pos="9270"/>
        </w:tabs>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Email: marcosrocha@gvmail.br</w:t>
      </w:r>
    </w:p>
    <w:p w:rsidR="000229DC" w:rsidRDefault="000229DC" w:rsidP="000229DC">
      <w:pPr>
        <w:tabs>
          <w:tab w:val="left" w:pos="720"/>
          <w:tab w:val="left" w:pos="9270"/>
        </w:tabs>
        <w:spacing w:after="0" w:line="240" w:lineRule="auto"/>
        <w:jc w:val="both"/>
        <w:rPr>
          <w:rFonts w:ascii="Times New Roman" w:hAnsi="Times New Roman" w:cs="Times New Roman"/>
          <w:b/>
          <w:sz w:val="24"/>
          <w:szCs w:val="24"/>
          <w:lang w:val="pt-BR"/>
        </w:rPr>
      </w:pPr>
    </w:p>
    <w:p w:rsidR="000229DC" w:rsidRDefault="000229DC" w:rsidP="000229DC">
      <w:pPr>
        <w:tabs>
          <w:tab w:val="left" w:pos="720"/>
          <w:tab w:val="left" w:pos="9270"/>
        </w:tabs>
        <w:spacing w:after="0" w:line="240" w:lineRule="auto"/>
        <w:jc w:val="both"/>
        <w:rPr>
          <w:rFonts w:ascii="Times New Roman" w:hAnsi="Times New Roman" w:cs="Times New Roman"/>
          <w:b/>
          <w:sz w:val="24"/>
          <w:szCs w:val="24"/>
          <w:lang w:val="pt-BR"/>
        </w:rPr>
      </w:pPr>
    </w:p>
    <w:p w:rsidR="000229DC" w:rsidRDefault="000229DC" w:rsidP="000229DC">
      <w:pPr>
        <w:tabs>
          <w:tab w:val="left" w:pos="720"/>
        </w:tabs>
        <w:spacing w:after="0" w:line="240" w:lineRule="auto"/>
        <w:ind w:left="720" w:right="360"/>
        <w:jc w:val="both"/>
        <w:rPr>
          <w:rFonts w:ascii="Times New Roman" w:hAnsi="Times New Roman" w:cs="Times New Roman"/>
          <w:sz w:val="20"/>
          <w:szCs w:val="20"/>
          <w:lang w:val="pt-BR"/>
        </w:rPr>
      </w:pPr>
      <w:r w:rsidRPr="007B3C2C">
        <w:rPr>
          <w:rFonts w:ascii="Times New Roman" w:hAnsi="Times New Roman" w:cs="Times New Roman"/>
          <w:b/>
          <w:sz w:val="20"/>
          <w:szCs w:val="20"/>
          <w:lang w:val="pt-BR"/>
        </w:rPr>
        <w:t>Resumo</w:t>
      </w:r>
      <w:r w:rsidRPr="007B3C2C">
        <w:rPr>
          <w:rFonts w:ascii="Times New Roman" w:hAnsi="Times New Roman" w:cs="Times New Roman"/>
          <w:sz w:val="20"/>
          <w:szCs w:val="20"/>
          <w:lang w:val="pt-BR"/>
        </w:rPr>
        <w:t>: Nesse trabalho foi construído, a partir de um painel cointegrado para 102 países, um índice de desalinhamento da TCR para abordar a questão de se o regime cambial, entre outros determinantes do comportamento do câmbio, é importante para explicar desalinhamento; além disso, se é possível distinguir quais são os papéis dos diferentes regimes cambias na determinação da TCR. São utilizados dados de 1970 a 2004, a partir de diversas bases históricas macroeconômicas. As diversas especificações e testes com bases diferentes parecem convergir em resultados interessantes. No caso dos regimes de câmbio fixo, é apresentada uma relação robusta e positiva com sobreval</w:t>
      </w:r>
      <w:r>
        <w:rPr>
          <w:rFonts w:ascii="Times New Roman" w:hAnsi="Times New Roman" w:cs="Times New Roman"/>
          <w:sz w:val="20"/>
          <w:szCs w:val="20"/>
          <w:lang w:val="pt-BR"/>
        </w:rPr>
        <w:t>orizações</w:t>
      </w:r>
      <w:r w:rsidRPr="007B3C2C">
        <w:rPr>
          <w:rFonts w:ascii="Times New Roman" w:hAnsi="Times New Roman" w:cs="Times New Roman"/>
          <w:sz w:val="20"/>
          <w:szCs w:val="20"/>
          <w:lang w:val="pt-BR"/>
        </w:rPr>
        <w:t>. Ou seja, a escolha do regime cambial importa, quando se pensa em desalinhamento cambial. Com relação a regimes flutuantes, quase a totalidade das especificações mostram que ele atua em sentido contrário às sobrevalorizações cambiais.</w:t>
      </w:r>
    </w:p>
    <w:p w:rsidR="000229DC" w:rsidRDefault="000229DC" w:rsidP="000229DC">
      <w:pPr>
        <w:tabs>
          <w:tab w:val="left" w:pos="720"/>
        </w:tabs>
        <w:spacing w:after="0" w:line="240" w:lineRule="auto"/>
        <w:ind w:left="720" w:right="360"/>
        <w:jc w:val="both"/>
        <w:rPr>
          <w:rFonts w:ascii="Times New Roman" w:hAnsi="Times New Roman" w:cs="Times New Roman"/>
          <w:sz w:val="20"/>
          <w:szCs w:val="20"/>
          <w:lang w:val="pt-BR"/>
        </w:rPr>
      </w:pPr>
      <w:r>
        <w:rPr>
          <w:rFonts w:ascii="Times New Roman" w:hAnsi="Times New Roman" w:cs="Times New Roman"/>
          <w:b/>
          <w:sz w:val="20"/>
          <w:szCs w:val="20"/>
          <w:lang w:val="pt-BR"/>
        </w:rPr>
        <w:t>Palavras</w:t>
      </w:r>
      <w:r w:rsidRPr="007B3C2C">
        <w:rPr>
          <w:rFonts w:ascii="Times New Roman" w:hAnsi="Times New Roman" w:cs="Times New Roman"/>
          <w:sz w:val="20"/>
          <w:szCs w:val="20"/>
          <w:lang w:val="pt-BR"/>
        </w:rPr>
        <w:t>-</w:t>
      </w:r>
      <w:r>
        <w:rPr>
          <w:rFonts w:ascii="Times New Roman" w:hAnsi="Times New Roman" w:cs="Times New Roman"/>
          <w:b/>
          <w:sz w:val="20"/>
          <w:szCs w:val="20"/>
          <w:lang w:val="pt-BR"/>
        </w:rPr>
        <w:t xml:space="preserve">chave: </w:t>
      </w:r>
      <w:r>
        <w:rPr>
          <w:rFonts w:ascii="Times New Roman" w:hAnsi="Times New Roman" w:cs="Times New Roman"/>
          <w:sz w:val="20"/>
          <w:szCs w:val="20"/>
          <w:lang w:val="pt-BR"/>
        </w:rPr>
        <w:t>Cointegração em Painel, Regimes Cambiais, Desalinhamento.</w:t>
      </w:r>
    </w:p>
    <w:p w:rsidR="000229DC" w:rsidRDefault="000229DC" w:rsidP="000229DC">
      <w:pPr>
        <w:tabs>
          <w:tab w:val="left" w:pos="720"/>
        </w:tabs>
        <w:spacing w:after="0" w:line="240" w:lineRule="auto"/>
        <w:ind w:left="720" w:right="360"/>
        <w:jc w:val="both"/>
        <w:rPr>
          <w:rFonts w:ascii="Times New Roman" w:hAnsi="Times New Roman" w:cs="Times New Roman"/>
          <w:sz w:val="20"/>
          <w:szCs w:val="20"/>
          <w:lang w:val="pt-BR"/>
        </w:rPr>
      </w:pPr>
    </w:p>
    <w:p w:rsidR="000229DC" w:rsidRDefault="000229DC" w:rsidP="000229DC">
      <w:pPr>
        <w:tabs>
          <w:tab w:val="left" w:pos="720"/>
        </w:tabs>
        <w:spacing w:after="0" w:line="240" w:lineRule="auto"/>
        <w:ind w:left="720" w:right="360"/>
        <w:jc w:val="both"/>
        <w:rPr>
          <w:rFonts w:ascii="Times New Roman" w:hAnsi="Times New Roman" w:cs="Times New Roman"/>
          <w:sz w:val="20"/>
          <w:szCs w:val="20"/>
          <w:lang w:val="pt-BR"/>
        </w:rPr>
      </w:pPr>
    </w:p>
    <w:p w:rsidR="000229DC" w:rsidRDefault="000229DC" w:rsidP="000229DC">
      <w:pPr>
        <w:tabs>
          <w:tab w:val="left" w:pos="720"/>
        </w:tabs>
        <w:spacing w:after="0" w:line="240" w:lineRule="auto"/>
        <w:ind w:left="720" w:right="360"/>
        <w:jc w:val="both"/>
        <w:rPr>
          <w:rFonts w:ascii="Times New Roman" w:hAnsi="Times New Roman" w:cs="Times New Roman"/>
          <w:sz w:val="20"/>
          <w:szCs w:val="20"/>
        </w:rPr>
      </w:pPr>
      <w:r w:rsidRPr="007B3C2C">
        <w:rPr>
          <w:rFonts w:ascii="Times New Roman" w:hAnsi="Times New Roman" w:cs="Times New Roman"/>
          <w:b/>
          <w:sz w:val="20"/>
          <w:szCs w:val="20"/>
        </w:rPr>
        <w:t xml:space="preserve">Abstract: </w:t>
      </w:r>
      <w:r w:rsidRPr="007B3C2C">
        <w:rPr>
          <w:rFonts w:ascii="Times New Roman" w:hAnsi="Times New Roman" w:cs="Times New Roman"/>
          <w:sz w:val="20"/>
          <w:szCs w:val="20"/>
        </w:rPr>
        <w:t>In this paper w</w:t>
      </w:r>
      <w:r>
        <w:rPr>
          <w:rFonts w:ascii="Times New Roman" w:hAnsi="Times New Roman" w:cs="Times New Roman"/>
          <w:sz w:val="20"/>
          <w:szCs w:val="20"/>
        </w:rPr>
        <w:t>e estimate a co-integrated panel for 102 countries in a time span of 1970-2004 for constructing a real exchange rate misalignment index. The question in line is if the currency regime of a country is an important factor explaining misalignment; furthermore, the question is if it’s possible to distinguish what is the role played by different currency regimes in real exchange rate determination. The several specifications and test with different datasets seem to converge in several interesting aspects. In pegged regimes, we show a robust and positive correlation with over-valuations. Hence, currency regime matters and one thinks about real exchange rate misalignment. As to the floating regimes, almost all specifications shows that the relationship is negative between exchange rate over-valuations.</w:t>
      </w:r>
    </w:p>
    <w:p w:rsidR="000229DC" w:rsidRDefault="000229DC" w:rsidP="000229DC">
      <w:pPr>
        <w:tabs>
          <w:tab w:val="left" w:pos="720"/>
        </w:tabs>
        <w:spacing w:after="0" w:line="240" w:lineRule="auto"/>
        <w:ind w:left="720" w:right="360"/>
        <w:jc w:val="both"/>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Panel Cointegration, Currency Regimes, Misalignment.</w:t>
      </w:r>
    </w:p>
    <w:p w:rsidR="000229DC" w:rsidRPr="00DB1F12" w:rsidRDefault="000229DC" w:rsidP="000229DC">
      <w:pPr>
        <w:tabs>
          <w:tab w:val="left" w:pos="720"/>
        </w:tabs>
        <w:spacing w:after="0" w:line="240" w:lineRule="auto"/>
        <w:ind w:left="720" w:right="360"/>
        <w:jc w:val="both"/>
        <w:rPr>
          <w:rFonts w:ascii="Times New Roman" w:hAnsi="Times New Roman" w:cs="Times New Roman"/>
          <w:sz w:val="20"/>
          <w:szCs w:val="20"/>
          <w:lang w:val="pt-BR"/>
        </w:rPr>
      </w:pPr>
      <w:r w:rsidRPr="00DB1F12">
        <w:rPr>
          <w:rFonts w:ascii="Times New Roman" w:hAnsi="Times New Roman" w:cs="Times New Roman"/>
          <w:b/>
          <w:sz w:val="20"/>
          <w:szCs w:val="20"/>
          <w:lang w:val="pt-BR"/>
        </w:rPr>
        <w:t xml:space="preserve">JEL: </w:t>
      </w:r>
      <w:r w:rsidRPr="00DB1F12">
        <w:rPr>
          <w:rFonts w:ascii="Times New Roman" w:hAnsi="Times New Roman" w:cs="Times New Roman"/>
          <w:bCs/>
          <w:sz w:val="20"/>
          <w:szCs w:val="20"/>
          <w:lang w:val="pt-BR"/>
        </w:rPr>
        <w:t>C23, F3, F41.</w:t>
      </w:r>
    </w:p>
    <w:p w:rsidR="000229DC" w:rsidRPr="00DB1F12" w:rsidRDefault="000229DC" w:rsidP="000229DC">
      <w:pPr>
        <w:tabs>
          <w:tab w:val="left" w:pos="720"/>
          <w:tab w:val="left" w:pos="9270"/>
        </w:tabs>
        <w:spacing w:after="0" w:line="240" w:lineRule="auto"/>
        <w:jc w:val="both"/>
        <w:rPr>
          <w:rFonts w:ascii="Times New Roman" w:hAnsi="Times New Roman" w:cs="Times New Roman"/>
          <w:b/>
          <w:sz w:val="24"/>
          <w:szCs w:val="24"/>
          <w:lang w:val="pt-BR"/>
        </w:rPr>
      </w:pPr>
    </w:p>
    <w:p w:rsidR="00227EA2" w:rsidRDefault="00227EA2" w:rsidP="00227EA2">
      <w:pPr>
        <w:tabs>
          <w:tab w:val="left" w:pos="720"/>
          <w:tab w:val="left" w:pos="9270"/>
        </w:tabs>
        <w:spacing w:after="0" w:line="240" w:lineRule="auto"/>
        <w:jc w:val="both"/>
        <w:rPr>
          <w:rFonts w:ascii="Times New Roman" w:hAnsi="Times New Roman" w:cs="Times New Roman"/>
          <w:b/>
          <w:sz w:val="24"/>
          <w:szCs w:val="24"/>
          <w:lang w:val="pt-BR"/>
        </w:rPr>
      </w:pPr>
    </w:p>
    <w:p w:rsidR="00227EA2" w:rsidRDefault="00227EA2" w:rsidP="00227EA2">
      <w:pPr>
        <w:tabs>
          <w:tab w:val="left" w:pos="720"/>
          <w:tab w:val="left" w:pos="9270"/>
        </w:tabs>
        <w:spacing w:after="0" w:line="240" w:lineRule="auto"/>
        <w:jc w:val="both"/>
        <w:rPr>
          <w:rFonts w:ascii="Times New Roman" w:hAnsi="Times New Roman" w:cs="Times New Roman"/>
          <w:b/>
          <w:sz w:val="24"/>
          <w:szCs w:val="24"/>
          <w:lang w:val="pt-BR"/>
        </w:rPr>
      </w:pPr>
    </w:p>
    <w:p w:rsidR="00227EA2" w:rsidRDefault="00227EA2" w:rsidP="00227EA2">
      <w:pPr>
        <w:tabs>
          <w:tab w:val="left" w:pos="720"/>
          <w:tab w:val="left" w:pos="9270"/>
        </w:tabs>
        <w:spacing w:after="0" w:line="240" w:lineRule="auto"/>
        <w:jc w:val="both"/>
        <w:rPr>
          <w:rFonts w:ascii="Times New Roman" w:hAnsi="Times New Roman" w:cs="Times New Roman"/>
          <w:b/>
          <w:sz w:val="24"/>
          <w:szCs w:val="24"/>
          <w:lang w:val="pt-BR"/>
        </w:rPr>
      </w:pPr>
    </w:p>
    <w:p w:rsidR="00227EA2" w:rsidRDefault="00227EA2" w:rsidP="00227EA2">
      <w:pPr>
        <w:tabs>
          <w:tab w:val="left" w:pos="720"/>
          <w:tab w:val="left" w:pos="9270"/>
        </w:tabs>
        <w:spacing w:after="0" w:line="240" w:lineRule="auto"/>
        <w:jc w:val="both"/>
        <w:rPr>
          <w:rFonts w:ascii="Times New Roman" w:hAnsi="Times New Roman" w:cs="Times New Roman"/>
          <w:b/>
          <w:sz w:val="24"/>
          <w:szCs w:val="24"/>
          <w:lang w:val="pt-BR"/>
        </w:rPr>
      </w:pPr>
    </w:p>
    <w:p w:rsidR="00227EA2" w:rsidRDefault="00227EA2" w:rsidP="00227EA2">
      <w:pPr>
        <w:tabs>
          <w:tab w:val="left" w:pos="720"/>
          <w:tab w:val="left" w:pos="9270"/>
        </w:tabs>
        <w:spacing w:after="0" w:line="240" w:lineRule="auto"/>
        <w:jc w:val="both"/>
        <w:rPr>
          <w:rFonts w:ascii="Times New Roman" w:hAnsi="Times New Roman" w:cs="Times New Roman"/>
          <w:b/>
          <w:sz w:val="24"/>
          <w:szCs w:val="24"/>
          <w:lang w:val="pt-BR"/>
        </w:rPr>
      </w:pPr>
    </w:p>
    <w:p w:rsidR="00227EA2" w:rsidRDefault="00227EA2" w:rsidP="00227EA2">
      <w:pPr>
        <w:tabs>
          <w:tab w:val="left" w:pos="720"/>
          <w:tab w:val="left" w:pos="9270"/>
        </w:tabs>
        <w:spacing w:after="0" w:line="240" w:lineRule="auto"/>
        <w:jc w:val="both"/>
        <w:rPr>
          <w:rFonts w:ascii="Times New Roman" w:hAnsi="Times New Roman" w:cs="Times New Roman"/>
          <w:b/>
          <w:sz w:val="24"/>
          <w:szCs w:val="24"/>
          <w:lang w:val="pt-BR"/>
        </w:rPr>
      </w:pPr>
    </w:p>
    <w:p w:rsidR="00227EA2" w:rsidRDefault="00227EA2" w:rsidP="00227EA2">
      <w:pPr>
        <w:tabs>
          <w:tab w:val="left" w:pos="720"/>
          <w:tab w:val="left" w:pos="9270"/>
        </w:tabs>
        <w:spacing w:after="0" w:line="240" w:lineRule="auto"/>
        <w:jc w:val="both"/>
        <w:rPr>
          <w:rFonts w:ascii="Times New Roman" w:hAnsi="Times New Roman" w:cs="Times New Roman"/>
          <w:b/>
          <w:sz w:val="24"/>
          <w:szCs w:val="24"/>
          <w:lang w:val="pt-BR"/>
        </w:rPr>
      </w:pPr>
    </w:p>
    <w:p w:rsidR="00227EA2" w:rsidRDefault="00227EA2" w:rsidP="00227EA2">
      <w:pPr>
        <w:tabs>
          <w:tab w:val="left" w:pos="720"/>
          <w:tab w:val="left" w:pos="9270"/>
        </w:tabs>
        <w:spacing w:after="0" w:line="240" w:lineRule="auto"/>
        <w:jc w:val="both"/>
        <w:rPr>
          <w:rFonts w:ascii="Times New Roman" w:hAnsi="Times New Roman" w:cs="Times New Roman"/>
          <w:b/>
          <w:sz w:val="24"/>
          <w:szCs w:val="24"/>
          <w:lang w:val="pt-BR"/>
        </w:rPr>
      </w:pPr>
    </w:p>
    <w:p w:rsidR="00227EA2" w:rsidRDefault="00227EA2" w:rsidP="00227EA2">
      <w:pPr>
        <w:tabs>
          <w:tab w:val="left" w:pos="720"/>
          <w:tab w:val="left" w:pos="9270"/>
        </w:tabs>
        <w:spacing w:after="0" w:line="240" w:lineRule="auto"/>
        <w:jc w:val="both"/>
        <w:rPr>
          <w:rFonts w:ascii="Times New Roman" w:hAnsi="Times New Roman" w:cs="Times New Roman"/>
          <w:b/>
          <w:sz w:val="24"/>
          <w:szCs w:val="24"/>
          <w:lang w:val="pt-BR"/>
        </w:rPr>
      </w:pPr>
    </w:p>
    <w:p w:rsidR="00227EA2" w:rsidRDefault="00227EA2" w:rsidP="00227EA2">
      <w:pPr>
        <w:tabs>
          <w:tab w:val="left" w:pos="720"/>
          <w:tab w:val="left" w:pos="9270"/>
        </w:tabs>
        <w:spacing w:after="0" w:line="240" w:lineRule="auto"/>
        <w:jc w:val="both"/>
        <w:rPr>
          <w:rFonts w:ascii="Times New Roman" w:hAnsi="Times New Roman" w:cs="Times New Roman"/>
          <w:b/>
          <w:sz w:val="24"/>
          <w:szCs w:val="24"/>
          <w:lang w:val="pt-BR"/>
        </w:rPr>
      </w:pPr>
    </w:p>
    <w:p w:rsidR="00227EA2" w:rsidRDefault="00227EA2" w:rsidP="00227EA2">
      <w:pPr>
        <w:tabs>
          <w:tab w:val="left" w:pos="720"/>
          <w:tab w:val="left" w:pos="9270"/>
        </w:tabs>
        <w:spacing w:after="0" w:line="240" w:lineRule="auto"/>
        <w:jc w:val="both"/>
        <w:rPr>
          <w:rFonts w:ascii="Times New Roman" w:hAnsi="Times New Roman" w:cs="Times New Roman"/>
          <w:b/>
          <w:sz w:val="24"/>
          <w:szCs w:val="24"/>
          <w:lang w:val="pt-BR"/>
        </w:rPr>
      </w:pPr>
    </w:p>
    <w:p w:rsidR="00227EA2" w:rsidRDefault="00227EA2" w:rsidP="00227EA2">
      <w:pPr>
        <w:tabs>
          <w:tab w:val="left" w:pos="720"/>
          <w:tab w:val="left" w:pos="9270"/>
        </w:tabs>
        <w:spacing w:after="0" w:line="240" w:lineRule="auto"/>
        <w:jc w:val="both"/>
        <w:rPr>
          <w:rFonts w:ascii="Times New Roman" w:hAnsi="Times New Roman" w:cs="Times New Roman"/>
          <w:b/>
          <w:sz w:val="24"/>
          <w:szCs w:val="24"/>
          <w:lang w:val="pt-BR"/>
        </w:rPr>
      </w:pPr>
    </w:p>
    <w:p w:rsidR="00227EA2" w:rsidRDefault="00227EA2" w:rsidP="00227EA2">
      <w:pPr>
        <w:tabs>
          <w:tab w:val="left" w:pos="720"/>
          <w:tab w:val="left" w:pos="9270"/>
        </w:tabs>
        <w:spacing w:after="0" w:line="240" w:lineRule="auto"/>
        <w:jc w:val="both"/>
        <w:rPr>
          <w:rFonts w:ascii="Times New Roman" w:hAnsi="Times New Roman" w:cs="Times New Roman"/>
          <w:b/>
          <w:sz w:val="24"/>
          <w:szCs w:val="24"/>
          <w:lang w:val="pt-BR"/>
        </w:rPr>
      </w:pPr>
    </w:p>
    <w:p w:rsidR="00227EA2" w:rsidRDefault="00227EA2" w:rsidP="00227EA2">
      <w:pPr>
        <w:tabs>
          <w:tab w:val="left" w:pos="720"/>
          <w:tab w:val="left" w:pos="9270"/>
        </w:tabs>
        <w:spacing w:after="0" w:line="240" w:lineRule="auto"/>
        <w:jc w:val="both"/>
        <w:rPr>
          <w:rFonts w:ascii="Times New Roman" w:hAnsi="Times New Roman" w:cs="Times New Roman"/>
          <w:b/>
          <w:sz w:val="24"/>
          <w:szCs w:val="24"/>
          <w:lang w:val="pt-BR"/>
        </w:rPr>
      </w:pPr>
    </w:p>
    <w:p w:rsidR="00227EA2" w:rsidRDefault="00227EA2" w:rsidP="00227EA2">
      <w:pPr>
        <w:tabs>
          <w:tab w:val="left" w:pos="720"/>
          <w:tab w:val="left" w:pos="9270"/>
        </w:tabs>
        <w:spacing w:after="0" w:line="240" w:lineRule="auto"/>
        <w:jc w:val="both"/>
        <w:rPr>
          <w:rFonts w:ascii="Times New Roman" w:hAnsi="Times New Roman" w:cs="Times New Roman"/>
          <w:b/>
          <w:sz w:val="24"/>
          <w:szCs w:val="24"/>
          <w:lang w:val="pt-BR"/>
        </w:rPr>
      </w:pPr>
    </w:p>
    <w:p w:rsidR="00227EA2" w:rsidRDefault="00227EA2" w:rsidP="00227EA2">
      <w:pPr>
        <w:tabs>
          <w:tab w:val="left" w:pos="720"/>
          <w:tab w:val="left" w:pos="9270"/>
        </w:tabs>
        <w:spacing w:after="0" w:line="240" w:lineRule="auto"/>
        <w:jc w:val="both"/>
        <w:rPr>
          <w:rFonts w:ascii="Times New Roman" w:hAnsi="Times New Roman" w:cs="Times New Roman"/>
          <w:b/>
          <w:sz w:val="24"/>
          <w:szCs w:val="24"/>
          <w:lang w:val="pt-BR"/>
        </w:rPr>
      </w:pPr>
    </w:p>
    <w:p w:rsidR="00227EA2" w:rsidRDefault="00227EA2" w:rsidP="00227EA2">
      <w:pPr>
        <w:tabs>
          <w:tab w:val="left" w:pos="720"/>
          <w:tab w:val="left" w:pos="9270"/>
        </w:tabs>
        <w:spacing w:after="0" w:line="240" w:lineRule="auto"/>
        <w:jc w:val="both"/>
        <w:rPr>
          <w:rFonts w:ascii="Times New Roman" w:hAnsi="Times New Roman" w:cs="Times New Roman"/>
          <w:b/>
          <w:sz w:val="24"/>
          <w:szCs w:val="24"/>
          <w:lang w:val="pt-BR"/>
        </w:rPr>
      </w:pPr>
    </w:p>
    <w:p w:rsidR="003302D8" w:rsidRDefault="003302D8" w:rsidP="003302D8">
      <w:pPr>
        <w:tabs>
          <w:tab w:val="left" w:pos="720"/>
          <w:tab w:val="left" w:pos="9270"/>
        </w:tabs>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REGIMES CAMBIAIS IMPORTAM? UMA ANÁLISE DE DESALINHAMENTO CAMBIAL COM PAINEL-COINTEGRAÇÃO</w:t>
      </w:r>
    </w:p>
    <w:p w:rsidR="003302D8" w:rsidRDefault="003302D8" w:rsidP="00227EA2">
      <w:pPr>
        <w:tabs>
          <w:tab w:val="left" w:pos="720"/>
          <w:tab w:val="left" w:pos="9270"/>
        </w:tabs>
        <w:spacing w:after="0" w:line="240" w:lineRule="auto"/>
        <w:jc w:val="both"/>
        <w:rPr>
          <w:rFonts w:ascii="Times New Roman" w:hAnsi="Times New Roman" w:cs="Times New Roman"/>
          <w:b/>
          <w:sz w:val="24"/>
          <w:szCs w:val="24"/>
          <w:lang w:val="pt-BR"/>
        </w:rPr>
      </w:pPr>
    </w:p>
    <w:p w:rsidR="003302D8" w:rsidRDefault="003302D8" w:rsidP="00227EA2">
      <w:pPr>
        <w:tabs>
          <w:tab w:val="left" w:pos="720"/>
          <w:tab w:val="left" w:pos="9270"/>
        </w:tabs>
        <w:spacing w:after="0" w:line="240" w:lineRule="auto"/>
        <w:jc w:val="both"/>
        <w:rPr>
          <w:rFonts w:ascii="Times New Roman" w:hAnsi="Times New Roman" w:cs="Times New Roman"/>
          <w:b/>
          <w:sz w:val="24"/>
          <w:szCs w:val="24"/>
          <w:lang w:val="pt-BR"/>
        </w:rPr>
      </w:pPr>
    </w:p>
    <w:p w:rsidR="003302D8" w:rsidRDefault="003302D8" w:rsidP="00227EA2">
      <w:pPr>
        <w:tabs>
          <w:tab w:val="left" w:pos="720"/>
          <w:tab w:val="left" w:pos="9270"/>
        </w:tabs>
        <w:spacing w:after="0" w:line="240" w:lineRule="auto"/>
        <w:jc w:val="both"/>
        <w:rPr>
          <w:rFonts w:ascii="Times New Roman" w:hAnsi="Times New Roman" w:cs="Times New Roman"/>
          <w:b/>
          <w:sz w:val="24"/>
          <w:szCs w:val="24"/>
          <w:lang w:val="pt-BR"/>
        </w:rPr>
      </w:pPr>
    </w:p>
    <w:p w:rsidR="003302D8" w:rsidRDefault="003302D8" w:rsidP="00227EA2">
      <w:pPr>
        <w:tabs>
          <w:tab w:val="left" w:pos="720"/>
          <w:tab w:val="left" w:pos="9270"/>
        </w:tabs>
        <w:spacing w:after="0" w:line="240" w:lineRule="auto"/>
        <w:jc w:val="both"/>
        <w:rPr>
          <w:rFonts w:ascii="Times New Roman" w:hAnsi="Times New Roman" w:cs="Times New Roman"/>
          <w:b/>
          <w:sz w:val="24"/>
          <w:szCs w:val="24"/>
          <w:lang w:val="pt-BR"/>
        </w:rPr>
      </w:pPr>
    </w:p>
    <w:p w:rsidR="003302D8" w:rsidRDefault="007B3C2C" w:rsidP="007B3C2C">
      <w:pPr>
        <w:tabs>
          <w:tab w:val="left" w:pos="720"/>
        </w:tabs>
        <w:spacing w:after="0" w:line="240" w:lineRule="auto"/>
        <w:ind w:left="720" w:right="360"/>
        <w:jc w:val="both"/>
        <w:rPr>
          <w:rFonts w:ascii="Times New Roman" w:hAnsi="Times New Roman" w:cs="Times New Roman"/>
          <w:sz w:val="20"/>
          <w:szCs w:val="20"/>
          <w:lang w:val="pt-BR"/>
        </w:rPr>
      </w:pPr>
      <w:r w:rsidRPr="007B3C2C">
        <w:rPr>
          <w:rFonts w:ascii="Times New Roman" w:hAnsi="Times New Roman" w:cs="Times New Roman"/>
          <w:b/>
          <w:sz w:val="20"/>
          <w:szCs w:val="20"/>
          <w:lang w:val="pt-BR"/>
        </w:rPr>
        <w:t>Resumo</w:t>
      </w:r>
      <w:r w:rsidRPr="007B3C2C">
        <w:rPr>
          <w:rFonts w:ascii="Times New Roman" w:hAnsi="Times New Roman" w:cs="Times New Roman"/>
          <w:sz w:val="20"/>
          <w:szCs w:val="20"/>
          <w:lang w:val="pt-BR"/>
        </w:rPr>
        <w:t>: Nesse trabalho foi construído, a partir de um painel cointegrado para 102 países, um índice de desalinhamento da TCR para abordar a questão de se o regime cambial, entre outros determinantes do comportamento do câmbio, é importante para explicar desalinhamento; além disso, se é possível distinguir quais são os papéis dos diferentes regimes cambias na determinação da TCR. São utilizados dados de 1970 a 2004, a partir de diversas bases históricas macroeconômicas. As diversas especificações e testes com bases diferentes parecem convergir em resultados interessantes. No caso dos regimes de câmbio fixo, é apresentada uma relação robusta e positiva com sobreval</w:t>
      </w:r>
      <w:r w:rsidR="00911DD0">
        <w:rPr>
          <w:rFonts w:ascii="Times New Roman" w:hAnsi="Times New Roman" w:cs="Times New Roman"/>
          <w:sz w:val="20"/>
          <w:szCs w:val="20"/>
          <w:lang w:val="pt-BR"/>
        </w:rPr>
        <w:t>orizações</w:t>
      </w:r>
      <w:r w:rsidRPr="007B3C2C">
        <w:rPr>
          <w:rFonts w:ascii="Times New Roman" w:hAnsi="Times New Roman" w:cs="Times New Roman"/>
          <w:sz w:val="20"/>
          <w:szCs w:val="20"/>
          <w:lang w:val="pt-BR"/>
        </w:rPr>
        <w:t>. Ou seja, a escolha do regime cambial importa, quando se pensa em desalinhamento cambial. Com relação a regimes flutuantes, quase a totalidade das especificações mostram que ele atua em sentido contrário às sobrevalorizações cambiais.</w:t>
      </w:r>
    </w:p>
    <w:p w:rsidR="007B3C2C" w:rsidRDefault="007B3C2C" w:rsidP="007B3C2C">
      <w:pPr>
        <w:tabs>
          <w:tab w:val="left" w:pos="720"/>
        </w:tabs>
        <w:spacing w:after="0" w:line="240" w:lineRule="auto"/>
        <w:ind w:left="720" w:right="360"/>
        <w:jc w:val="both"/>
        <w:rPr>
          <w:rFonts w:ascii="Times New Roman" w:hAnsi="Times New Roman" w:cs="Times New Roman"/>
          <w:sz w:val="20"/>
          <w:szCs w:val="20"/>
          <w:lang w:val="pt-BR"/>
        </w:rPr>
      </w:pPr>
      <w:r>
        <w:rPr>
          <w:rFonts w:ascii="Times New Roman" w:hAnsi="Times New Roman" w:cs="Times New Roman"/>
          <w:b/>
          <w:sz w:val="20"/>
          <w:szCs w:val="20"/>
          <w:lang w:val="pt-BR"/>
        </w:rPr>
        <w:t>Palavras</w:t>
      </w:r>
      <w:r w:rsidRPr="007B3C2C">
        <w:rPr>
          <w:rFonts w:ascii="Times New Roman" w:hAnsi="Times New Roman" w:cs="Times New Roman"/>
          <w:sz w:val="20"/>
          <w:szCs w:val="20"/>
          <w:lang w:val="pt-BR"/>
        </w:rPr>
        <w:t>-</w:t>
      </w:r>
      <w:r>
        <w:rPr>
          <w:rFonts w:ascii="Times New Roman" w:hAnsi="Times New Roman" w:cs="Times New Roman"/>
          <w:b/>
          <w:sz w:val="20"/>
          <w:szCs w:val="20"/>
          <w:lang w:val="pt-BR"/>
        </w:rPr>
        <w:t xml:space="preserve">chave: </w:t>
      </w:r>
      <w:r>
        <w:rPr>
          <w:rFonts w:ascii="Times New Roman" w:hAnsi="Times New Roman" w:cs="Times New Roman"/>
          <w:sz w:val="20"/>
          <w:szCs w:val="20"/>
          <w:lang w:val="pt-BR"/>
        </w:rPr>
        <w:t>Cointegração em Painel, Regimes Cambiais, Desalinhamento.</w:t>
      </w:r>
    </w:p>
    <w:p w:rsidR="007B3C2C" w:rsidRDefault="007B3C2C" w:rsidP="007B3C2C">
      <w:pPr>
        <w:tabs>
          <w:tab w:val="left" w:pos="720"/>
        </w:tabs>
        <w:spacing w:after="0" w:line="240" w:lineRule="auto"/>
        <w:ind w:left="720" w:right="360"/>
        <w:jc w:val="both"/>
        <w:rPr>
          <w:rFonts w:ascii="Times New Roman" w:hAnsi="Times New Roman" w:cs="Times New Roman"/>
          <w:sz w:val="20"/>
          <w:szCs w:val="20"/>
          <w:lang w:val="pt-BR"/>
        </w:rPr>
      </w:pPr>
    </w:p>
    <w:p w:rsidR="007B3C2C" w:rsidRDefault="007B3C2C" w:rsidP="007B3C2C">
      <w:pPr>
        <w:tabs>
          <w:tab w:val="left" w:pos="720"/>
        </w:tabs>
        <w:spacing w:after="0" w:line="240" w:lineRule="auto"/>
        <w:ind w:left="720" w:right="360"/>
        <w:jc w:val="both"/>
        <w:rPr>
          <w:rFonts w:ascii="Times New Roman" w:hAnsi="Times New Roman" w:cs="Times New Roman"/>
          <w:sz w:val="20"/>
          <w:szCs w:val="20"/>
          <w:lang w:val="pt-BR"/>
        </w:rPr>
      </w:pPr>
    </w:p>
    <w:p w:rsidR="007B3C2C" w:rsidRDefault="007B3C2C" w:rsidP="007B3C2C">
      <w:pPr>
        <w:tabs>
          <w:tab w:val="left" w:pos="720"/>
        </w:tabs>
        <w:spacing w:after="0" w:line="240" w:lineRule="auto"/>
        <w:ind w:left="720" w:right="360"/>
        <w:jc w:val="both"/>
        <w:rPr>
          <w:rFonts w:ascii="Times New Roman" w:hAnsi="Times New Roman" w:cs="Times New Roman"/>
          <w:sz w:val="20"/>
          <w:szCs w:val="20"/>
        </w:rPr>
      </w:pPr>
      <w:r w:rsidRPr="007B3C2C">
        <w:rPr>
          <w:rFonts w:ascii="Times New Roman" w:hAnsi="Times New Roman" w:cs="Times New Roman"/>
          <w:b/>
          <w:sz w:val="20"/>
          <w:szCs w:val="20"/>
        </w:rPr>
        <w:t xml:space="preserve">Abstract: </w:t>
      </w:r>
      <w:r w:rsidRPr="007B3C2C">
        <w:rPr>
          <w:rFonts w:ascii="Times New Roman" w:hAnsi="Times New Roman" w:cs="Times New Roman"/>
          <w:sz w:val="20"/>
          <w:szCs w:val="20"/>
        </w:rPr>
        <w:t>In this paper w</w:t>
      </w:r>
      <w:r>
        <w:rPr>
          <w:rFonts w:ascii="Times New Roman" w:hAnsi="Times New Roman" w:cs="Times New Roman"/>
          <w:sz w:val="20"/>
          <w:szCs w:val="20"/>
        </w:rPr>
        <w:t xml:space="preserve">e estimate a co-integrated panel for 102 countries in a time span of 1970-2004 for constructing a real exchange rate misalignment index. The question in line is if the currency regime of a country is an important factor explaining misalignment; furthermore, the question is if it’s possible to distinguish what is the role played by different currency regimes in real exchange rate determination. The several specifications and test with different datasets seem to converge in several interesting aspects. </w:t>
      </w:r>
      <w:r w:rsidR="00911DD0">
        <w:rPr>
          <w:rFonts w:ascii="Times New Roman" w:hAnsi="Times New Roman" w:cs="Times New Roman"/>
          <w:sz w:val="20"/>
          <w:szCs w:val="20"/>
        </w:rPr>
        <w:t>In pegged regimes, we show a robust and positive correlation with over-valuations. Hence, currency regime matters and one thinks about real exchange rate misalignment. As to the floating regimes, almost all specifications shows that the relationship is negative between exchange rate over-valuations.</w:t>
      </w:r>
    </w:p>
    <w:p w:rsidR="00911DD0" w:rsidRDefault="00911DD0" w:rsidP="007B3C2C">
      <w:pPr>
        <w:tabs>
          <w:tab w:val="left" w:pos="720"/>
        </w:tabs>
        <w:spacing w:after="0" w:line="240" w:lineRule="auto"/>
        <w:ind w:left="720" w:right="360"/>
        <w:jc w:val="both"/>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Panel Cointegration, Currency Regimes, Misalignment.</w:t>
      </w:r>
    </w:p>
    <w:p w:rsidR="00911DD0" w:rsidRPr="00DB1F12" w:rsidRDefault="00911DD0" w:rsidP="007B3C2C">
      <w:pPr>
        <w:tabs>
          <w:tab w:val="left" w:pos="720"/>
        </w:tabs>
        <w:spacing w:after="0" w:line="240" w:lineRule="auto"/>
        <w:ind w:left="720" w:right="360"/>
        <w:jc w:val="both"/>
        <w:rPr>
          <w:rFonts w:ascii="Times New Roman" w:hAnsi="Times New Roman" w:cs="Times New Roman"/>
          <w:sz w:val="20"/>
          <w:szCs w:val="20"/>
          <w:lang w:val="pt-BR"/>
        </w:rPr>
      </w:pPr>
      <w:r w:rsidRPr="00DB1F12">
        <w:rPr>
          <w:rFonts w:ascii="Times New Roman" w:hAnsi="Times New Roman" w:cs="Times New Roman"/>
          <w:b/>
          <w:sz w:val="20"/>
          <w:szCs w:val="20"/>
          <w:lang w:val="pt-BR"/>
        </w:rPr>
        <w:t xml:space="preserve">JEL: </w:t>
      </w:r>
      <w:r w:rsidRPr="00DB1F12">
        <w:rPr>
          <w:rFonts w:ascii="Times New Roman" w:hAnsi="Times New Roman" w:cs="Times New Roman"/>
          <w:bCs/>
          <w:sz w:val="20"/>
          <w:szCs w:val="20"/>
          <w:lang w:val="pt-BR"/>
        </w:rPr>
        <w:t>C23, F3, F41.</w:t>
      </w:r>
    </w:p>
    <w:p w:rsidR="003302D8" w:rsidRPr="00DB1F12" w:rsidRDefault="003302D8" w:rsidP="00227EA2">
      <w:pPr>
        <w:tabs>
          <w:tab w:val="left" w:pos="720"/>
          <w:tab w:val="left" w:pos="9270"/>
        </w:tabs>
        <w:spacing w:after="0" w:line="240" w:lineRule="auto"/>
        <w:jc w:val="both"/>
        <w:rPr>
          <w:rFonts w:ascii="Times New Roman" w:hAnsi="Times New Roman" w:cs="Times New Roman"/>
          <w:b/>
          <w:sz w:val="24"/>
          <w:szCs w:val="24"/>
          <w:lang w:val="pt-BR"/>
        </w:rPr>
      </w:pPr>
    </w:p>
    <w:p w:rsidR="003302D8" w:rsidRPr="00DB1F12" w:rsidRDefault="003302D8" w:rsidP="00227EA2">
      <w:pPr>
        <w:tabs>
          <w:tab w:val="left" w:pos="720"/>
          <w:tab w:val="left" w:pos="9270"/>
        </w:tabs>
        <w:spacing w:after="0" w:line="240" w:lineRule="auto"/>
        <w:jc w:val="both"/>
        <w:rPr>
          <w:rFonts w:ascii="Times New Roman" w:hAnsi="Times New Roman" w:cs="Times New Roman"/>
          <w:b/>
          <w:sz w:val="24"/>
          <w:szCs w:val="24"/>
          <w:lang w:val="pt-BR"/>
        </w:rPr>
      </w:pPr>
    </w:p>
    <w:p w:rsidR="00911DD0" w:rsidRPr="00DB1F12" w:rsidRDefault="00911DD0" w:rsidP="00227EA2">
      <w:pPr>
        <w:tabs>
          <w:tab w:val="left" w:pos="720"/>
          <w:tab w:val="left" w:pos="9270"/>
        </w:tabs>
        <w:spacing w:after="0" w:line="240" w:lineRule="auto"/>
        <w:jc w:val="both"/>
        <w:rPr>
          <w:rFonts w:ascii="Times New Roman" w:hAnsi="Times New Roman" w:cs="Times New Roman"/>
          <w:b/>
          <w:sz w:val="24"/>
          <w:szCs w:val="24"/>
          <w:lang w:val="pt-BR"/>
        </w:rPr>
      </w:pPr>
    </w:p>
    <w:p w:rsidR="00911DD0" w:rsidRPr="00DB1F12" w:rsidRDefault="00911DD0" w:rsidP="00227EA2">
      <w:pPr>
        <w:tabs>
          <w:tab w:val="left" w:pos="720"/>
          <w:tab w:val="left" w:pos="9270"/>
        </w:tabs>
        <w:spacing w:after="0" w:line="240" w:lineRule="auto"/>
        <w:jc w:val="both"/>
        <w:rPr>
          <w:rFonts w:ascii="Times New Roman" w:hAnsi="Times New Roman" w:cs="Times New Roman"/>
          <w:b/>
          <w:sz w:val="24"/>
          <w:szCs w:val="24"/>
          <w:lang w:val="pt-BR"/>
        </w:rPr>
      </w:pPr>
    </w:p>
    <w:p w:rsidR="000229DC" w:rsidRPr="00DB1F12" w:rsidRDefault="000229DC" w:rsidP="00227EA2">
      <w:pPr>
        <w:tabs>
          <w:tab w:val="left" w:pos="720"/>
          <w:tab w:val="left" w:pos="9270"/>
        </w:tabs>
        <w:spacing w:after="0" w:line="240" w:lineRule="auto"/>
        <w:jc w:val="both"/>
        <w:rPr>
          <w:rFonts w:ascii="Times New Roman" w:hAnsi="Times New Roman" w:cs="Times New Roman"/>
          <w:b/>
          <w:sz w:val="24"/>
          <w:szCs w:val="24"/>
          <w:lang w:val="pt-BR"/>
        </w:rPr>
      </w:pPr>
    </w:p>
    <w:p w:rsidR="000229DC" w:rsidRPr="00DB1F12" w:rsidRDefault="000229DC" w:rsidP="00227EA2">
      <w:pPr>
        <w:tabs>
          <w:tab w:val="left" w:pos="720"/>
          <w:tab w:val="left" w:pos="9270"/>
        </w:tabs>
        <w:spacing w:after="0" w:line="240" w:lineRule="auto"/>
        <w:jc w:val="both"/>
        <w:rPr>
          <w:rFonts w:ascii="Times New Roman" w:hAnsi="Times New Roman" w:cs="Times New Roman"/>
          <w:b/>
          <w:sz w:val="24"/>
          <w:szCs w:val="24"/>
          <w:lang w:val="pt-BR"/>
        </w:rPr>
      </w:pPr>
    </w:p>
    <w:p w:rsidR="000229DC" w:rsidRPr="00DB1F12" w:rsidRDefault="000229DC" w:rsidP="00227EA2">
      <w:pPr>
        <w:tabs>
          <w:tab w:val="left" w:pos="720"/>
          <w:tab w:val="left" w:pos="9270"/>
        </w:tabs>
        <w:spacing w:after="0" w:line="240" w:lineRule="auto"/>
        <w:jc w:val="both"/>
        <w:rPr>
          <w:rFonts w:ascii="Times New Roman" w:hAnsi="Times New Roman" w:cs="Times New Roman"/>
          <w:b/>
          <w:sz w:val="24"/>
          <w:szCs w:val="24"/>
          <w:lang w:val="pt-BR"/>
        </w:rPr>
      </w:pPr>
    </w:p>
    <w:p w:rsidR="000229DC" w:rsidRPr="00DB1F12" w:rsidRDefault="000229DC" w:rsidP="00227EA2">
      <w:pPr>
        <w:tabs>
          <w:tab w:val="left" w:pos="720"/>
          <w:tab w:val="left" w:pos="9270"/>
        </w:tabs>
        <w:spacing w:after="0" w:line="240" w:lineRule="auto"/>
        <w:jc w:val="both"/>
        <w:rPr>
          <w:rFonts w:ascii="Times New Roman" w:hAnsi="Times New Roman" w:cs="Times New Roman"/>
          <w:b/>
          <w:sz w:val="24"/>
          <w:szCs w:val="24"/>
          <w:lang w:val="pt-BR"/>
        </w:rPr>
      </w:pPr>
    </w:p>
    <w:p w:rsidR="000229DC" w:rsidRPr="00DB1F12" w:rsidRDefault="000229DC" w:rsidP="00227EA2">
      <w:pPr>
        <w:tabs>
          <w:tab w:val="left" w:pos="720"/>
          <w:tab w:val="left" w:pos="9270"/>
        </w:tabs>
        <w:spacing w:after="0" w:line="240" w:lineRule="auto"/>
        <w:jc w:val="both"/>
        <w:rPr>
          <w:rFonts w:ascii="Times New Roman" w:hAnsi="Times New Roman" w:cs="Times New Roman"/>
          <w:b/>
          <w:sz w:val="24"/>
          <w:szCs w:val="24"/>
          <w:lang w:val="pt-BR"/>
        </w:rPr>
      </w:pPr>
    </w:p>
    <w:p w:rsidR="000229DC" w:rsidRPr="00DB1F12" w:rsidRDefault="000229DC" w:rsidP="00227EA2">
      <w:pPr>
        <w:tabs>
          <w:tab w:val="left" w:pos="720"/>
          <w:tab w:val="left" w:pos="9270"/>
        </w:tabs>
        <w:spacing w:after="0" w:line="240" w:lineRule="auto"/>
        <w:jc w:val="both"/>
        <w:rPr>
          <w:rFonts w:ascii="Times New Roman" w:hAnsi="Times New Roman" w:cs="Times New Roman"/>
          <w:b/>
          <w:sz w:val="24"/>
          <w:szCs w:val="24"/>
          <w:lang w:val="pt-BR"/>
        </w:rPr>
      </w:pPr>
    </w:p>
    <w:p w:rsidR="000229DC" w:rsidRPr="00DB1F12" w:rsidRDefault="000229DC" w:rsidP="00227EA2">
      <w:pPr>
        <w:tabs>
          <w:tab w:val="left" w:pos="720"/>
          <w:tab w:val="left" w:pos="9270"/>
        </w:tabs>
        <w:spacing w:after="0" w:line="240" w:lineRule="auto"/>
        <w:jc w:val="both"/>
        <w:rPr>
          <w:rFonts w:ascii="Times New Roman" w:hAnsi="Times New Roman" w:cs="Times New Roman"/>
          <w:b/>
          <w:sz w:val="24"/>
          <w:szCs w:val="24"/>
          <w:lang w:val="pt-BR"/>
        </w:rPr>
      </w:pPr>
    </w:p>
    <w:p w:rsidR="000229DC" w:rsidRPr="00DB1F12" w:rsidRDefault="000229DC" w:rsidP="00227EA2">
      <w:pPr>
        <w:tabs>
          <w:tab w:val="left" w:pos="720"/>
          <w:tab w:val="left" w:pos="9270"/>
        </w:tabs>
        <w:spacing w:after="0" w:line="240" w:lineRule="auto"/>
        <w:jc w:val="both"/>
        <w:rPr>
          <w:rFonts w:ascii="Times New Roman" w:hAnsi="Times New Roman" w:cs="Times New Roman"/>
          <w:b/>
          <w:sz w:val="24"/>
          <w:szCs w:val="24"/>
          <w:lang w:val="pt-BR"/>
        </w:rPr>
      </w:pPr>
    </w:p>
    <w:p w:rsidR="000229DC" w:rsidRPr="00DB1F12" w:rsidRDefault="000229DC" w:rsidP="00227EA2">
      <w:pPr>
        <w:tabs>
          <w:tab w:val="left" w:pos="720"/>
          <w:tab w:val="left" w:pos="9270"/>
        </w:tabs>
        <w:spacing w:after="0" w:line="240" w:lineRule="auto"/>
        <w:jc w:val="both"/>
        <w:rPr>
          <w:rFonts w:ascii="Times New Roman" w:hAnsi="Times New Roman" w:cs="Times New Roman"/>
          <w:b/>
          <w:sz w:val="24"/>
          <w:szCs w:val="24"/>
          <w:lang w:val="pt-BR"/>
        </w:rPr>
      </w:pPr>
    </w:p>
    <w:p w:rsidR="000229DC" w:rsidRPr="00DB1F12" w:rsidRDefault="000229DC" w:rsidP="00227EA2">
      <w:pPr>
        <w:tabs>
          <w:tab w:val="left" w:pos="720"/>
          <w:tab w:val="left" w:pos="9270"/>
        </w:tabs>
        <w:spacing w:after="0" w:line="240" w:lineRule="auto"/>
        <w:jc w:val="both"/>
        <w:rPr>
          <w:rFonts w:ascii="Times New Roman" w:hAnsi="Times New Roman" w:cs="Times New Roman"/>
          <w:b/>
          <w:sz w:val="24"/>
          <w:szCs w:val="24"/>
          <w:lang w:val="pt-BR"/>
        </w:rPr>
      </w:pPr>
    </w:p>
    <w:p w:rsidR="000229DC" w:rsidRPr="00DB1F12" w:rsidRDefault="000229DC" w:rsidP="00227EA2">
      <w:pPr>
        <w:tabs>
          <w:tab w:val="left" w:pos="720"/>
          <w:tab w:val="left" w:pos="9270"/>
        </w:tabs>
        <w:spacing w:after="0" w:line="240" w:lineRule="auto"/>
        <w:jc w:val="both"/>
        <w:rPr>
          <w:rFonts w:ascii="Times New Roman" w:hAnsi="Times New Roman" w:cs="Times New Roman"/>
          <w:b/>
          <w:sz w:val="24"/>
          <w:szCs w:val="24"/>
          <w:lang w:val="pt-BR"/>
        </w:rPr>
      </w:pPr>
    </w:p>
    <w:p w:rsidR="000229DC" w:rsidRPr="00DB1F12" w:rsidRDefault="000229DC" w:rsidP="00227EA2">
      <w:pPr>
        <w:tabs>
          <w:tab w:val="left" w:pos="720"/>
          <w:tab w:val="left" w:pos="9270"/>
        </w:tabs>
        <w:spacing w:after="0" w:line="240" w:lineRule="auto"/>
        <w:jc w:val="both"/>
        <w:rPr>
          <w:rFonts w:ascii="Times New Roman" w:hAnsi="Times New Roman" w:cs="Times New Roman"/>
          <w:b/>
          <w:sz w:val="24"/>
          <w:szCs w:val="24"/>
          <w:lang w:val="pt-BR"/>
        </w:rPr>
      </w:pPr>
    </w:p>
    <w:p w:rsidR="000229DC" w:rsidRPr="00DB1F12" w:rsidRDefault="000229DC" w:rsidP="00227EA2">
      <w:pPr>
        <w:tabs>
          <w:tab w:val="left" w:pos="720"/>
          <w:tab w:val="left" w:pos="9270"/>
        </w:tabs>
        <w:spacing w:after="0" w:line="240" w:lineRule="auto"/>
        <w:jc w:val="both"/>
        <w:rPr>
          <w:rFonts w:ascii="Times New Roman" w:hAnsi="Times New Roman" w:cs="Times New Roman"/>
          <w:b/>
          <w:sz w:val="24"/>
          <w:szCs w:val="24"/>
          <w:lang w:val="pt-BR"/>
        </w:rPr>
      </w:pPr>
    </w:p>
    <w:p w:rsidR="000229DC" w:rsidRPr="00DB1F12" w:rsidRDefault="000229DC" w:rsidP="00227EA2">
      <w:pPr>
        <w:tabs>
          <w:tab w:val="left" w:pos="720"/>
          <w:tab w:val="left" w:pos="9270"/>
        </w:tabs>
        <w:spacing w:after="0" w:line="240" w:lineRule="auto"/>
        <w:jc w:val="both"/>
        <w:rPr>
          <w:rFonts w:ascii="Times New Roman" w:hAnsi="Times New Roman" w:cs="Times New Roman"/>
          <w:b/>
          <w:sz w:val="24"/>
          <w:szCs w:val="24"/>
          <w:lang w:val="pt-BR"/>
        </w:rPr>
      </w:pPr>
    </w:p>
    <w:p w:rsidR="000229DC" w:rsidRPr="00DB1F12" w:rsidRDefault="000229DC" w:rsidP="00227EA2">
      <w:pPr>
        <w:tabs>
          <w:tab w:val="left" w:pos="720"/>
          <w:tab w:val="left" w:pos="9270"/>
        </w:tabs>
        <w:spacing w:after="0" w:line="240" w:lineRule="auto"/>
        <w:jc w:val="both"/>
        <w:rPr>
          <w:rFonts w:ascii="Times New Roman" w:hAnsi="Times New Roman" w:cs="Times New Roman"/>
          <w:b/>
          <w:sz w:val="24"/>
          <w:szCs w:val="24"/>
          <w:lang w:val="pt-BR"/>
        </w:rPr>
      </w:pPr>
    </w:p>
    <w:p w:rsidR="000229DC" w:rsidRPr="00DB1F12" w:rsidRDefault="000229DC" w:rsidP="00227EA2">
      <w:pPr>
        <w:tabs>
          <w:tab w:val="left" w:pos="720"/>
          <w:tab w:val="left" w:pos="9270"/>
        </w:tabs>
        <w:spacing w:after="0" w:line="240" w:lineRule="auto"/>
        <w:jc w:val="both"/>
        <w:rPr>
          <w:rFonts w:ascii="Times New Roman" w:hAnsi="Times New Roman" w:cs="Times New Roman"/>
          <w:b/>
          <w:sz w:val="24"/>
          <w:szCs w:val="24"/>
          <w:lang w:val="pt-BR"/>
        </w:rPr>
        <w:sectPr w:rsidR="000229DC" w:rsidRPr="00DB1F12" w:rsidSect="00227EA2">
          <w:headerReference w:type="default" r:id="rId8"/>
          <w:pgSz w:w="12240" w:h="15840"/>
          <w:pgMar w:top="1440" w:right="1440" w:bottom="1440" w:left="1440" w:header="720" w:footer="720" w:gutter="0"/>
          <w:pgNumType w:start="1"/>
          <w:cols w:space="720"/>
          <w:docGrid w:linePitch="360"/>
        </w:sectPr>
      </w:pPr>
    </w:p>
    <w:p w:rsidR="007C3D96" w:rsidRPr="00DB1F12" w:rsidRDefault="00911DD0" w:rsidP="00227EA2">
      <w:pPr>
        <w:tabs>
          <w:tab w:val="left" w:pos="720"/>
          <w:tab w:val="left" w:pos="9270"/>
        </w:tabs>
        <w:spacing w:after="0" w:line="240" w:lineRule="auto"/>
        <w:jc w:val="both"/>
        <w:rPr>
          <w:rFonts w:ascii="Times New Roman" w:hAnsi="Times New Roman" w:cs="Times New Roman"/>
          <w:b/>
          <w:sz w:val="24"/>
          <w:szCs w:val="24"/>
          <w:lang w:val="pt-BR"/>
        </w:rPr>
      </w:pPr>
      <w:r w:rsidRPr="00DB1F12">
        <w:rPr>
          <w:rFonts w:ascii="Times New Roman" w:hAnsi="Times New Roman" w:cs="Times New Roman"/>
          <w:b/>
          <w:sz w:val="24"/>
          <w:szCs w:val="24"/>
          <w:lang w:val="pt-BR"/>
        </w:rPr>
        <w:lastRenderedPageBreak/>
        <w:t>1</w:t>
      </w:r>
      <w:r w:rsidR="007C3D96" w:rsidRPr="00DB1F12">
        <w:rPr>
          <w:rFonts w:ascii="Times New Roman" w:hAnsi="Times New Roman" w:cs="Times New Roman"/>
          <w:b/>
          <w:sz w:val="24"/>
          <w:szCs w:val="24"/>
          <w:lang w:val="pt-BR"/>
        </w:rPr>
        <w:t>. Introdução</w:t>
      </w:r>
    </w:p>
    <w:p w:rsidR="007C3D96" w:rsidRPr="00DB1F12" w:rsidRDefault="007C3D96" w:rsidP="00D95DC0">
      <w:pPr>
        <w:tabs>
          <w:tab w:val="left" w:pos="720"/>
          <w:tab w:val="left" w:pos="9270"/>
        </w:tabs>
        <w:spacing w:after="0" w:line="240" w:lineRule="auto"/>
        <w:ind w:firstLine="720"/>
        <w:jc w:val="both"/>
        <w:rPr>
          <w:rFonts w:ascii="Times New Roman" w:hAnsi="Times New Roman" w:cs="Times New Roman"/>
          <w:sz w:val="24"/>
          <w:szCs w:val="24"/>
          <w:lang w:val="pt-BR"/>
        </w:rPr>
      </w:pPr>
    </w:p>
    <w:p w:rsidR="00531C74" w:rsidRDefault="00E05C4E" w:rsidP="00D95DC0">
      <w:pPr>
        <w:tabs>
          <w:tab w:val="left" w:pos="720"/>
          <w:tab w:val="left" w:pos="9270"/>
        </w:tabs>
        <w:spacing w:after="0" w:line="240" w:lineRule="auto"/>
        <w:ind w:firstLine="720"/>
        <w:jc w:val="both"/>
        <w:rPr>
          <w:rFonts w:ascii="Times New Roman" w:hAnsi="Times New Roman" w:cs="Times New Roman"/>
          <w:sz w:val="24"/>
          <w:szCs w:val="24"/>
          <w:lang w:val="pt-BR"/>
        </w:rPr>
      </w:pPr>
      <w:r w:rsidRPr="00635FFF">
        <w:rPr>
          <w:rFonts w:ascii="Times New Roman" w:hAnsi="Times New Roman" w:cs="Times New Roman"/>
          <w:sz w:val="24"/>
          <w:szCs w:val="24"/>
          <w:lang w:val="pt-BR"/>
        </w:rPr>
        <w:t xml:space="preserve">A taxa real de câmbio (TCR) pode ser considerada o preço relativo mais importante da macroeconomia, dadas as ramificações de influência que ela tem sobre inúmeros outros preços agregados. Por </w:t>
      </w:r>
      <w:r w:rsidR="001B63E5" w:rsidRPr="00635FFF">
        <w:rPr>
          <w:rFonts w:ascii="Times New Roman" w:hAnsi="Times New Roman" w:cs="Times New Roman"/>
          <w:sz w:val="24"/>
          <w:szCs w:val="24"/>
          <w:lang w:val="pt-BR"/>
        </w:rPr>
        <w:t>isso mesmo, muito</w:t>
      </w:r>
      <w:r w:rsidR="001B63E5">
        <w:rPr>
          <w:rFonts w:ascii="Times New Roman" w:hAnsi="Times New Roman" w:cs="Times New Roman"/>
          <w:sz w:val="24"/>
          <w:szCs w:val="24"/>
          <w:lang w:val="pt-BR"/>
        </w:rPr>
        <w:t>s</w:t>
      </w:r>
      <w:r w:rsidRPr="00635FFF">
        <w:rPr>
          <w:rFonts w:ascii="Times New Roman" w:hAnsi="Times New Roman" w:cs="Times New Roman"/>
          <w:sz w:val="24"/>
          <w:szCs w:val="24"/>
          <w:lang w:val="pt-BR"/>
        </w:rPr>
        <w:t xml:space="preserve"> economistas convivem com a preocupação de que a TCR que prevalece no mercado seja um sinal correto que torne sustentável, no longo prazo, o equilíbrio dos “fundamentos” macroeconômicos que ela afeta e são afetados por ela. Além disso, a história mostrou que sustentar uma taxa de câmbio desalinhada pode levar a crises de moeda que deixam traumas macroeconômicos indeléveis: o México, o Leste Asiático e o Brasil experimentaram esse tipo de crise, por exemplo</w:t>
      </w:r>
      <w:r w:rsidR="001B21C8" w:rsidRPr="00635FFF">
        <w:rPr>
          <w:rFonts w:ascii="Times New Roman" w:hAnsi="Times New Roman" w:cs="Times New Roman"/>
          <w:sz w:val="24"/>
          <w:szCs w:val="24"/>
          <w:lang w:val="pt-BR"/>
        </w:rPr>
        <w:t>.</w:t>
      </w:r>
      <w:r w:rsidRPr="00635FFF">
        <w:rPr>
          <w:rFonts w:ascii="Times New Roman" w:hAnsi="Times New Roman" w:cs="Times New Roman"/>
          <w:sz w:val="24"/>
          <w:szCs w:val="24"/>
          <w:lang w:val="pt-BR"/>
        </w:rPr>
        <w:t xml:space="preserve"> Mais recentemente, as práticas dos regimes cambiais também têm sido </w:t>
      </w:r>
      <w:r w:rsidR="001B21C8" w:rsidRPr="00635FFF">
        <w:rPr>
          <w:rFonts w:ascii="Times New Roman" w:hAnsi="Times New Roman" w:cs="Times New Roman"/>
          <w:sz w:val="24"/>
          <w:szCs w:val="24"/>
          <w:lang w:val="pt-BR"/>
        </w:rPr>
        <w:t>focadas</w:t>
      </w:r>
      <w:r w:rsidRPr="00635FFF">
        <w:rPr>
          <w:rFonts w:ascii="Times New Roman" w:hAnsi="Times New Roman" w:cs="Times New Roman"/>
          <w:sz w:val="24"/>
          <w:szCs w:val="24"/>
          <w:lang w:val="pt-BR"/>
        </w:rPr>
        <w:t xml:space="preserve">.  Se </w:t>
      </w:r>
      <w:r w:rsidR="001B21C8" w:rsidRPr="00635FFF">
        <w:rPr>
          <w:rFonts w:ascii="Times New Roman" w:hAnsi="Times New Roman" w:cs="Times New Roman"/>
          <w:sz w:val="24"/>
          <w:szCs w:val="24"/>
          <w:lang w:val="pt-BR"/>
        </w:rPr>
        <w:t>os regimes de câmbio forem</w:t>
      </w:r>
      <w:r w:rsidRPr="00635FFF">
        <w:rPr>
          <w:rFonts w:ascii="Times New Roman" w:hAnsi="Times New Roman" w:cs="Times New Roman"/>
          <w:sz w:val="24"/>
          <w:szCs w:val="24"/>
          <w:lang w:val="pt-BR"/>
        </w:rPr>
        <w:t xml:space="preserve"> capazes de determinar o comportamento </w:t>
      </w:r>
      <w:r w:rsidR="00D125E5">
        <w:rPr>
          <w:rFonts w:ascii="Times New Roman" w:hAnsi="Times New Roman" w:cs="Times New Roman"/>
          <w:sz w:val="24"/>
          <w:szCs w:val="24"/>
          <w:lang w:val="pt-BR"/>
        </w:rPr>
        <w:t>do câmbio real, a importância de avaliar o</w:t>
      </w:r>
      <w:r w:rsidRPr="00635FFF">
        <w:rPr>
          <w:rFonts w:ascii="Times New Roman" w:hAnsi="Times New Roman" w:cs="Times New Roman"/>
          <w:sz w:val="24"/>
          <w:szCs w:val="24"/>
          <w:lang w:val="pt-BR"/>
        </w:rPr>
        <w:t xml:space="preserve"> regime</w:t>
      </w:r>
      <w:r w:rsidR="00D125E5">
        <w:rPr>
          <w:rFonts w:ascii="Times New Roman" w:hAnsi="Times New Roman" w:cs="Times New Roman"/>
          <w:sz w:val="24"/>
          <w:szCs w:val="24"/>
          <w:lang w:val="pt-BR"/>
        </w:rPr>
        <w:t xml:space="preserve"> cambial</w:t>
      </w:r>
      <w:r w:rsidRPr="00635FFF">
        <w:rPr>
          <w:rFonts w:ascii="Times New Roman" w:hAnsi="Times New Roman" w:cs="Times New Roman"/>
          <w:sz w:val="24"/>
          <w:szCs w:val="24"/>
          <w:lang w:val="pt-BR"/>
        </w:rPr>
        <w:t xml:space="preserve"> para as autoridades monetárias não é menor do que</w:t>
      </w:r>
      <w:r w:rsidR="001B21C8" w:rsidRPr="00635FFF">
        <w:rPr>
          <w:rFonts w:ascii="Times New Roman" w:hAnsi="Times New Roman" w:cs="Times New Roman"/>
          <w:sz w:val="24"/>
          <w:szCs w:val="24"/>
          <w:lang w:val="pt-BR"/>
        </w:rPr>
        <w:t xml:space="preserve"> a</w:t>
      </w:r>
      <w:r w:rsidR="00D125E5">
        <w:rPr>
          <w:rFonts w:ascii="Times New Roman" w:hAnsi="Times New Roman" w:cs="Times New Roman"/>
          <w:sz w:val="24"/>
          <w:szCs w:val="24"/>
          <w:lang w:val="pt-BR"/>
        </w:rPr>
        <w:t xml:space="preserve"> tarefa</w:t>
      </w:r>
      <w:r w:rsidR="001B21C8" w:rsidRPr="00635FFF">
        <w:rPr>
          <w:rFonts w:ascii="Times New Roman" w:hAnsi="Times New Roman" w:cs="Times New Roman"/>
          <w:sz w:val="24"/>
          <w:szCs w:val="24"/>
          <w:lang w:val="pt-BR"/>
        </w:rPr>
        <w:t xml:space="preserve"> de</w:t>
      </w:r>
      <w:r w:rsidRPr="00635FFF">
        <w:rPr>
          <w:rFonts w:ascii="Times New Roman" w:hAnsi="Times New Roman" w:cs="Times New Roman"/>
          <w:sz w:val="24"/>
          <w:szCs w:val="24"/>
          <w:lang w:val="pt-BR"/>
        </w:rPr>
        <w:t xml:space="preserve"> acompanhar a evolução da TCR nos momentos em que se quer prevenir crises de moeda.</w:t>
      </w:r>
      <w:r w:rsidR="005F389F">
        <w:rPr>
          <w:rFonts w:ascii="Times New Roman" w:hAnsi="Times New Roman" w:cs="Times New Roman"/>
          <w:sz w:val="24"/>
          <w:szCs w:val="24"/>
          <w:lang w:val="pt-BR"/>
        </w:rPr>
        <w:t xml:space="preserve"> Além disso, bases históricas à respeito da evolução da abertura de capitais estão disponíveis de acordo com vários métodos: uma vez que a abertura aos fluxos financeiros é um fator essencial de exposição dos países às finanças internacionais, explorar esse tema na determinação do câmbio se torna fundamental.</w:t>
      </w:r>
      <w:r w:rsidR="001B21C8" w:rsidRPr="00635FFF">
        <w:rPr>
          <w:rFonts w:ascii="Times New Roman" w:hAnsi="Times New Roman" w:cs="Times New Roman"/>
          <w:sz w:val="24"/>
          <w:szCs w:val="24"/>
          <w:lang w:val="pt-BR"/>
        </w:rPr>
        <w:t xml:space="preserve"> </w:t>
      </w:r>
    </w:p>
    <w:p w:rsidR="00D125E5" w:rsidRPr="00531C74" w:rsidRDefault="001B21C8" w:rsidP="00D95DC0">
      <w:pPr>
        <w:tabs>
          <w:tab w:val="left" w:pos="720"/>
          <w:tab w:val="left" w:pos="9270"/>
        </w:tabs>
        <w:spacing w:after="0" w:line="240" w:lineRule="auto"/>
        <w:ind w:firstLine="720"/>
        <w:jc w:val="both"/>
        <w:rPr>
          <w:rFonts w:ascii="Times New Roman" w:hAnsi="Times New Roman" w:cs="Times New Roman"/>
          <w:sz w:val="24"/>
          <w:szCs w:val="24"/>
          <w:lang w:val="pt-BR"/>
        </w:rPr>
      </w:pPr>
      <w:r w:rsidRPr="00635FFF">
        <w:rPr>
          <w:rFonts w:ascii="Times New Roman" w:hAnsi="Times New Roman" w:cs="Times New Roman"/>
          <w:sz w:val="24"/>
          <w:szCs w:val="24"/>
          <w:lang w:val="pt-BR"/>
        </w:rPr>
        <w:t>É por causa disso que este trabalho propõe estudar a relação entre desalinhamento cambial</w:t>
      </w:r>
      <w:r w:rsidR="00D125E5">
        <w:rPr>
          <w:rFonts w:ascii="Times New Roman" w:hAnsi="Times New Roman" w:cs="Times New Roman"/>
          <w:sz w:val="24"/>
          <w:szCs w:val="24"/>
          <w:lang w:val="pt-BR"/>
        </w:rPr>
        <w:t xml:space="preserve"> </w:t>
      </w:r>
      <w:r w:rsidR="00531C74">
        <w:rPr>
          <w:rFonts w:ascii="Times New Roman" w:hAnsi="Times New Roman" w:cs="Times New Roman"/>
          <w:sz w:val="24"/>
          <w:szCs w:val="24"/>
          <w:lang w:val="pt-BR"/>
        </w:rPr>
        <w:t xml:space="preserve">e regimes cambiais: há de fato uma relação robusta entre a decisão </w:t>
      </w:r>
      <w:r w:rsidR="00531C74">
        <w:rPr>
          <w:rFonts w:ascii="Times New Roman" w:hAnsi="Times New Roman" w:cs="Times New Roman"/>
          <w:i/>
          <w:sz w:val="24"/>
          <w:szCs w:val="24"/>
          <w:lang w:val="pt-BR"/>
        </w:rPr>
        <w:t>de facto</w:t>
      </w:r>
      <w:r w:rsidR="00531C74">
        <w:rPr>
          <w:rFonts w:ascii="Times New Roman" w:hAnsi="Times New Roman" w:cs="Times New Roman"/>
          <w:sz w:val="24"/>
          <w:szCs w:val="24"/>
          <w:lang w:val="pt-BR"/>
        </w:rPr>
        <w:t xml:space="preserve"> de adotar ou não uma paridade cambial com desarranjos na taxa de cambio </w:t>
      </w:r>
      <w:r w:rsidR="00531C74">
        <w:rPr>
          <w:rFonts w:ascii="Times New Roman" w:hAnsi="Times New Roman" w:cs="Times New Roman"/>
          <w:i/>
          <w:sz w:val="24"/>
          <w:szCs w:val="24"/>
          <w:lang w:val="pt-BR"/>
        </w:rPr>
        <w:t>real</w:t>
      </w:r>
      <w:r w:rsidR="00531C74">
        <w:rPr>
          <w:rFonts w:ascii="Times New Roman" w:hAnsi="Times New Roman" w:cs="Times New Roman"/>
          <w:sz w:val="24"/>
          <w:szCs w:val="24"/>
          <w:lang w:val="pt-BR"/>
        </w:rPr>
        <w:t>?</w:t>
      </w:r>
    </w:p>
    <w:p w:rsidR="00F96C99" w:rsidRDefault="00F96C99" w:rsidP="00D95DC0">
      <w:pPr>
        <w:tabs>
          <w:tab w:val="left" w:pos="720"/>
          <w:tab w:val="left" w:pos="9270"/>
        </w:tabs>
        <w:spacing w:after="0" w:line="240" w:lineRule="auto"/>
        <w:ind w:firstLine="720"/>
        <w:jc w:val="both"/>
        <w:rPr>
          <w:rFonts w:ascii="Times New Roman" w:hAnsi="Times New Roman" w:cs="Times New Roman"/>
          <w:sz w:val="24"/>
          <w:szCs w:val="24"/>
          <w:lang w:val="pt-BR"/>
        </w:rPr>
      </w:pPr>
      <w:r w:rsidRPr="00635FFF">
        <w:rPr>
          <w:rFonts w:ascii="Times New Roman" w:hAnsi="Times New Roman" w:cs="Times New Roman"/>
          <w:sz w:val="24"/>
          <w:szCs w:val="24"/>
          <w:lang w:val="pt-BR"/>
        </w:rPr>
        <w:t>A classificação</w:t>
      </w:r>
      <w:r w:rsidR="00D125E5">
        <w:rPr>
          <w:rFonts w:ascii="Times New Roman" w:hAnsi="Times New Roman" w:cs="Times New Roman"/>
          <w:sz w:val="24"/>
          <w:szCs w:val="24"/>
          <w:lang w:val="pt-BR"/>
        </w:rPr>
        <w:t xml:space="preserve"> dos regimes cambais envolve algumas dificuldades</w:t>
      </w:r>
      <w:r w:rsidRPr="00635FFF">
        <w:rPr>
          <w:rFonts w:ascii="Times New Roman" w:hAnsi="Times New Roman" w:cs="Times New Roman"/>
          <w:sz w:val="24"/>
          <w:szCs w:val="24"/>
          <w:lang w:val="pt-BR"/>
        </w:rPr>
        <w:t>: na m</w:t>
      </w:r>
      <w:r w:rsidR="001B63E5">
        <w:rPr>
          <w:rFonts w:ascii="Times New Roman" w:hAnsi="Times New Roman" w:cs="Times New Roman"/>
          <w:sz w:val="24"/>
          <w:szCs w:val="24"/>
          <w:lang w:val="pt-BR"/>
        </w:rPr>
        <w:t>aior parte das séries históricas oficiais, foram anunciad</w:t>
      </w:r>
      <w:r w:rsidR="00D125E5">
        <w:rPr>
          <w:rFonts w:ascii="Times New Roman" w:hAnsi="Times New Roman" w:cs="Times New Roman"/>
          <w:sz w:val="24"/>
          <w:szCs w:val="24"/>
          <w:lang w:val="pt-BR"/>
        </w:rPr>
        <w:t>os</w:t>
      </w:r>
      <w:r w:rsidRPr="00635FFF">
        <w:rPr>
          <w:rFonts w:ascii="Times New Roman" w:hAnsi="Times New Roman" w:cs="Times New Roman"/>
          <w:sz w:val="24"/>
          <w:szCs w:val="24"/>
          <w:lang w:val="pt-BR"/>
        </w:rPr>
        <w:t xml:space="preserve"> regime</w:t>
      </w:r>
      <w:r w:rsidR="001B63E5">
        <w:rPr>
          <w:rFonts w:ascii="Times New Roman" w:hAnsi="Times New Roman" w:cs="Times New Roman"/>
          <w:sz w:val="24"/>
          <w:szCs w:val="24"/>
          <w:lang w:val="pt-BR"/>
        </w:rPr>
        <w:t>s</w:t>
      </w:r>
      <w:r w:rsidRPr="00635FFF">
        <w:rPr>
          <w:rFonts w:ascii="Times New Roman" w:hAnsi="Times New Roman" w:cs="Times New Roman"/>
          <w:sz w:val="24"/>
          <w:szCs w:val="24"/>
          <w:lang w:val="pt-BR"/>
        </w:rPr>
        <w:t xml:space="preserve"> que não era</w:t>
      </w:r>
      <w:r w:rsidR="00607F79">
        <w:rPr>
          <w:rFonts w:ascii="Times New Roman" w:hAnsi="Times New Roman" w:cs="Times New Roman"/>
          <w:sz w:val="24"/>
          <w:szCs w:val="24"/>
          <w:lang w:val="pt-BR"/>
        </w:rPr>
        <w:t>m</w:t>
      </w:r>
      <w:r w:rsidRPr="00635FFF">
        <w:rPr>
          <w:rFonts w:ascii="Times New Roman" w:hAnsi="Times New Roman" w:cs="Times New Roman"/>
          <w:sz w:val="24"/>
          <w:szCs w:val="24"/>
          <w:lang w:val="pt-BR"/>
        </w:rPr>
        <w:t xml:space="preserve"> praticado</w:t>
      </w:r>
      <w:r w:rsidR="00607F79">
        <w:rPr>
          <w:rFonts w:ascii="Times New Roman" w:hAnsi="Times New Roman" w:cs="Times New Roman"/>
          <w:sz w:val="24"/>
          <w:szCs w:val="24"/>
          <w:lang w:val="pt-BR"/>
        </w:rPr>
        <w:t>s</w:t>
      </w:r>
      <w:r w:rsidRPr="00635FFF">
        <w:rPr>
          <w:rFonts w:ascii="Times New Roman" w:hAnsi="Times New Roman" w:cs="Times New Roman"/>
          <w:sz w:val="24"/>
          <w:szCs w:val="24"/>
          <w:lang w:val="pt-BR"/>
        </w:rPr>
        <w:t xml:space="preserve"> pelas autoridades monetárias de fato. Novas pesquisas (Reinhart e Rogoff, 2004; Levy-Yeyati e Sturzenegeer, 2000) criaram algoritmos para detectar e diferenciar os regimes </w:t>
      </w:r>
      <w:r w:rsidRPr="00635FFF">
        <w:rPr>
          <w:rFonts w:ascii="Times New Roman" w:hAnsi="Times New Roman" w:cs="Times New Roman"/>
          <w:i/>
          <w:sz w:val="24"/>
          <w:szCs w:val="24"/>
          <w:lang w:val="pt-BR"/>
        </w:rPr>
        <w:t>de facto</w:t>
      </w:r>
      <w:r w:rsidRPr="00635FFF">
        <w:rPr>
          <w:rFonts w:ascii="Times New Roman" w:hAnsi="Times New Roman" w:cs="Times New Roman"/>
          <w:sz w:val="24"/>
          <w:szCs w:val="24"/>
          <w:lang w:val="pt-BR"/>
        </w:rPr>
        <w:t xml:space="preserve"> dos </w:t>
      </w:r>
      <w:r w:rsidRPr="00635FFF">
        <w:rPr>
          <w:rFonts w:ascii="Times New Roman" w:hAnsi="Times New Roman" w:cs="Times New Roman"/>
          <w:i/>
          <w:sz w:val="24"/>
          <w:szCs w:val="24"/>
          <w:lang w:val="pt-BR"/>
        </w:rPr>
        <w:t>de jur</w:t>
      </w:r>
      <w:r w:rsidR="001B63E5">
        <w:rPr>
          <w:rFonts w:ascii="Times New Roman" w:hAnsi="Times New Roman" w:cs="Times New Roman"/>
          <w:i/>
          <w:sz w:val="24"/>
          <w:szCs w:val="24"/>
          <w:lang w:val="pt-BR"/>
        </w:rPr>
        <w:t>e</w:t>
      </w:r>
      <w:r w:rsidR="00D125E5">
        <w:rPr>
          <w:rFonts w:ascii="Times New Roman" w:hAnsi="Times New Roman" w:cs="Times New Roman"/>
          <w:sz w:val="24"/>
          <w:szCs w:val="24"/>
          <w:lang w:val="pt-BR"/>
        </w:rPr>
        <w:t xml:space="preserve">; os resultados, segundo os autores, </w:t>
      </w:r>
      <w:r w:rsidR="001B63E5">
        <w:rPr>
          <w:rFonts w:ascii="Times New Roman" w:hAnsi="Times New Roman" w:cs="Times New Roman"/>
          <w:sz w:val="24"/>
          <w:szCs w:val="24"/>
          <w:lang w:val="pt-BR"/>
        </w:rPr>
        <w:t>contradizem muito do que oficialmente é diagnosticado a esse respeito.</w:t>
      </w:r>
    </w:p>
    <w:p w:rsidR="00E05C4E" w:rsidRDefault="00F96C99" w:rsidP="00D95DC0">
      <w:pPr>
        <w:tabs>
          <w:tab w:val="left" w:pos="720"/>
          <w:tab w:val="left" w:pos="9270"/>
        </w:tabs>
        <w:spacing w:after="0" w:line="240" w:lineRule="auto"/>
        <w:ind w:firstLine="720"/>
        <w:jc w:val="both"/>
        <w:rPr>
          <w:rFonts w:ascii="Times New Roman" w:hAnsi="Times New Roman" w:cs="Times New Roman"/>
          <w:sz w:val="24"/>
          <w:szCs w:val="24"/>
          <w:lang w:val="pt-BR"/>
        </w:rPr>
      </w:pPr>
      <w:r w:rsidRPr="00635FFF">
        <w:rPr>
          <w:rFonts w:ascii="Times New Roman" w:hAnsi="Times New Roman" w:cs="Times New Roman"/>
          <w:sz w:val="24"/>
          <w:szCs w:val="24"/>
          <w:lang w:val="pt-BR"/>
        </w:rPr>
        <w:t>No que se refere a um estudo internacional de TCR, não é, em geral</w:t>
      </w:r>
      <w:r w:rsidR="001B63E5">
        <w:rPr>
          <w:rFonts w:ascii="Times New Roman" w:hAnsi="Times New Roman" w:cs="Times New Roman"/>
          <w:sz w:val="24"/>
          <w:szCs w:val="24"/>
          <w:lang w:val="pt-BR"/>
        </w:rPr>
        <w:t>, a TCR em nível o que interessa</w:t>
      </w:r>
      <w:r w:rsidRPr="00635FFF">
        <w:rPr>
          <w:rFonts w:ascii="Times New Roman" w:hAnsi="Times New Roman" w:cs="Times New Roman"/>
          <w:sz w:val="24"/>
          <w:szCs w:val="24"/>
          <w:lang w:val="pt-BR"/>
        </w:rPr>
        <w:t xml:space="preserve"> para o </w:t>
      </w:r>
      <w:r w:rsidRPr="00635FFF">
        <w:rPr>
          <w:rFonts w:ascii="Times New Roman" w:hAnsi="Times New Roman" w:cs="Times New Roman"/>
          <w:i/>
          <w:sz w:val="24"/>
          <w:szCs w:val="24"/>
          <w:lang w:val="pt-BR"/>
        </w:rPr>
        <w:t>policy-maker</w:t>
      </w:r>
      <w:r w:rsidRPr="00635FFF">
        <w:rPr>
          <w:rFonts w:ascii="Times New Roman" w:hAnsi="Times New Roman" w:cs="Times New Roman"/>
          <w:sz w:val="24"/>
          <w:szCs w:val="24"/>
          <w:lang w:val="pt-BR"/>
        </w:rPr>
        <w:t xml:space="preserve">; o seu comportamento de desequilíbrio, por outro lado, é muito importante, porque pode ser </w:t>
      </w:r>
      <w:r w:rsidR="00D125E5">
        <w:rPr>
          <w:rFonts w:ascii="Times New Roman" w:hAnsi="Times New Roman" w:cs="Times New Roman"/>
          <w:sz w:val="24"/>
          <w:szCs w:val="24"/>
          <w:lang w:val="pt-BR"/>
        </w:rPr>
        <w:t>fruto de prá</w:t>
      </w:r>
      <w:r w:rsidRPr="00635FFF">
        <w:rPr>
          <w:rFonts w:ascii="Times New Roman" w:hAnsi="Times New Roman" w:cs="Times New Roman"/>
          <w:sz w:val="24"/>
          <w:szCs w:val="24"/>
          <w:lang w:val="pt-BR"/>
        </w:rPr>
        <w:t>ticas políticas inadequadas ou de desequilíbrios estruturais persistentes</w:t>
      </w:r>
      <w:r w:rsidR="001B63E5">
        <w:rPr>
          <w:rFonts w:ascii="Times New Roman" w:hAnsi="Times New Roman" w:cs="Times New Roman"/>
          <w:sz w:val="24"/>
          <w:szCs w:val="24"/>
          <w:lang w:val="pt-BR"/>
        </w:rPr>
        <w:t>, que podem pedir uma</w:t>
      </w:r>
      <w:r w:rsidRPr="00635FFF">
        <w:rPr>
          <w:rFonts w:ascii="Times New Roman" w:hAnsi="Times New Roman" w:cs="Times New Roman"/>
          <w:sz w:val="24"/>
          <w:szCs w:val="24"/>
          <w:lang w:val="pt-BR"/>
        </w:rPr>
        <w:t xml:space="preserve"> a ação corretiva. Por isso, nesse trabalho</w:t>
      </w:r>
      <w:r w:rsidR="001B63E5">
        <w:rPr>
          <w:rFonts w:ascii="Times New Roman" w:hAnsi="Times New Roman" w:cs="Times New Roman"/>
          <w:sz w:val="24"/>
          <w:szCs w:val="24"/>
          <w:lang w:val="pt-BR"/>
        </w:rPr>
        <w:t>,</w:t>
      </w:r>
      <w:r w:rsidRPr="00635FFF">
        <w:rPr>
          <w:rFonts w:ascii="Times New Roman" w:hAnsi="Times New Roman" w:cs="Times New Roman"/>
          <w:sz w:val="24"/>
          <w:szCs w:val="24"/>
          <w:lang w:val="pt-BR"/>
        </w:rPr>
        <w:t xml:space="preserve"> construímos, a partir </w:t>
      </w:r>
      <w:r w:rsidR="00747433">
        <w:rPr>
          <w:rFonts w:ascii="Times New Roman" w:hAnsi="Times New Roman" w:cs="Times New Roman"/>
          <w:sz w:val="24"/>
          <w:szCs w:val="24"/>
          <w:lang w:val="pt-BR"/>
        </w:rPr>
        <w:t>de um painel cointegrado para 102</w:t>
      </w:r>
      <w:r w:rsidRPr="00635FFF">
        <w:rPr>
          <w:rFonts w:ascii="Times New Roman" w:hAnsi="Times New Roman" w:cs="Times New Roman"/>
          <w:sz w:val="24"/>
          <w:szCs w:val="24"/>
          <w:lang w:val="pt-BR"/>
        </w:rPr>
        <w:t xml:space="preserve"> países, um í</w:t>
      </w:r>
      <w:r w:rsidR="00531C74">
        <w:rPr>
          <w:rFonts w:ascii="Times New Roman" w:hAnsi="Times New Roman" w:cs="Times New Roman"/>
          <w:sz w:val="24"/>
          <w:szCs w:val="24"/>
          <w:lang w:val="pt-BR"/>
        </w:rPr>
        <w:t xml:space="preserve">ndice de desalinhamento da TCR. </w:t>
      </w:r>
      <w:r w:rsidRPr="00635FFF">
        <w:rPr>
          <w:rFonts w:ascii="Times New Roman" w:hAnsi="Times New Roman" w:cs="Times New Roman"/>
          <w:sz w:val="24"/>
          <w:szCs w:val="24"/>
          <w:lang w:val="pt-BR"/>
        </w:rPr>
        <w:t xml:space="preserve">Com </w:t>
      </w:r>
      <w:r w:rsidR="001B63E5">
        <w:rPr>
          <w:rFonts w:ascii="Times New Roman" w:hAnsi="Times New Roman" w:cs="Times New Roman"/>
          <w:sz w:val="24"/>
          <w:szCs w:val="24"/>
          <w:lang w:val="pt-BR"/>
        </w:rPr>
        <w:t xml:space="preserve">o índice de desalinhamento, podemos questionar se o regime cambial, entre outros determinantes do comportamento do câmbio, é importante para explicar desalinhamento, além de tornar possível distinguir quais são os papéis dos diferentes regimes cambias na potencial determinação da TCR. </w:t>
      </w:r>
      <w:r w:rsidR="00531C74">
        <w:rPr>
          <w:rFonts w:ascii="Times New Roman" w:hAnsi="Times New Roman" w:cs="Times New Roman"/>
          <w:sz w:val="24"/>
          <w:szCs w:val="24"/>
          <w:lang w:val="pt-BR"/>
        </w:rPr>
        <w:t>S</w:t>
      </w:r>
      <w:r w:rsidR="00DB7227">
        <w:rPr>
          <w:rFonts w:ascii="Times New Roman" w:hAnsi="Times New Roman" w:cs="Times New Roman"/>
          <w:sz w:val="24"/>
          <w:szCs w:val="24"/>
          <w:lang w:val="pt-BR"/>
        </w:rPr>
        <w:t>ão utilizados</w:t>
      </w:r>
      <w:r w:rsidRPr="00635FFF">
        <w:rPr>
          <w:rFonts w:ascii="Times New Roman" w:hAnsi="Times New Roman" w:cs="Times New Roman"/>
          <w:sz w:val="24"/>
          <w:szCs w:val="24"/>
          <w:lang w:val="pt-BR"/>
        </w:rPr>
        <w:t xml:space="preserve"> dados de 1970 a 200</w:t>
      </w:r>
      <w:r w:rsidR="00150C30">
        <w:rPr>
          <w:rFonts w:ascii="Times New Roman" w:hAnsi="Times New Roman" w:cs="Times New Roman"/>
          <w:sz w:val="24"/>
          <w:szCs w:val="24"/>
          <w:lang w:val="pt-BR"/>
        </w:rPr>
        <w:t>4</w:t>
      </w:r>
      <w:r w:rsidR="00DB7227">
        <w:rPr>
          <w:rFonts w:ascii="Times New Roman" w:hAnsi="Times New Roman" w:cs="Times New Roman"/>
          <w:sz w:val="24"/>
          <w:szCs w:val="24"/>
          <w:lang w:val="pt-BR"/>
        </w:rPr>
        <w:t>, de diversas bases históricas macroeconômicas</w:t>
      </w:r>
      <w:r w:rsidR="00531C74">
        <w:rPr>
          <w:rFonts w:ascii="Times New Roman" w:hAnsi="Times New Roman" w:cs="Times New Roman"/>
          <w:sz w:val="24"/>
          <w:szCs w:val="24"/>
          <w:lang w:val="pt-BR"/>
        </w:rPr>
        <w:t xml:space="preserve"> detalhadas a seguir</w:t>
      </w:r>
      <w:r w:rsidR="00150C30">
        <w:rPr>
          <w:rFonts w:ascii="Times New Roman" w:hAnsi="Times New Roman" w:cs="Times New Roman"/>
          <w:sz w:val="24"/>
          <w:szCs w:val="24"/>
          <w:lang w:val="pt-BR"/>
        </w:rPr>
        <w:t>.</w:t>
      </w:r>
      <w:r w:rsidR="001B63E5">
        <w:rPr>
          <w:rFonts w:ascii="Times New Roman" w:hAnsi="Times New Roman" w:cs="Times New Roman"/>
          <w:sz w:val="24"/>
          <w:szCs w:val="24"/>
          <w:lang w:val="pt-BR"/>
        </w:rPr>
        <w:t xml:space="preserve"> Este trabalho, além desta introdução, </w:t>
      </w:r>
      <w:r w:rsidR="00531C74">
        <w:rPr>
          <w:rFonts w:ascii="Times New Roman" w:hAnsi="Times New Roman" w:cs="Times New Roman"/>
          <w:sz w:val="24"/>
          <w:szCs w:val="24"/>
          <w:lang w:val="pt-BR"/>
        </w:rPr>
        <w:t>está estruturado da seguinte forma:</w:t>
      </w:r>
      <w:r w:rsidR="001B63E5">
        <w:rPr>
          <w:rFonts w:ascii="Times New Roman" w:hAnsi="Times New Roman" w:cs="Times New Roman"/>
          <w:sz w:val="24"/>
          <w:szCs w:val="24"/>
          <w:lang w:val="pt-BR"/>
        </w:rPr>
        <w:t>na seção seguinte, é feito uma revisão da literatura sobre desalinhamento. Na S</w:t>
      </w:r>
      <w:r w:rsidR="000E3EB0">
        <w:rPr>
          <w:rFonts w:ascii="Times New Roman" w:hAnsi="Times New Roman" w:cs="Times New Roman"/>
          <w:sz w:val="24"/>
          <w:szCs w:val="24"/>
          <w:lang w:val="pt-BR"/>
        </w:rPr>
        <w:t>eção 3, as bases de dados utilizadas são descritas em detalhes.</w:t>
      </w:r>
    </w:p>
    <w:p w:rsidR="00150C30" w:rsidRPr="00635FFF" w:rsidRDefault="00150C30" w:rsidP="00D95DC0">
      <w:pPr>
        <w:tabs>
          <w:tab w:val="left" w:pos="720"/>
          <w:tab w:val="left" w:pos="9270"/>
        </w:tabs>
        <w:spacing w:after="0" w:line="240" w:lineRule="auto"/>
        <w:ind w:firstLine="720"/>
        <w:jc w:val="both"/>
        <w:rPr>
          <w:rFonts w:ascii="Times New Roman" w:hAnsi="Times New Roman" w:cs="Times New Roman"/>
          <w:sz w:val="24"/>
          <w:szCs w:val="24"/>
          <w:lang w:val="pt-BR"/>
        </w:rPr>
      </w:pPr>
    </w:p>
    <w:p w:rsidR="001B63E5" w:rsidRDefault="001B63E5" w:rsidP="00D95DC0">
      <w:pPr>
        <w:tabs>
          <w:tab w:val="left" w:pos="720"/>
          <w:tab w:val="left" w:pos="9270"/>
        </w:tabs>
        <w:spacing w:after="0" w:line="240" w:lineRule="auto"/>
        <w:ind w:firstLine="720"/>
        <w:rPr>
          <w:rFonts w:ascii="Times New Roman" w:hAnsi="Times New Roman" w:cs="Times New Roman"/>
          <w:b/>
          <w:sz w:val="24"/>
          <w:szCs w:val="24"/>
          <w:lang w:val="pt-BR"/>
        </w:rPr>
      </w:pPr>
    </w:p>
    <w:p w:rsidR="001B63E5" w:rsidRDefault="001B63E5" w:rsidP="00D95DC0">
      <w:pPr>
        <w:tabs>
          <w:tab w:val="left" w:pos="720"/>
          <w:tab w:val="left" w:pos="9270"/>
        </w:tabs>
        <w:spacing w:after="0" w:line="240" w:lineRule="auto"/>
        <w:ind w:firstLine="720"/>
        <w:rPr>
          <w:rFonts w:ascii="Times New Roman" w:hAnsi="Times New Roman" w:cs="Times New Roman"/>
          <w:b/>
          <w:sz w:val="24"/>
          <w:szCs w:val="24"/>
          <w:lang w:val="pt-BR"/>
        </w:rPr>
      </w:pPr>
    </w:p>
    <w:p w:rsidR="00E05C4E" w:rsidRDefault="00635FFF" w:rsidP="00D95DC0">
      <w:pPr>
        <w:tabs>
          <w:tab w:val="left" w:pos="720"/>
          <w:tab w:val="left" w:pos="9270"/>
        </w:tabs>
        <w:spacing w:after="0" w:line="240" w:lineRule="auto"/>
        <w:ind w:firstLine="720"/>
        <w:rPr>
          <w:rFonts w:ascii="Times New Roman" w:hAnsi="Times New Roman" w:cs="Times New Roman"/>
          <w:b/>
          <w:sz w:val="24"/>
          <w:szCs w:val="24"/>
          <w:lang w:val="pt-BR"/>
        </w:rPr>
      </w:pPr>
      <w:r>
        <w:rPr>
          <w:rFonts w:ascii="Times New Roman" w:hAnsi="Times New Roman" w:cs="Times New Roman"/>
          <w:b/>
          <w:sz w:val="24"/>
          <w:szCs w:val="24"/>
          <w:lang w:val="pt-BR"/>
        </w:rPr>
        <w:t xml:space="preserve">2. </w:t>
      </w:r>
      <w:r w:rsidR="001C023E">
        <w:rPr>
          <w:rFonts w:ascii="Times New Roman" w:hAnsi="Times New Roman" w:cs="Times New Roman"/>
          <w:b/>
          <w:sz w:val="24"/>
          <w:szCs w:val="24"/>
          <w:lang w:val="pt-BR"/>
        </w:rPr>
        <w:t xml:space="preserve">Referencial Teórico: </w:t>
      </w:r>
      <w:r w:rsidR="00531C74">
        <w:rPr>
          <w:rFonts w:ascii="Times New Roman" w:hAnsi="Times New Roman" w:cs="Times New Roman"/>
          <w:b/>
          <w:sz w:val="24"/>
          <w:szCs w:val="24"/>
          <w:lang w:val="pt-BR"/>
        </w:rPr>
        <w:t>Desalinhamentos, o que é, e como estimá-lo?</w:t>
      </w:r>
    </w:p>
    <w:p w:rsidR="001B63E5" w:rsidRDefault="001B63E5" w:rsidP="00D95DC0">
      <w:pPr>
        <w:tabs>
          <w:tab w:val="left" w:pos="720"/>
          <w:tab w:val="left" w:pos="9270"/>
        </w:tabs>
        <w:spacing w:after="0" w:line="240" w:lineRule="auto"/>
        <w:ind w:firstLine="720"/>
        <w:rPr>
          <w:rFonts w:ascii="Times New Roman" w:hAnsi="Times New Roman" w:cs="Times New Roman"/>
          <w:b/>
          <w:sz w:val="24"/>
          <w:szCs w:val="24"/>
          <w:lang w:val="pt-BR"/>
        </w:rPr>
      </w:pPr>
    </w:p>
    <w:p w:rsidR="00531C74" w:rsidRDefault="00531C74" w:rsidP="00D95DC0">
      <w:pPr>
        <w:tabs>
          <w:tab w:val="left" w:pos="720"/>
        </w:tabs>
        <w:spacing w:after="0" w:line="240" w:lineRule="auto"/>
        <w:ind w:firstLine="720"/>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Nesta seção detalhamos o que é desalinhamento a partir da literatura especializada e depois tratamos dos modelos teóricos que tratam dos problemas técnicos de estimações empíricas.</w:t>
      </w:r>
    </w:p>
    <w:p w:rsidR="00635FFF" w:rsidRDefault="00725358" w:rsidP="00D95DC0">
      <w:pPr>
        <w:tabs>
          <w:tab w:val="left" w:pos="720"/>
        </w:tabs>
        <w:spacing w:after="0" w:line="240" w:lineRule="auto"/>
        <w:ind w:firstLine="720"/>
        <w:jc w:val="both"/>
        <w:rPr>
          <w:rFonts w:ascii="Times New Roman" w:hAnsi="Times New Roman" w:cs="Times New Roman"/>
          <w:sz w:val="24"/>
          <w:szCs w:val="24"/>
          <w:lang w:val="pt-BR"/>
        </w:rPr>
      </w:pPr>
      <w:r>
        <w:rPr>
          <w:rFonts w:ascii="Times New Roman" w:eastAsia="Calibri" w:hAnsi="Times New Roman" w:cs="Times New Roman"/>
          <w:i/>
          <w:sz w:val="24"/>
          <w:szCs w:val="24"/>
          <w:lang w:val="pt-BR"/>
        </w:rPr>
        <w:lastRenderedPageBreak/>
        <w:t xml:space="preserve">2.1 Desalinhamentos da TCR. </w:t>
      </w:r>
      <w:r w:rsidR="00635FFF" w:rsidRPr="00635FFF">
        <w:rPr>
          <w:rFonts w:ascii="Times New Roman" w:eastAsia="Calibri" w:hAnsi="Times New Roman" w:cs="Times New Roman"/>
          <w:sz w:val="24"/>
          <w:szCs w:val="24"/>
          <w:lang w:val="pt-BR"/>
        </w:rPr>
        <w:t xml:space="preserve">A </w:t>
      </w:r>
      <w:r w:rsidR="001B63E5">
        <w:rPr>
          <w:rFonts w:ascii="Times New Roman" w:eastAsia="Calibri" w:hAnsi="Times New Roman" w:cs="Times New Roman"/>
          <w:sz w:val="24"/>
          <w:szCs w:val="24"/>
          <w:lang w:val="pt-BR"/>
        </w:rPr>
        <w:t>TCR</w:t>
      </w:r>
      <w:r w:rsidR="00635FFF" w:rsidRPr="00635FFF">
        <w:rPr>
          <w:rFonts w:ascii="Times New Roman" w:eastAsia="Calibri" w:hAnsi="Times New Roman" w:cs="Times New Roman"/>
          <w:sz w:val="24"/>
          <w:szCs w:val="24"/>
          <w:lang w:val="pt-BR"/>
        </w:rPr>
        <w:t xml:space="preserve"> é um preço macroeconômico chave, guiando a alocação da produção e gastos de uma economia entre dois tipos de bens, os comercializáveis e não-comercializáveis. Devido a esse papel importante da TCR, as economias emergentes em particular são muitas vezes encorajadas a procederem em suas políticas de forma a conduzir esse preço relativo à sua posição “correta”. Essa posição “correta” é muitas vezes indicada como aquela que não está muito distante de seu valor de equilíbrio. Quando distante de seu valor de equilíbrio, diz-se que o país tem desalinhamento cambial. Como aponta Montiel (2003), há duas razões principais para se evitar o desalinhamento: com a TCR desalinhada, ela não provê o sinal apropriado para guiar a alocação dos recursos entre bens domésticos e estrangeiros. Além disso, quando a TCR é vista como fortemente desalinhada, cria-se uma expectativa de que ela se ajustará em direção ao seu valor de equilíbrio no futuro. Na medida em que este ajuste é esperado se fazer através de movimentos na taxa de câmbio nominal, os agentes domésticos são desencorajados em deterem ativos denominados na moeda doméstica. Esse fenômeno é uma fonte potencial de reversão de fluxos de capitais e de crises cambiais. Assim, há importantes custos micro e macroeconômicos que podem advir do desalinhamento da TCR.</w:t>
      </w:r>
    </w:p>
    <w:p w:rsidR="00635FFF" w:rsidRDefault="00150C30" w:rsidP="00D95DC0">
      <w:pPr>
        <w:tabs>
          <w:tab w:val="left" w:pos="720"/>
        </w:tabs>
        <w:spacing w:after="0" w:line="240" w:lineRule="auto"/>
        <w:ind w:firstLine="720"/>
        <w:jc w:val="both"/>
        <w:rPr>
          <w:rFonts w:ascii="Times New Roman" w:eastAsia="Calibri" w:hAnsi="Times New Roman" w:cs="Times New Roman"/>
          <w:sz w:val="24"/>
          <w:szCs w:val="24"/>
          <w:lang w:val="pt-BR"/>
        </w:rPr>
      </w:pPr>
      <w:r w:rsidRPr="00150C30">
        <w:rPr>
          <w:rFonts w:ascii="Times New Roman" w:eastAsia="Calibri" w:hAnsi="Times New Roman" w:cs="Times New Roman"/>
          <w:sz w:val="24"/>
          <w:szCs w:val="24"/>
          <w:lang w:val="pt-BR"/>
        </w:rPr>
        <w:t xml:space="preserve">Uma vez que a taxa de câmbio real pode ser observada, a detecção e mensuração do desalinhamento cambial dependem de uma taxa de câmbio de referência, ou seja, da habilidade em definir e estimar uma taxa de câmbio real de </w:t>
      </w:r>
      <w:r w:rsidRPr="00150C30">
        <w:rPr>
          <w:rFonts w:ascii="Times New Roman" w:eastAsia="Calibri" w:hAnsi="Times New Roman" w:cs="Times New Roman"/>
          <w:i/>
          <w:sz w:val="24"/>
          <w:szCs w:val="24"/>
          <w:lang w:val="pt-BR"/>
        </w:rPr>
        <w:t>equilíbrio</w:t>
      </w:r>
      <w:r w:rsidRPr="00150C30">
        <w:rPr>
          <w:rStyle w:val="Refdenotaderodap"/>
          <w:rFonts w:ascii="Times New Roman" w:hAnsi="Times New Roman" w:cs="Times New Roman"/>
          <w:i/>
          <w:sz w:val="24"/>
          <w:szCs w:val="24"/>
          <w:lang w:val="pt-BR"/>
        </w:rPr>
        <w:footnoteReference w:id="1"/>
      </w:r>
      <w:r w:rsidRPr="00150C30">
        <w:rPr>
          <w:rFonts w:ascii="Times New Roman" w:eastAsia="Calibri" w:hAnsi="Times New Roman" w:cs="Times New Roman"/>
          <w:sz w:val="24"/>
          <w:szCs w:val="24"/>
          <w:lang w:val="pt-BR"/>
        </w:rPr>
        <w:t xml:space="preserve">. </w:t>
      </w:r>
    </w:p>
    <w:p w:rsidR="00472344" w:rsidRPr="00472344" w:rsidRDefault="00472344" w:rsidP="00D95DC0">
      <w:pPr>
        <w:tabs>
          <w:tab w:val="left" w:pos="720"/>
        </w:tabs>
        <w:autoSpaceDE w:val="0"/>
        <w:autoSpaceDN w:val="0"/>
        <w:adjustRightInd w:val="0"/>
        <w:spacing w:after="0" w:line="24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Como exercício de compreensão, é útil definir a taxa de câmbio real</w:t>
      </w:r>
      <w:r w:rsidRPr="00472344">
        <w:rPr>
          <w:rFonts w:ascii="Times New Roman" w:hAnsi="Times New Roman" w:cs="Times New Roman"/>
          <w:sz w:val="24"/>
          <w:szCs w:val="24"/>
          <w:lang w:val="pt-BR"/>
        </w:rPr>
        <w:t xml:space="preserve"> como:</w:t>
      </w:r>
    </w:p>
    <w:p w:rsidR="00472344" w:rsidRPr="00472344" w:rsidRDefault="00472344" w:rsidP="00D95DC0">
      <w:pPr>
        <w:tabs>
          <w:tab w:val="left" w:pos="720"/>
        </w:tabs>
        <w:autoSpaceDE w:val="0"/>
        <w:autoSpaceDN w:val="0"/>
        <w:adjustRightInd w:val="0"/>
        <w:spacing w:after="0" w:line="240" w:lineRule="auto"/>
        <w:ind w:firstLine="720"/>
        <w:jc w:val="both"/>
        <w:rPr>
          <w:rFonts w:ascii="Times New Roman" w:hAnsi="Times New Roman" w:cs="Times New Roman"/>
          <w:sz w:val="24"/>
          <w:szCs w:val="24"/>
          <w:lang w:val="pt-BR"/>
        </w:rPr>
      </w:pPr>
    </w:p>
    <w:p w:rsidR="00472344" w:rsidRDefault="009672F1" w:rsidP="00D95DC0">
      <w:pPr>
        <w:tabs>
          <w:tab w:val="left" w:pos="720"/>
        </w:tabs>
        <w:autoSpaceDE w:val="0"/>
        <w:autoSpaceDN w:val="0"/>
        <w:adjustRightInd w:val="0"/>
        <w:spacing w:after="0" w:line="240" w:lineRule="auto"/>
        <w:ind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RER=</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oMath>
      </m:oMathPara>
    </w:p>
    <w:p w:rsidR="001C023E" w:rsidRPr="00472344" w:rsidRDefault="001C023E" w:rsidP="00D95DC0">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p>
    <w:p w:rsidR="003000B1" w:rsidRDefault="00472344" w:rsidP="00D95DC0">
      <w:pPr>
        <w:tabs>
          <w:tab w:val="left" w:pos="720"/>
        </w:tabs>
        <w:autoSpaceDE w:val="0"/>
        <w:autoSpaceDN w:val="0"/>
        <w:adjustRightInd w:val="0"/>
        <w:spacing w:after="0" w:line="240" w:lineRule="auto"/>
        <w:ind w:firstLine="720"/>
        <w:jc w:val="both"/>
        <w:rPr>
          <w:rFonts w:ascii="Times New Roman" w:hAnsi="Times New Roman" w:cs="Times New Roman"/>
          <w:sz w:val="24"/>
          <w:szCs w:val="24"/>
          <w:lang w:val="pt-BR"/>
        </w:rPr>
      </w:pPr>
      <w:r w:rsidRPr="00472344">
        <w:rPr>
          <w:rFonts w:ascii="Times New Roman" w:hAnsi="Times New Roman" w:cs="Times New Roman"/>
          <w:sz w:val="24"/>
          <w:szCs w:val="24"/>
          <w:lang w:val="pt-BR"/>
        </w:rPr>
        <w:t xml:space="preserve">Onde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oMath>
      <w:r w:rsidRPr="00472344">
        <w:rPr>
          <w:rFonts w:ascii="Times New Roman" w:hAnsi="Times New Roman" w:cs="Times New Roman"/>
          <w:sz w:val="24"/>
          <w:szCs w:val="24"/>
          <w:lang w:val="pt-BR"/>
        </w:rPr>
        <w:t xml:space="preserve"> 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oMath>
      <w:r w:rsidRPr="00472344">
        <w:rPr>
          <w:rFonts w:ascii="Times New Roman" w:hAnsi="Times New Roman" w:cs="Times New Roman"/>
          <w:sz w:val="24"/>
          <w:szCs w:val="24"/>
          <w:lang w:val="pt-BR"/>
        </w:rPr>
        <w:t xml:space="preserve"> são respectivamente os preços denominamos em moeda doméstica</w:t>
      </w:r>
      <w:r>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 xml:space="preserve">dos bens comercializáveis e não-comercializáveis e </w:t>
      </w:r>
      <w:r w:rsidRPr="00AC4CCD">
        <w:rPr>
          <w:rFonts w:ascii="Times New Roman" w:hAnsi="Times New Roman" w:cs="Times New Roman"/>
          <w:i/>
          <w:sz w:val="24"/>
          <w:szCs w:val="24"/>
          <w:lang w:val="pt-BR"/>
        </w:rPr>
        <w:t>s</w:t>
      </w:r>
      <w:r w:rsidRPr="00472344">
        <w:rPr>
          <w:rFonts w:ascii="Times New Roman" w:hAnsi="Times New Roman" w:cs="Times New Roman"/>
          <w:sz w:val="24"/>
          <w:szCs w:val="24"/>
          <w:lang w:val="pt-BR"/>
        </w:rPr>
        <w:t xml:space="preserve"> é a taxa nominal de câmbio. Sob</w:t>
      </w:r>
      <w:r>
        <w:rPr>
          <w:rFonts w:ascii="Times New Roman" w:hAnsi="Times New Roman" w:cs="Times New Roman"/>
          <w:sz w:val="24"/>
          <w:szCs w:val="24"/>
          <w:lang w:val="pt-BR"/>
        </w:rPr>
        <w:t xml:space="preserve"> um regime de câmbio fl</w:t>
      </w:r>
      <w:r w:rsidRPr="00472344">
        <w:rPr>
          <w:rFonts w:ascii="Times New Roman" w:hAnsi="Times New Roman" w:cs="Times New Roman"/>
          <w:sz w:val="24"/>
          <w:szCs w:val="24"/>
          <w:lang w:val="pt-BR"/>
        </w:rPr>
        <w:t xml:space="preserve">utuante, a taxa nominal de câmbio </w:t>
      </w:r>
      <w:r w:rsidRPr="00AC4CCD">
        <w:rPr>
          <w:rFonts w:ascii="Times New Roman" w:hAnsi="Times New Roman" w:cs="Times New Roman"/>
          <w:i/>
          <w:sz w:val="24"/>
          <w:szCs w:val="24"/>
          <w:lang w:val="pt-BR"/>
        </w:rPr>
        <w:t>s</w:t>
      </w:r>
      <w:r w:rsidRPr="00472344">
        <w:rPr>
          <w:rFonts w:ascii="Times New Roman" w:hAnsi="Times New Roman" w:cs="Times New Roman"/>
          <w:sz w:val="24"/>
          <w:szCs w:val="24"/>
          <w:lang w:val="pt-BR"/>
        </w:rPr>
        <w:t xml:space="preserve"> é endógena. Mesmo</w:t>
      </w:r>
      <w:r>
        <w:rPr>
          <w:rFonts w:ascii="Times New Roman" w:hAnsi="Times New Roman" w:cs="Times New Roman"/>
          <w:sz w:val="24"/>
          <w:szCs w:val="24"/>
          <w:lang w:val="pt-BR"/>
        </w:rPr>
        <w:t xml:space="preserve"> sob regimes de câmbio fi</w:t>
      </w:r>
      <w:r w:rsidRPr="00472344">
        <w:rPr>
          <w:rFonts w:ascii="Times New Roman" w:hAnsi="Times New Roman" w:cs="Times New Roman"/>
          <w:sz w:val="24"/>
          <w:szCs w:val="24"/>
          <w:lang w:val="pt-BR"/>
        </w:rPr>
        <w:t xml:space="preserve">xo,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oMath>
      <w:r w:rsidRPr="00472344">
        <w:rPr>
          <w:rFonts w:ascii="Times New Roman" w:hAnsi="Times New Roman" w:cs="Times New Roman"/>
          <w:sz w:val="24"/>
          <w:szCs w:val="24"/>
          <w:lang w:val="pt-BR"/>
        </w:rPr>
        <w:t xml:space="preserve"> é uma variável endógena. Portanto, em ambos os</w:t>
      </w:r>
      <w:r>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casos, a TCR é endógena e deve ser determinada como o resultado do equilíbrio</w:t>
      </w:r>
      <w:r>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macroeconômico da economia. Essa análise leva alguns economistas a questionarem</w:t>
      </w:r>
      <w:r>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 xml:space="preserve">a distinção entre a TCR observada e seu valor de </w:t>
      </w:r>
      <w:r>
        <w:rPr>
          <w:rFonts w:ascii="Times New Roman" w:hAnsi="Times New Roman" w:cs="Times New Roman"/>
          <w:sz w:val="24"/>
          <w:szCs w:val="24"/>
          <w:lang w:val="pt-BR"/>
        </w:rPr>
        <w:t>equilíbrio nocional. É questionada a própria defini</w:t>
      </w:r>
      <w:r w:rsidRPr="00472344">
        <w:rPr>
          <w:rFonts w:ascii="Times New Roman" w:hAnsi="Times New Roman" w:cs="Times New Roman"/>
          <w:sz w:val="24"/>
          <w:szCs w:val="24"/>
          <w:lang w:val="pt-BR"/>
        </w:rPr>
        <w:t>ção e mensuração de uma TCR de equilíbrio. Montiel (2003),</w:t>
      </w:r>
      <w:r>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entretanto, acredita que a análise é equivocada: a distinção entre a TCR observada</w:t>
      </w:r>
      <w:r>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e seu valor de equilíbrio não é entre equilíbrios e desequilíbrios, mas entre diferentes</w:t>
      </w:r>
      <w:r>
        <w:rPr>
          <w:rFonts w:ascii="Times New Roman" w:hAnsi="Times New Roman" w:cs="Times New Roman"/>
          <w:sz w:val="24"/>
          <w:szCs w:val="24"/>
          <w:lang w:val="pt-BR"/>
        </w:rPr>
        <w:t xml:space="preserve"> tipos de equilíbrio </w:t>
      </w:r>
      <w:r w:rsidRPr="00472344">
        <w:rPr>
          <w:rFonts w:ascii="Times New Roman" w:hAnsi="Times New Roman" w:cs="Times New Roman"/>
          <w:sz w:val="24"/>
          <w:szCs w:val="24"/>
          <w:lang w:val="pt-BR"/>
        </w:rPr>
        <w:t>isto é, entre equilíbrios condicionados em valores diferentes de</w:t>
      </w:r>
      <w:r>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variáveis macroeconômicas. O equilíbrio de referênc</w:t>
      </w:r>
      <w:r>
        <w:rPr>
          <w:rFonts w:ascii="Times New Roman" w:hAnsi="Times New Roman" w:cs="Times New Roman"/>
          <w:sz w:val="24"/>
          <w:szCs w:val="24"/>
          <w:lang w:val="pt-BR"/>
        </w:rPr>
        <w:t>ia de longo prazo, portanto, necessita de uma defi</w:t>
      </w:r>
      <w:r w:rsidRPr="00472344">
        <w:rPr>
          <w:rFonts w:ascii="Times New Roman" w:hAnsi="Times New Roman" w:cs="Times New Roman"/>
          <w:sz w:val="24"/>
          <w:szCs w:val="24"/>
          <w:lang w:val="pt-BR"/>
        </w:rPr>
        <w:t>nição adequada para que possa servir de referência ao cálculo</w:t>
      </w:r>
      <w:r>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de um potenci</w:t>
      </w:r>
      <w:r w:rsidR="005D361F">
        <w:rPr>
          <w:rFonts w:ascii="Times New Roman" w:hAnsi="Times New Roman" w:cs="Times New Roman"/>
          <w:sz w:val="24"/>
          <w:szCs w:val="24"/>
          <w:lang w:val="pt-BR"/>
        </w:rPr>
        <w:t>al desalinhamento cambial: este assunto é tratado na sub-seção seguinte.</w:t>
      </w:r>
    </w:p>
    <w:p w:rsidR="003000B1" w:rsidRDefault="003000B1" w:rsidP="00D95DC0">
      <w:pPr>
        <w:tabs>
          <w:tab w:val="left" w:pos="720"/>
        </w:tabs>
        <w:autoSpaceDE w:val="0"/>
        <w:autoSpaceDN w:val="0"/>
        <w:adjustRightInd w:val="0"/>
        <w:spacing w:after="0" w:line="240" w:lineRule="auto"/>
        <w:ind w:firstLine="720"/>
        <w:jc w:val="both"/>
        <w:rPr>
          <w:rFonts w:ascii="Times New Roman" w:hAnsi="Times New Roman" w:cs="Times New Roman"/>
          <w:sz w:val="24"/>
          <w:szCs w:val="24"/>
          <w:lang w:val="pt-BR"/>
        </w:rPr>
      </w:pPr>
    </w:p>
    <w:p w:rsidR="00472344" w:rsidRDefault="00725358" w:rsidP="00D95DC0">
      <w:pPr>
        <w:tabs>
          <w:tab w:val="left" w:pos="720"/>
        </w:tabs>
        <w:autoSpaceDE w:val="0"/>
        <w:autoSpaceDN w:val="0"/>
        <w:adjustRightInd w:val="0"/>
        <w:spacing w:after="0" w:line="240" w:lineRule="auto"/>
        <w:ind w:firstLine="720"/>
        <w:jc w:val="both"/>
        <w:rPr>
          <w:rFonts w:ascii="Times New Roman" w:hAnsi="Times New Roman" w:cs="Times New Roman"/>
          <w:sz w:val="24"/>
          <w:szCs w:val="24"/>
          <w:lang w:val="pt-BR"/>
        </w:rPr>
      </w:pPr>
      <w:r>
        <w:rPr>
          <w:rFonts w:ascii="Times New Roman" w:hAnsi="Times New Roman" w:cs="Times New Roman"/>
          <w:i/>
          <w:sz w:val="24"/>
          <w:szCs w:val="24"/>
          <w:lang w:val="pt-BR"/>
        </w:rPr>
        <w:t>2.2</w:t>
      </w:r>
      <w:r w:rsidR="003000B1">
        <w:rPr>
          <w:rFonts w:ascii="Times New Roman" w:hAnsi="Times New Roman" w:cs="Times New Roman"/>
          <w:i/>
          <w:sz w:val="24"/>
          <w:szCs w:val="24"/>
          <w:lang w:val="pt-BR"/>
        </w:rPr>
        <w:t xml:space="preserve"> Modelos para taxas de câmbio de equilíbrio. </w:t>
      </w:r>
      <w:r w:rsidR="00472344">
        <w:rPr>
          <w:rFonts w:ascii="Times New Roman" w:hAnsi="Times New Roman" w:cs="Times New Roman"/>
          <w:sz w:val="24"/>
          <w:szCs w:val="24"/>
          <w:lang w:val="pt-BR"/>
        </w:rPr>
        <w:t>A defi</w:t>
      </w:r>
      <w:r w:rsidR="00472344" w:rsidRPr="00472344">
        <w:rPr>
          <w:rFonts w:ascii="Times New Roman" w:hAnsi="Times New Roman" w:cs="Times New Roman"/>
          <w:sz w:val="24"/>
          <w:szCs w:val="24"/>
          <w:lang w:val="pt-BR"/>
        </w:rPr>
        <w:t>n</w:t>
      </w:r>
      <w:r w:rsidR="00472344">
        <w:rPr>
          <w:rFonts w:ascii="Times New Roman" w:hAnsi="Times New Roman" w:cs="Times New Roman"/>
          <w:sz w:val="24"/>
          <w:szCs w:val="24"/>
          <w:lang w:val="pt-BR"/>
        </w:rPr>
        <w:t>ição tradicional da TCR de equi</w:t>
      </w:r>
      <w:r w:rsidR="00472344" w:rsidRPr="00472344">
        <w:rPr>
          <w:rFonts w:ascii="Times New Roman" w:hAnsi="Times New Roman" w:cs="Times New Roman"/>
          <w:sz w:val="24"/>
          <w:szCs w:val="24"/>
          <w:lang w:val="pt-BR"/>
        </w:rPr>
        <w:t>líbrio</w:t>
      </w:r>
      <w:r w:rsidR="003000B1">
        <w:rPr>
          <w:rFonts w:ascii="Times New Roman" w:hAnsi="Times New Roman" w:cs="Times New Roman"/>
          <w:sz w:val="24"/>
          <w:szCs w:val="24"/>
          <w:lang w:val="pt-BR"/>
        </w:rPr>
        <w:t xml:space="preserve">, a </w:t>
      </w:r>
      <w:r w:rsidR="003000B1">
        <w:rPr>
          <w:rFonts w:ascii="Times New Roman" w:hAnsi="Times New Roman" w:cs="Times New Roman"/>
          <w:i/>
          <w:sz w:val="24"/>
          <w:szCs w:val="24"/>
          <w:lang w:val="pt-BR"/>
        </w:rPr>
        <w:t>Fundamental Equilibrium Exchange Rate</w:t>
      </w:r>
      <w:r w:rsidR="003000B1">
        <w:rPr>
          <w:rFonts w:ascii="Times New Roman" w:hAnsi="Times New Roman" w:cs="Times New Roman"/>
          <w:sz w:val="24"/>
          <w:szCs w:val="24"/>
          <w:lang w:val="pt-BR"/>
        </w:rPr>
        <w:t xml:space="preserve"> (Taxa de Câmbio de Equilíbrio, FEER),</w:t>
      </w:r>
      <w:r w:rsidR="00472344" w:rsidRPr="00472344">
        <w:rPr>
          <w:rFonts w:ascii="Times New Roman" w:hAnsi="Times New Roman" w:cs="Times New Roman"/>
          <w:sz w:val="24"/>
          <w:szCs w:val="24"/>
          <w:lang w:val="pt-BR"/>
        </w:rPr>
        <w:t xml:space="preserve"> é aquela que é consistente com o balanço macroeconômico interno e externo,</w:t>
      </w:r>
      <w:r w:rsidR="00472344">
        <w:rPr>
          <w:rFonts w:ascii="Times New Roman" w:hAnsi="Times New Roman" w:cs="Times New Roman"/>
          <w:sz w:val="24"/>
          <w:szCs w:val="24"/>
          <w:lang w:val="pt-BR"/>
        </w:rPr>
        <w:t xml:space="preserve"> </w:t>
      </w:r>
      <w:r w:rsidR="00472344" w:rsidRPr="00472344">
        <w:rPr>
          <w:rFonts w:ascii="Times New Roman" w:hAnsi="Times New Roman" w:cs="Times New Roman"/>
          <w:sz w:val="24"/>
          <w:szCs w:val="24"/>
          <w:lang w:val="pt-BR"/>
        </w:rPr>
        <w:t xml:space="preserve">condicionado a </w:t>
      </w:r>
      <w:r w:rsidR="00472344" w:rsidRPr="00472344">
        <w:rPr>
          <w:rFonts w:ascii="Times New Roman" w:hAnsi="Times New Roman" w:cs="Times New Roman"/>
          <w:sz w:val="24"/>
          <w:szCs w:val="24"/>
          <w:lang w:val="pt-BR"/>
        </w:rPr>
        <w:lastRenderedPageBreak/>
        <w:t>valores sustentáveis de variáveis exógenas e de política (ou seja, ao</w:t>
      </w:r>
      <w:r w:rsidR="00472344">
        <w:rPr>
          <w:rFonts w:ascii="Times New Roman" w:hAnsi="Times New Roman" w:cs="Times New Roman"/>
          <w:sz w:val="24"/>
          <w:szCs w:val="24"/>
          <w:lang w:val="pt-BR"/>
        </w:rPr>
        <w:t xml:space="preserve"> </w:t>
      </w:r>
      <w:r w:rsidR="00472344" w:rsidRPr="00472344">
        <w:rPr>
          <w:rFonts w:ascii="Times New Roman" w:hAnsi="Times New Roman" w:cs="Times New Roman"/>
          <w:sz w:val="24"/>
          <w:szCs w:val="24"/>
          <w:lang w:val="pt-BR"/>
        </w:rPr>
        <w:t>equilíbrio intertemporal). O balanço interno refere-se à situação em que os mercados</w:t>
      </w:r>
      <w:r w:rsidR="00472344">
        <w:rPr>
          <w:rFonts w:ascii="Times New Roman" w:hAnsi="Times New Roman" w:cs="Times New Roman"/>
          <w:sz w:val="24"/>
          <w:szCs w:val="24"/>
          <w:lang w:val="pt-BR"/>
        </w:rPr>
        <w:t xml:space="preserve"> </w:t>
      </w:r>
      <w:r w:rsidR="00472344" w:rsidRPr="00472344">
        <w:rPr>
          <w:rFonts w:ascii="Times New Roman" w:hAnsi="Times New Roman" w:cs="Times New Roman"/>
          <w:sz w:val="24"/>
          <w:szCs w:val="24"/>
          <w:lang w:val="pt-BR"/>
        </w:rPr>
        <w:t>de bens comercializáveis e não-comercializáveis est</w:t>
      </w:r>
      <w:r w:rsidR="00472344">
        <w:rPr>
          <w:rFonts w:ascii="Times New Roman" w:hAnsi="Times New Roman" w:cs="Times New Roman"/>
          <w:sz w:val="24"/>
          <w:szCs w:val="24"/>
          <w:lang w:val="pt-BR"/>
        </w:rPr>
        <w:t>ão ambos em equilíbrio, e corre</w:t>
      </w:r>
      <w:r w:rsidR="00472344" w:rsidRPr="00472344">
        <w:rPr>
          <w:rFonts w:ascii="Times New Roman" w:hAnsi="Times New Roman" w:cs="Times New Roman"/>
          <w:sz w:val="24"/>
          <w:szCs w:val="24"/>
          <w:lang w:val="pt-BR"/>
        </w:rPr>
        <w:t>sponde ao equilíbrio macroeconômico com pleno emprego. O balanço externo, por</w:t>
      </w:r>
      <w:r w:rsidR="00472344">
        <w:rPr>
          <w:rFonts w:ascii="Times New Roman" w:hAnsi="Times New Roman" w:cs="Times New Roman"/>
          <w:sz w:val="24"/>
          <w:szCs w:val="24"/>
          <w:lang w:val="pt-BR"/>
        </w:rPr>
        <w:t xml:space="preserve"> </w:t>
      </w:r>
      <w:r w:rsidR="00472344" w:rsidRPr="00472344">
        <w:rPr>
          <w:rFonts w:ascii="Times New Roman" w:hAnsi="Times New Roman" w:cs="Times New Roman"/>
          <w:sz w:val="24"/>
          <w:szCs w:val="24"/>
          <w:lang w:val="pt-BR"/>
        </w:rPr>
        <w:t>outro lado, refere-se a u</w:t>
      </w:r>
      <w:r w:rsidR="00472344">
        <w:rPr>
          <w:rFonts w:ascii="Times New Roman" w:hAnsi="Times New Roman" w:cs="Times New Roman"/>
          <w:sz w:val="24"/>
          <w:szCs w:val="24"/>
          <w:lang w:val="pt-BR"/>
        </w:rPr>
        <w:t>ma situação em que o défi</w:t>
      </w:r>
      <w:r w:rsidR="00472344" w:rsidRPr="00472344">
        <w:rPr>
          <w:rFonts w:ascii="Times New Roman" w:hAnsi="Times New Roman" w:cs="Times New Roman"/>
          <w:sz w:val="24"/>
          <w:szCs w:val="24"/>
          <w:lang w:val="pt-BR"/>
        </w:rPr>
        <w:t>cit em conta corrente da economia</w:t>
      </w:r>
      <w:r w:rsidR="001B63E5">
        <w:rPr>
          <w:rFonts w:ascii="Times New Roman" w:hAnsi="Times New Roman" w:cs="Times New Roman"/>
          <w:sz w:val="24"/>
          <w:szCs w:val="24"/>
          <w:lang w:val="pt-BR"/>
        </w:rPr>
        <w:t xml:space="preserve"> </w:t>
      </w:r>
      <w:r w:rsidR="00472344" w:rsidRPr="00472344">
        <w:rPr>
          <w:rFonts w:ascii="Times New Roman" w:hAnsi="Times New Roman" w:cs="Times New Roman"/>
          <w:sz w:val="24"/>
          <w:szCs w:val="24"/>
          <w:lang w:val="pt-BR"/>
        </w:rPr>
        <w:t>é igual ao valor intertemp</w:t>
      </w:r>
      <w:r w:rsidR="00472344">
        <w:rPr>
          <w:rFonts w:ascii="Times New Roman" w:hAnsi="Times New Roman" w:cs="Times New Roman"/>
          <w:sz w:val="24"/>
          <w:szCs w:val="24"/>
          <w:lang w:val="pt-BR"/>
        </w:rPr>
        <w:t>oral sustentável de entrada de fl</w:t>
      </w:r>
      <w:r w:rsidR="00472344" w:rsidRPr="00472344">
        <w:rPr>
          <w:rFonts w:ascii="Times New Roman" w:hAnsi="Times New Roman" w:cs="Times New Roman"/>
          <w:sz w:val="24"/>
          <w:szCs w:val="24"/>
          <w:lang w:val="pt-BR"/>
        </w:rPr>
        <w:t>uxos de capitais que se</w:t>
      </w:r>
      <w:r w:rsidR="00472344">
        <w:rPr>
          <w:rFonts w:ascii="Times New Roman" w:hAnsi="Times New Roman" w:cs="Times New Roman"/>
          <w:sz w:val="24"/>
          <w:szCs w:val="24"/>
          <w:lang w:val="pt-BR"/>
        </w:rPr>
        <w:t xml:space="preserve"> </w:t>
      </w:r>
      <w:r w:rsidR="00472344" w:rsidRPr="00472344">
        <w:rPr>
          <w:rFonts w:ascii="Times New Roman" w:hAnsi="Times New Roman" w:cs="Times New Roman"/>
          <w:sz w:val="24"/>
          <w:szCs w:val="24"/>
          <w:lang w:val="pt-BR"/>
        </w:rPr>
        <w:t xml:space="preserve">espera receber. </w:t>
      </w:r>
      <w:r w:rsidR="003000B1">
        <w:rPr>
          <w:rFonts w:ascii="Times New Roman" w:hAnsi="Times New Roman" w:cs="Times New Roman"/>
          <w:sz w:val="24"/>
          <w:szCs w:val="24"/>
          <w:lang w:val="pt-BR"/>
        </w:rPr>
        <w:t xml:space="preserve"> Ele pode ser caracterizado por estimações empíricas de balanços de poupança-investimento ou por valores que são consistentes com a sustentabilidade do  equilíbrio externo</w:t>
      </w:r>
      <w:r w:rsidR="001C023E">
        <w:rPr>
          <w:rFonts w:ascii="Times New Roman" w:hAnsi="Times New Roman" w:cs="Times New Roman"/>
          <w:sz w:val="24"/>
          <w:szCs w:val="24"/>
          <w:lang w:val="pt-BR"/>
        </w:rPr>
        <w:t xml:space="preserve">. </w:t>
      </w:r>
      <w:r w:rsidR="00472344" w:rsidRPr="00472344">
        <w:rPr>
          <w:rFonts w:ascii="Times New Roman" w:hAnsi="Times New Roman" w:cs="Times New Roman"/>
          <w:sz w:val="24"/>
          <w:szCs w:val="24"/>
          <w:lang w:val="pt-BR"/>
        </w:rPr>
        <w:t>Assim, quando se aponta uma TCR de equilíbrio, não se refere a</w:t>
      </w:r>
      <w:r w:rsidR="00472344">
        <w:rPr>
          <w:rFonts w:ascii="Times New Roman" w:hAnsi="Times New Roman" w:cs="Times New Roman"/>
          <w:sz w:val="24"/>
          <w:szCs w:val="24"/>
          <w:lang w:val="pt-BR"/>
        </w:rPr>
        <w:t xml:space="preserve"> </w:t>
      </w:r>
      <w:r w:rsidR="00472344" w:rsidRPr="00472344">
        <w:rPr>
          <w:rFonts w:ascii="Times New Roman" w:hAnsi="Times New Roman" w:cs="Times New Roman"/>
          <w:sz w:val="24"/>
          <w:szCs w:val="24"/>
          <w:lang w:val="pt-BR"/>
        </w:rPr>
        <w:t>uma TCR obtida de qualquer equilíbrio arbitrariamente escolhido, mas sim de um</w:t>
      </w:r>
      <w:r w:rsidR="00472344">
        <w:rPr>
          <w:rFonts w:ascii="Times New Roman" w:hAnsi="Times New Roman" w:cs="Times New Roman"/>
          <w:sz w:val="24"/>
          <w:szCs w:val="24"/>
          <w:lang w:val="pt-BR"/>
        </w:rPr>
        <w:t xml:space="preserve"> </w:t>
      </w:r>
      <w:r w:rsidR="00472344" w:rsidRPr="00472344">
        <w:rPr>
          <w:rFonts w:ascii="Times New Roman" w:hAnsi="Times New Roman" w:cs="Times New Roman"/>
          <w:sz w:val="24"/>
          <w:szCs w:val="24"/>
          <w:lang w:val="pt-BR"/>
        </w:rPr>
        <w:t>equilíbrio</w:t>
      </w:r>
      <w:r w:rsidR="003000B1">
        <w:rPr>
          <w:rFonts w:ascii="Times New Roman" w:hAnsi="Times New Roman" w:cs="Times New Roman"/>
          <w:sz w:val="24"/>
          <w:szCs w:val="24"/>
          <w:lang w:val="pt-BR"/>
        </w:rPr>
        <w:t xml:space="preserve"> sustentável intertemporalmente, o que exige estimações das elasticidades de comércio. Esse enfoque foi utilizado de forma pioneira por Williansom (1994) e ainda é utilizado pelo FMI. </w:t>
      </w:r>
    </w:p>
    <w:p w:rsidR="00CA65D3" w:rsidRDefault="00CA65D3" w:rsidP="00D95DC0">
      <w:pPr>
        <w:tabs>
          <w:tab w:val="left" w:pos="720"/>
        </w:tabs>
        <w:autoSpaceDE w:val="0"/>
        <w:autoSpaceDN w:val="0"/>
        <w:adjustRightInd w:val="0"/>
        <w:spacing w:after="0" w:line="24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abordagem FEER, embora intuitiva, traz alguns problemas aos pesquisadores. Primeiro, os resultados são muito sensíveis às elasticidades de comércio, que são comumente usadas como dadas por uma média de uma grande quantidade de países (Isard, 2007). Em segundo lugar, os balanços internos, usualmente calculados por hiatos de produtos, são difíceis de computar para países emergentes, e os métodos empregados em geral carecem de fundamentos teóricos (Isard e Faruqee (1998)). De forma geral, pode-se dizer que o cálculo dos hiatos de produtos não são apropriados para economias emergentes ou em transição porque suas transformações econômicas ainda estão em processo (Coudert e Couharde, 2007). </w:t>
      </w:r>
      <w:r w:rsidR="00833B53">
        <w:rPr>
          <w:rFonts w:ascii="Times New Roman" w:hAnsi="Times New Roman" w:cs="Times New Roman"/>
          <w:sz w:val="24"/>
          <w:szCs w:val="24"/>
          <w:lang w:val="pt-BR"/>
        </w:rPr>
        <w:t>E terceiro, estimar o equil</w:t>
      </w:r>
      <w:r w:rsidR="00524EA0">
        <w:rPr>
          <w:rFonts w:ascii="Times New Roman" w:hAnsi="Times New Roman" w:cs="Times New Roman"/>
          <w:sz w:val="24"/>
          <w:szCs w:val="24"/>
          <w:lang w:val="pt-BR"/>
        </w:rPr>
        <w:t>íbrio externo sustentável</w:t>
      </w:r>
      <w:r w:rsidR="00833B53">
        <w:rPr>
          <w:rFonts w:ascii="Times New Roman" w:hAnsi="Times New Roman" w:cs="Times New Roman"/>
          <w:sz w:val="24"/>
          <w:szCs w:val="24"/>
          <w:lang w:val="pt-BR"/>
        </w:rPr>
        <w:t xml:space="preserve"> não é tarefa fácil. </w:t>
      </w:r>
      <w:r w:rsidR="00524EA0">
        <w:rPr>
          <w:rFonts w:ascii="Times New Roman" w:hAnsi="Times New Roman" w:cs="Times New Roman"/>
          <w:sz w:val="24"/>
          <w:szCs w:val="24"/>
          <w:lang w:val="pt-BR"/>
        </w:rPr>
        <w:t xml:space="preserve">Por um lado, a hipótese de sustentabilidade do débito externo usualmente termina por ser a manutenção do nível anterior de débito (IMF, 2007), qual seja o tamanho, o que leva a grandes desvios entre os países que são inexplicados. Por outro lado, rodar uma regressão </w:t>
      </w:r>
      <w:r w:rsidR="00524EA0">
        <w:rPr>
          <w:rFonts w:ascii="Times New Roman" w:hAnsi="Times New Roman" w:cs="Times New Roman"/>
          <w:i/>
          <w:sz w:val="24"/>
          <w:szCs w:val="24"/>
          <w:lang w:val="pt-BR"/>
        </w:rPr>
        <w:t>cross-country</w:t>
      </w:r>
      <w:r w:rsidR="00524EA0">
        <w:rPr>
          <w:rFonts w:ascii="Times New Roman" w:hAnsi="Times New Roman" w:cs="Times New Roman"/>
          <w:sz w:val="24"/>
          <w:szCs w:val="24"/>
          <w:lang w:val="pt-BR"/>
        </w:rPr>
        <w:t xml:space="preserve"> para estimar a conta corrente de equilíbrio pode resultar em grande diferenças com os dados obtidos e nos informar graves desalinhamentos. </w:t>
      </w:r>
    </w:p>
    <w:p w:rsidR="00524EA0" w:rsidRDefault="00524EA0" w:rsidP="00D95DC0">
      <w:pPr>
        <w:tabs>
          <w:tab w:val="left" w:pos="720"/>
        </w:tabs>
        <w:autoSpaceDE w:val="0"/>
        <w:autoSpaceDN w:val="0"/>
        <w:adjustRightInd w:val="0"/>
        <w:spacing w:after="0" w:line="24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Dado esses problemas, a literatura empírica de determinação da TCR têm utilizado técnicas de estimação diretas. Este enfoque é muitas vezes chamado de </w:t>
      </w:r>
      <w:r>
        <w:rPr>
          <w:rFonts w:ascii="Times New Roman" w:hAnsi="Times New Roman" w:cs="Times New Roman"/>
          <w:i/>
          <w:sz w:val="24"/>
          <w:szCs w:val="24"/>
          <w:lang w:val="pt-BR"/>
        </w:rPr>
        <w:t>Behavorial Equilibrium Exchange Rate</w:t>
      </w:r>
      <w:r>
        <w:rPr>
          <w:rFonts w:ascii="Times New Roman" w:hAnsi="Times New Roman" w:cs="Times New Roman"/>
          <w:sz w:val="24"/>
          <w:szCs w:val="24"/>
          <w:lang w:val="pt-BR"/>
        </w:rPr>
        <w:t xml:space="preserve"> (Taxa de Câmbio de Equilíbrio Comportamental, BEER), seguindo Clark e MacDonald (1998). Este enfoque econométrico foca em estimar uma forma reduzida relacionando a TCR e seus fundamentos (Edwards, 1997; Montiel, 1999; Chinn, 2000). Nestes modelos, a taxa de câmbio de equilíbrio é definida como o preço relativo de comercializáveis e não-comercializáveis que, tudo o mais constante, resulta na manutenção dos equilíbrios internos e externos: na prática, o método consiste em estimar uma forma reduzida da TCR com suas variáveis fundamentais:</w:t>
      </w:r>
    </w:p>
    <w:p w:rsidR="00524EA0" w:rsidRDefault="006E1488" w:rsidP="00D95DC0">
      <w:pPr>
        <w:tabs>
          <w:tab w:val="left" w:pos="720"/>
        </w:tabs>
        <w:autoSpaceDE w:val="0"/>
        <w:autoSpaceDN w:val="0"/>
        <w:adjustRightInd w:val="0"/>
        <w:spacing w:after="0" w:line="240" w:lineRule="auto"/>
        <w:ind w:firstLine="720"/>
        <w:jc w:val="both"/>
        <w:rPr>
          <w:rFonts w:ascii="Times New Roman" w:eastAsiaTheme="minorEastAsia" w:hAnsi="Times New Roman" w:cs="Times New Roman"/>
          <w:sz w:val="24"/>
          <w:szCs w:val="24"/>
          <w:lang w:val="pt-BR"/>
        </w:rPr>
      </w:pPr>
      <m:oMathPara>
        <m:oMath>
          <m:sSub>
            <m:sSubPr>
              <m:ctrlPr>
                <w:rPr>
                  <w:rFonts w:ascii="Cambria Math" w:hAnsi="Cambria Math" w:cs="Times New Roman"/>
                  <w:i/>
                  <w:sz w:val="24"/>
                  <w:szCs w:val="24"/>
                  <w:lang w:val="pt-BR"/>
                </w:rPr>
              </m:ctrlPr>
            </m:sSubPr>
            <m:e>
              <m:r>
                <w:rPr>
                  <w:rFonts w:ascii="Cambria Math" w:hAnsi="Cambria Math" w:cs="Times New Roman"/>
                  <w:sz w:val="24"/>
                  <w:szCs w:val="24"/>
                  <w:lang w:val="pt-BR"/>
                </w:rPr>
                <m:t>q</m:t>
              </m:r>
            </m:e>
            <m:sub>
              <m:r>
                <w:rPr>
                  <w:rFonts w:ascii="Cambria Math" w:hAnsi="Cambria Math" w:cs="Times New Roman"/>
                  <w:sz w:val="24"/>
                  <w:szCs w:val="24"/>
                  <w:lang w:val="pt-BR"/>
                </w:rPr>
                <m:t>t</m:t>
              </m:r>
            </m:sub>
          </m:sSub>
          <m:r>
            <w:rPr>
              <w:rFonts w:ascii="Cambria Math" w:hAnsi="Cambria Math" w:cs="Times New Roman"/>
              <w:sz w:val="24"/>
              <w:szCs w:val="24"/>
              <w:lang w:val="pt-BR"/>
            </w:rPr>
            <m:t>=</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α</m:t>
              </m:r>
            </m:e>
            <m:sub>
              <m:r>
                <w:rPr>
                  <w:rFonts w:ascii="Cambria Math" w:hAnsi="Cambria Math" w:cs="Times New Roman"/>
                  <w:sz w:val="24"/>
                  <w:szCs w:val="24"/>
                  <w:lang w:val="pt-BR"/>
                </w:rPr>
                <m:t>0</m:t>
              </m:r>
            </m:sub>
          </m:sSub>
          <m:r>
            <w:rPr>
              <w:rFonts w:ascii="Cambria Math" w:hAnsi="Cambria Math" w:cs="Times New Roman"/>
              <w:sz w:val="24"/>
              <w:szCs w:val="24"/>
              <w:lang w:val="pt-BR"/>
            </w:rPr>
            <m:t>+</m:t>
          </m:r>
          <m:sSubSup>
            <m:sSubSupPr>
              <m:ctrlPr>
                <w:rPr>
                  <w:rFonts w:ascii="Cambria Math" w:hAnsi="Cambria Math" w:cs="Times New Roman"/>
                  <w:i/>
                  <w:sz w:val="24"/>
                  <w:szCs w:val="24"/>
                  <w:lang w:val="pt-BR"/>
                </w:rPr>
              </m:ctrlPr>
            </m:sSubSupPr>
            <m:e>
              <m:r>
                <m:rPr>
                  <m:sty m:val="p"/>
                </m:rPr>
                <w:rPr>
                  <w:rFonts w:ascii="Cambria Math" w:hAnsi="Cambria Math" w:cs="Times New Roman"/>
                  <w:sz w:val="24"/>
                  <w:szCs w:val="24"/>
                  <w:lang w:val="pt-BR"/>
                </w:rPr>
                <m:t>Σ</m:t>
              </m:r>
            </m:e>
            <m:sub>
              <m:r>
                <w:rPr>
                  <w:rFonts w:ascii="Cambria Math" w:hAnsi="Cambria Math" w:cs="Times New Roman"/>
                  <w:sz w:val="24"/>
                  <w:szCs w:val="24"/>
                  <w:lang w:val="pt-BR"/>
                </w:rPr>
                <m:t>j=1</m:t>
              </m:r>
            </m:sub>
            <m:sup>
              <m:r>
                <w:rPr>
                  <w:rFonts w:ascii="Cambria Math" w:hAnsi="Cambria Math" w:cs="Times New Roman"/>
                  <w:sz w:val="24"/>
                  <w:szCs w:val="24"/>
                  <w:lang w:val="pt-BR"/>
                </w:rPr>
                <m:t>J</m:t>
              </m:r>
            </m:sup>
          </m:sSubSup>
          <m:sSub>
            <m:sSubPr>
              <m:ctrlPr>
                <w:rPr>
                  <w:rFonts w:ascii="Cambria Math" w:hAnsi="Cambria Math" w:cs="Times New Roman"/>
                  <w:i/>
                  <w:sz w:val="24"/>
                  <w:szCs w:val="24"/>
                  <w:lang w:val="pt-BR"/>
                </w:rPr>
              </m:ctrlPr>
            </m:sSubPr>
            <m:e>
              <m:r>
                <w:rPr>
                  <w:rFonts w:ascii="Cambria Math" w:hAnsi="Cambria Math" w:cs="Times New Roman"/>
                  <w:sz w:val="24"/>
                  <w:szCs w:val="24"/>
                  <w:lang w:val="pt-BR"/>
                </w:rPr>
                <m:t>α</m:t>
              </m:r>
            </m:e>
            <m:sub>
              <m:r>
                <w:rPr>
                  <w:rFonts w:ascii="Cambria Math" w:hAnsi="Cambria Math" w:cs="Times New Roman"/>
                  <w:sz w:val="24"/>
                  <w:szCs w:val="24"/>
                  <w:lang w:val="pt-BR"/>
                </w:rPr>
                <m:t>j</m:t>
              </m:r>
            </m:sub>
          </m:sSub>
          <m:sSub>
            <m:sSubPr>
              <m:ctrlPr>
                <w:rPr>
                  <w:rFonts w:ascii="Cambria Math" w:hAnsi="Cambria Math" w:cs="Times New Roman"/>
                  <w:i/>
                  <w:sz w:val="24"/>
                  <w:szCs w:val="24"/>
                  <w:lang w:val="pt-BR"/>
                </w:rPr>
              </m:ctrlPr>
            </m:sSubPr>
            <m:e>
              <m:r>
                <w:rPr>
                  <w:rFonts w:ascii="Cambria Math" w:hAnsi="Cambria Math" w:cs="Times New Roman"/>
                  <w:sz w:val="24"/>
                  <w:szCs w:val="24"/>
                  <w:lang w:val="pt-BR"/>
                </w:rPr>
                <m:t>x</m:t>
              </m:r>
            </m:e>
            <m:sub>
              <m:r>
                <w:rPr>
                  <w:rFonts w:ascii="Cambria Math" w:hAnsi="Cambria Math" w:cs="Times New Roman"/>
                  <w:sz w:val="24"/>
                  <w:szCs w:val="24"/>
                  <w:lang w:val="pt-BR"/>
                </w:rPr>
                <m:t>ij</m:t>
              </m:r>
            </m:sub>
          </m:sSub>
          <m:r>
            <w:rPr>
              <w:rFonts w:ascii="Cambria Math" w:hAnsi="Cambria Math" w:cs="Times New Roman"/>
              <w:sz w:val="24"/>
              <w:szCs w:val="24"/>
              <w:lang w:val="pt-BR"/>
            </w:rPr>
            <m:t>+</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ε</m:t>
              </m:r>
            </m:e>
            <m:sub>
              <m:r>
                <w:rPr>
                  <w:rFonts w:ascii="Cambria Math" w:hAnsi="Cambria Math" w:cs="Times New Roman"/>
                  <w:sz w:val="24"/>
                  <w:szCs w:val="24"/>
                  <w:lang w:val="pt-BR"/>
                </w:rPr>
                <m:t>t</m:t>
              </m:r>
            </m:sub>
          </m:sSub>
        </m:oMath>
      </m:oMathPara>
    </w:p>
    <w:p w:rsidR="00421117" w:rsidRDefault="00421117" w:rsidP="00421117">
      <w:pPr>
        <w:tabs>
          <w:tab w:val="left" w:pos="720"/>
        </w:tabs>
        <w:autoSpaceDE w:val="0"/>
        <w:autoSpaceDN w:val="0"/>
        <w:adjustRightInd w:val="0"/>
        <w:spacing w:after="0" w:line="240" w:lineRule="auto"/>
        <w:rPr>
          <w:rFonts w:ascii="Times New Roman" w:eastAsiaTheme="minorEastAsia" w:hAnsi="Times New Roman" w:cs="Times New Roman"/>
          <w:sz w:val="24"/>
          <w:szCs w:val="24"/>
          <w:lang w:val="pt-BR"/>
        </w:rPr>
      </w:pPr>
    </w:p>
    <w:p w:rsidR="00421117" w:rsidRPr="00421117" w:rsidRDefault="00421117" w:rsidP="00421117">
      <w:pPr>
        <w:tabs>
          <w:tab w:val="left" w:pos="720"/>
        </w:tabs>
        <w:autoSpaceDE w:val="0"/>
        <w:autoSpaceDN w:val="0"/>
        <w:adjustRightInd w:val="0"/>
        <w:spacing w:after="0" w:line="240" w:lineRule="auto"/>
        <w:rPr>
          <w:rFonts w:ascii="Times New Roman" w:hAnsi="Times New Roman" w:cs="Times New Roman"/>
          <w:sz w:val="24"/>
          <w:szCs w:val="24"/>
          <w:lang w:val="pt-BR"/>
        </w:rPr>
      </w:pPr>
      <w:r>
        <w:rPr>
          <w:rFonts w:ascii="Times New Roman" w:eastAsiaTheme="minorEastAsia" w:hAnsi="Times New Roman" w:cs="Times New Roman"/>
          <w:sz w:val="24"/>
          <w:szCs w:val="24"/>
          <w:lang w:val="pt-BR"/>
        </w:rPr>
        <w:t xml:space="preserve">Onde </w:t>
      </w:r>
      <m:oMath>
        <m:sSub>
          <m:sSubPr>
            <m:ctrlPr>
              <w:rPr>
                <w:rFonts w:ascii="Cambria Math" w:hAnsi="Cambria Math" w:cs="Times New Roman"/>
                <w:i/>
                <w:sz w:val="24"/>
                <w:szCs w:val="24"/>
                <w:lang w:val="pt-BR"/>
              </w:rPr>
            </m:ctrlPr>
          </m:sSubPr>
          <m:e>
            <m:r>
              <w:rPr>
                <w:rFonts w:ascii="Cambria Math" w:hAnsi="Cambria Math" w:cs="Times New Roman"/>
                <w:sz w:val="24"/>
                <w:szCs w:val="24"/>
                <w:lang w:val="pt-BR"/>
              </w:rPr>
              <m:t>x</m:t>
            </m:r>
          </m:e>
          <m:sub>
            <m:r>
              <w:rPr>
                <w:rFonts w:ascii="Cambria Math" w:hAnsi="Cambria Math" w:cs="Times New Roman"/>
                <w:sz w:val="24"/>
                <w:szCs w:val="24"/>
                <w:lang w:val="pt-BR"/>
              </w:rPr>
              <m:t>ij</m:t>
            </m:r>
          </m:sub>
        </m:sSub>
      </m:oMath>
      <w:r>
        <w:rPr>
          <w:rFonts w:ascii="Times New Roman" w:eastAsiaTheme="minorEastAsia" w:hAnsi="Times New Roman" w:cs="Times New Roman"/>
          <w:sz w:val="24"/>
          <w:szCs w:val="24"/>
          <w:lang w:val="pt-BR"/>
        </w:rPr>
        <w:t xml:space="preserve"> são as </w:t>
      </w:r>
      <w:r>
        <w:rPr>
          <w:rFonts w:ascii="Times New Roman" w:eastAsiaTheme="minorEastAsia" w:hAnsi="Times New Roman" w:cs="Times New Roman"/>
          <w:i/>
          <w:sz w:val="24"/>
          <w:szCs w:val="24"/>
          <w:lang w:val="pt-BR"/>
        </w:rPr>
        <w:t>J</w:t>
      </w:r>
      <w:r>
        <w:rPr>
          <w:rFonts w:ascii="Times New Roman" w:eastAsiaTheme="minorEastAsia" w:hAnsi="Times New Roman" w:cs="Times New Roman"/>
          <w:sz w:val="24"/>
          <w:szCs w:val="24"/>
          <w:lang w:val="pt-BR"/>
        </w:rPr>
        <w:t xml:space="preserve"> variáveis fundamentais, </w:t>
      </w:r>
      <m:oMath>
        <m:sSub>
          <m:sSubPr>
            <m:ctrlPr>
              <w:rPr>
                <w:rFonts w:ascii="Cambria Math" w:hAnsi="Cambria Math" w:cs="Times New Roman"/>
                <w:i/>
                <w:sz w:val="24"/>
                <w:szCs w:val="24"/>
                <w:lang w:val="pt-BR"/>
              </w:rPr>
            </m:ctrlPr>
          </m:sSubPr>
          <m:e>
            <m:r>
              <w:rPr>
                <w:rFonts w:ascii="Cambria Math" w:hAnsi="Cambria Math" w:cs="Times New Roman"/>
                <w:sz w:val="24"/>
                <w:szCs w:val="24"/>
                <w:lang w:val="pt-BR"/>
              </w:rPr>
              <m:t>ε</m:t>
            </m:r>
          </m:e>
          <m:sub>
            <m:r>
              <w:rPr>
                <w:rFonts w:ascii="Cambria Math" w:hAnsi="Cambria Math" w:cs="Times New Roman"/>
                <w:sz w:val="24"/>
                <w:szCs w:val="24"/>
                <w:lang w:val="pt-BR"/>
              </w:rPr>
              <m:t>t</m:t>
            </m:r>
          </m:sub>
        </m:sSub>
      </m:oMath>
      <w:r>
        <w:rPr>
          <w:rFonts w:ascii="Times New Roman" w:eastAsiaTheme="minorEastAsia" w:hAnsi="Times New Roman" w:cs="Times New Roman"/>
          <w:sz w:val="24"/>
          <w:szCs w:val="24"/>
          <w:lang w:val="pt-BR"/>
        </w:rPr>
        <w:t xml:space="preserve"> é o termo erro da equação, e </w:t>
      </w:r>
      <m:oMath>
        <m:sSub>
          <m:sSubPr>
            <m:ctrlPr>
              <w:rPr>
                <w:rFonts w:ascii="Cambria Math" w:hAnsi="Cambria Math" w:cs="Times New Roman"/>
                <w:i/>
                <w:sz w:val="24"/>
                <w:szCs w:val="24"/>
                <w:lang w:val="pt-BR"/>
              </w:rPr>
            </m:ctrlPr>
          </m:sSubPr>
          <m:e>
            <m:r>
              <w:rPr>
                <w:rFonts w:ascii="Cambria Math" w:hAnsi="Cambria Math" w:cs="Times New Roman"/>
                <w:sz w:val="24"/>
                <w:szCs w:val="24"/>
                <w:lang w:val="pt-BR"/>
              </w:rPr>
              <m:t>α</m:t>
            </m:r>
          </m:e>
          <m:sub>
            <m:r>
              <w:rPr>
                <w:rFonts w:ascii="Cambria Math" w:hAnsi="Cambria Math" w:cs="Times New Roman"/>
                <w:sz w:val="24"/>
                <w:szCs w:val="24"/>
                <w:lang w:val="pt-BR"/>
              </w:rPr>
              <m:t>j</m:t>
            </m:r>
          </m:sub>
        </m:sSub>
      </m:oMath>
      <w:r>
        <w:rPr>
          <w:rFonts w:ascii="Times New Roman" w:eastAsiaTheme="minorEastAsia" w:hAnsi="Times New Roman" w:cs="Times New Roman"/>
          <w:sz w:val="24"/>
          <w:szCs w:val="24"/>
          <w:lang w:val="pt-BR"/>
        </w:rPr>
        <w:t xml:space="preserve"> são os coeficientes a serem estimados. </w:t>
      </w:r>
    </w:p>
    <w:p w:rsidR="00472344" w:rsidRDefault="00472344" w:rsidP="00D95DC0">
      <w:pPr>
        <w:tabs>
          <w:tab w:val="left" w:pos="720"/>
        </w:tabs>
        <w:autoSpaceDE w:val="0"/>
        <w:autoSpaceDN w:val="0"/>
        <w:adjustRightInd w:val="0"/>
        <w:spacing w:after="0" w:line="240" w:lineRule="auto"/>
        <w:ind w:firstLine="720"/>
        <w:jc w:val="both"/>
        <w:rPr>
          <w:rFonts w:ascii="TTdcr10" w:hAnsi="TTdcr10" w:cs="TTdcr10"/>
          <w:sz w:val="24"/>
          <w:szCs w:val="24"/>
          <w:lang w:val="pt-BR"/>
        </w:rPr>
      </w:pPr>
      <w:r w:rsidRPr="00472344">
        <w:rPr>
          <w:rFonts w:ascii="Times New Roman" w:hAnsi="Times New Roman" w:cs="Times New Roman"/>
          <w:sz w:val="24"/>
          <w:szCs w:val="24"/>
          <w:lang w:val="pt-BR"/>
        </w:rPr>
        <w:t>Como observa Montiel (2003), se a TCR não for estacionária, modelos teóricos</w:t>
      </w:r>
      <w:r>
        <w:rPr>
          <w:rFonts w:ascii="Times New Roman" w:hAnsi="Times New Roman" w:cs="Times New Roman"/>
          <w:sz w:val="24"/>
          <w:szCs w:val="24"/>
          <w:lang w:val="pt-BR"/>
        </w:rPr>
        <w:t xml:space="preserve"> de determinação da TCR </w:t>
      </w:r>
      <w:r w:rsidRPr="00472344">
        <w:rPr>
          <w:rFonts w:ascii="Times New Roman" w:hAnsi="Times New Roman" w:cs="Times New Roman"/>
          <w:sz w:val="24"/>
          <w:szCs w:val="24"/>
          <w:lang w:val="pt-BR"/>
        </w:rPr>
        <w:t>sugerem que um subconjunto d</w:t>
      </w:r>
      <w:r>
        <w:rPr>
          <w:rFonts w:ascii="Times New Roman" w:hAnsi="Times New Roman" w:cs="Times New Roman"/>
          <w:sz w:val="24"/>
          <w:szCs w:val="24"/>
          <w:lang w:val="pt-BR"/>
        </w:rPr>
        <w:t>e fundamentos não deve ser esta</w:t>
      </w:r>
      <w:r w:rsidRPr="00472344">
        <w:rPr>
          <w:rFonts w:ascii="Times New Roman" w:hAnsi="Times New Roman" w:cs="Times New Roman"/>
          <w:sz w:val="24"/>
          <w:szCs w:val="24"/>
          <w:lang w:val="pt-BR"/>
        </w:rPr>
        <w:t>cionário também. Essa constatação sugere que o uso de equações de cointegração</w:t>
      </w:r>
      <w:r>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ligando a TCR com um subconjunto relevante de "fundamentos", baseando-se nos</w:t>
      </w:r>
      <w:r>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valores correntes observáveis da TCR e dos fundamentos. A teoria econométrica</w:t>
      </w:r>
      <w:r>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sugere que quando nem a TCR nem um subconj</w:t>
      </w:r>
      <w:r>
        <w:rPr>
          <w:rFonts w:ascii="Times New Roman" w:hAnsi="Times New Roman" w:cs="Times New Roman"/>
          <w:sz w:val="24"/>
          <w:szCs w:val="24"/>
          <w:lang w:val="pt-BR"/>
        </w:rPr>
        <w:t>unto de determinantes "fundamen</w:t>
      </w:r>
      <w:r w:rsidRPr="00472344">
        <w:rPr>
          <w:rFonts w:ascii="Times New Roman" w:hAnsi="Times New Roman" w:cs="Times New Roman"/>
          <w:sz w:val="24"/>
          <w:szCs w:val="24"/>
          <w:lang w:val="pt-BR"/>
        </w:rPr>
        <w:t>tais" é estacionário, os parâmetros que ligam a TCR de longo prazo aos valores</w:t>
      </w:r>
      <w:r>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permanentes dos fundamentos não-estacionários pode ser estimado desses valores</w:t>
      </w:r>
      <w:r>
        <w:rPr>
          <w:rFonts w:ascii="Times New Roman" w:hAnsi="Times New Roman" w:cs="Times New Roman"/>
          <w:sz w:val="24"/>
          <w:szCs w:val="24"/>
          <w:lang w:val="pt-BR"/>
        </w:rPr>
        <w:t xml:space="preserve"> </w:t>
      </w:r>
      <w:r>
        <w:rPr>
          <w:rFonts w:ascii="Times New Roman" w:hAnsi="Times New Roman" w:cs="Times New Roman"/>
          <w:sz w:val="24"/>
          <w:szCs w:val="24"/>
          <w:lang w:val="pt-BR"/>
        </w:rPr>
        <w:lastRenderedPageBreak/>
        <w:t>observáveis</w:t>
      </w:r>
      <w:r w:rsidRPr="00472344">
        <w:rPr>
          <w:rFonts w:ascii="Times New Roman" w:hAnsi="Times New Roman" w:cs="Times New Roman"/>
          <w:sz w:val="24"/>
          <w:szCs w:val="24"/>
          <w:lang w:val="pt-BR"/>
        </w:rPr>
        <w:t>. Esses parâmetros estimados revelariam a relação de longo prazo entre</w:t>
      </w:r>
      <w:r>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a TCR e seus determinantes fundamentais, permitindo assim a estimação de uma</w:t>
      </w:r>
      <w:r>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TCR de longo-prazo.</w:t>
      </w:r>
    </w:p>
    <w:p w:rsidR="00C422BB" w:rsidRPr="00472344" w:rsidRDefault="00472344" w:rsidP="00D95DC0">
      <w:pPr>
        <w:tabs>
          <w:tab w:val="left" w:pos="720"/>
        </w:tabs>
        <w:autoSpaceDE w:val="0"/>
        <w:autoSpaceDN w:val="0"/>
        <w:adjustRightInd w:val="0"/>
        <w:spacing w:after="0" w:line="240" w:lineRule="auto"/>
        <w:ind w:firstLine="720"/>
        <w:jc w:val="both"/>
        <w:rPr>
          <w:rFonts w:ascii="Times New Roman" w:hAnsi="Times New Roman" w:cs="Times New Roman"/>
          <w:sz w:val="24"/>
          <w:szCs w:val="24"/>
          <w:lang w:val="pt-BR"/>
        </w:rPr>
      </w:pPr>
      <w:r w:rsidRPr="00472344">
        <w:rPr>
          <w:rFonts w:ascii="Times New Roman" w:hAnsi="Times New Roman" w:cs="Times New Roman"/>
          <w:sz w:val="24"/>
          <w:szCs w:val="24"/>
          <w:lang w:val="pt-BR"/>
        </w:rPr>
        <w:t>Uma vez decidido qual o arcabouço teórico para lidar com a TCR, a aplicação dos conceitos relevantes do modelo necessita de uma medida empírica da TCR. A</w:t>
      </w:r>
      <w:r>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escolha mais comum é a chamada taxa de câmbio real efetiva (TCRE)</w:t>
      </w:r>
      <w:r w:rsidRPr="00472344">
        <w:rPr>
          <w:rFonts w:ascii="Times New Roman" w:hAnsi="Times New Roman" w:cs="Times New Roman"/>
          <w:sz w:val="20"/>
          <w:szCs w:val="20"/>
          <w:lang w:val="pt-BR"/>
        </w:rPr>
        <w:t xml:space="preserve">. </w:t>
      </w:r>
      <w:r w:rsidR="00C422BB">
        <w:rPr>
          <w:rFonts w:ascii="Times New Roman" w:hAnsi="Times New Roman" w:cs="Times New Roman"/>
          <w:sz w:val="24"/>
          <w:szCs w:val="24"/>
          <w:lang w:val="pt-BR"/>
        </w:rPr>
        <w:t>Para con</w:t>
      </w:r>
      <w:r w:rsidRPr="00472344">
        <w:rPr>
          <w:rFonts w:ascii="Times New Roman" w:hAnsi="Times New Roman" w:cs="Times New Roman"/>
          <w:sz w:val="24"/>
          <w:szCs w:val="24"/>
          <w:lang w:val="pt-BR"/>
        </w:rPr>
        <w:t>struir um índice de desalinhamento da TCRE, são usadas as estimativas de longo</w:t>
      </w:r>
      <w:r w:rsidR="00C422BB">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prazo dos fundamentos econômicos obtidos com DOLS (</w:t>
      </w:r>
      <w:r w:rsidRPr="00C422BB">
        <w:rPr>
          <w:rFonts w:ascii="Times New Roman" w:hAnsi="Times New Roman" w:cs="Times New Roman"/>
          <w:i/>
          <w:sz w:val="24"/>
          <w:szCs w:val="24"/>
          <w:lang w:val="pt-BR"/>
        </w:rPr>
        <w:t>Dynamic Ordinary Least</w:t>
      </w:r>
      <w:r w:rsidR="00C422BB" w:rsidRPr="00C422BB">
        <w:rPr>
          <w:rFonts w:ascii="Times New Roman" w:hAnsi="Times New Roman" w:cs="Times New Roman"/>
          <w:i/>
          <w:sz w:val="24"/>
          <w:szCs w:val="24"/>
          <w:lang w:val="pt-BR"/>
        </w:rPr>
        <w:t xml:space="preserve"> </w:t>
      </w:r>
      <w:r w:rsidRPr="00C422BB">
        <w:rPr>
          <w:rFonts w:ascii="Times New Roman" w:hAnsi="Times New Roman" w:cs="Times New Roman"/>
          <w:i/>
          <w:sz w:val="24"/>
          <w:szCs w:val="24"/>
          <w:lang w:val="pt-BR"/>
        </w:rPr>
        <w:t>Squares</w:t>
      </w:r>
      <w:r w:rsidRPr="00472344">
        <w:rPr>
          <w:rFonts w:ascii="Times New Roman" w:hAnsi="Times New Roman" w:cs="Times New Roman"/>
          <w:sz w:val="24"/>
          <w:szCs w:val="24"/>
          <w:lang w:val="pt-BR"/>
        </w:rPr>
        <w:t>) para computar os valores previstos da que seria a TCRE de equilíbrio.</w:t>
      </w:r>
    </w:p>
    <w:p w:rsidR="00C422BB" w:rsidRDefault="00472344" w:rsidP="00D95DC0">
      <w:pPr>
        <w:tabs>
          <w:tab w:val="left" w:pos="720"/>
        </w:tabs>
        <w:autoSpaceDE w:val="0"/>
        <w:autoSpaceDN w:val="0"/>
        <w:adjustRightInd w:val="0"/>
        <w:spacing w:after="0" w:line="240" w:lineRule="auto"/>
        <w:ind w:firstLine="720"/>
        <w:jc w:val="both"/>
        <w:rPr>
          <w:rFonts w:ascii="Times New Roman" w:hAnsi="Times New Roman" w:cs="Times New Roman"/>
          <w:sz w:val="24"/>
          <w:szCs w:val="24"/>
          <w:lang w:val="pt-BR"/>
        </w:rPr>
      </w:pPr>
      <w:r w:rsidRPr="00472344">
        <w:rPr>
          <w:rFonts w:ascii="Times New Roman" w:hAnsi="Times New Roman" w:cs="Times New Roman"/>
          <w:sz w:val="24"/>
          <w:szCs w:val="24"/>
          <w:lang w:val="pt-BR"/>
        </w:rPr>
        <w:t>Com</w:t>
      </w:r>
      <w:r w:rsidR="00C422BB">
        <w:rPr>
          <w:rFonts w:ascii="Times New Roman" w:hAnsi="Times New Roman" w:cs="Times New Roman"/>
          <w:sz w:val="24"/>
          <w:szCs w:val="24"/>
          <w:lang w:val="pt-BR"/>
        </w:rPr>
        <w:t>o aponta Alberola (2003), encon</w:t>
      </w:r>
      <w:r w:rsidRPr="00472344">
        <w:rPr>
          <w:rFonts w:ascii="Times New Roman" w:hAnsi="Times New Roman" w:cs="Times New Roman"/>
          <w:sz w:val="24"/>
          <w:szCs w:val="24"/>
          <w:lang w:val="pt-BR"/>
        </w:rPr>
        <w:t>trar a relação de cointegração de longo prazo entre a TCRE e seus fundamentos</w:t>
      </w:r>
      <w:r w:rsidR="00C422BB">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daria uma estimação da taxa de equilíbrio se fosse po</w:t>
      </w:r>
      <w:r w:rsidR="00C422BB">
        <w:rPr>
          <w:rFonts w:ascii="Times New Roman" w:hAnsi="Times New Roman" w:cs="Times New Roman"/>
          <w:sz w:val="24"/>
          <w:szCs w:val="24"/>
          <w:lang w:val="pt-BR"/>
        </w:rPr>
        <w:t>ssível observar o nível de equi</w:t>
      </w:r>
      <w:r w:rsidRPr="00472344">
        <w:rPr>
          <w:rFonts w:ascii="Times New Roman" w:hAnsi="Times New Roman" w:cs="Times New Roman"/>
          <w:sz w:val="24"/>
          <w:szCs w:val="24"/>
          <w:lang w:val="pt-BR"/>
        </w:rPr>
        <w:t>líbrio dos fundamentos: ou seja, aqueles valores para fundamentos da TCR (como</w:t>
      </w:r>
      <w:r w:rsidR="00C422BB">
        <w:rPr>
          <w:rFonts w:ascii="Times New Roman" w:hAnsi="Times New Roman" w:cs="Times New Roman"/>
          <w:sz w:val="24"/>
          <w:szCs w:val="24"/>
          <w:lang w:val="pt-BR"/>
        </w:rPr>
        <w:t xml:space="preserve"> p</w:t>
      </w:r>
      <w:r w:rsidRPr="00472344">
        <w:rPr>
          <w:rFonts w:ascii="Times New Roman" w:hAnsi="Times New Roman" w:cs="Times New Roman"/>
          <w:sz w:val="24"/>
          <w:szCs w:val="24"/>
          <w:lang w:val="pt-BR"/>
        </w:rPr>
        <w:t>rodutividade</w:t>
      </w:r>
      <w:r w:rsidR="00A92014">
        <w:rPr>
          <w:rFonts w:ascii="Times New Roman" w:hAnsi="Times New Roman" w:cs="Times New Roman"/>
          <w:sz w:val="24"/>
          <w:szCs w:val="24"/>
          <w:lang w:val="pt-BR"/>
        </w:rPr>
        <w:t xml:space="preserve"> ou passivos externos) que seriam</w:t>
      </w:r>
      <w:r w:rsidRPr="00472344">
        <w:rPr>
          <w:rFonts w:ascii="Times New Roman" w:hAnsi="Times New Roman" w:cs="Times New Roman"/>
          <w:sz w:val="24"/>
          <w:szCs w:val="24"/>
          <w:lang w:val="pt-BR"/>
        </w:rPr>
        <w:t xml:space="preserve"> sustentáveis com</w:t>
      </w:r>
      <w:r w:rsidR="00A92014">
        <w:rPr>
          <w:rFonts w:ascii="Times New Roman" w:hAnsi="Times New Roman" w:cs="Times New Roman"/>
          <w:sz w:val="24"/>
          <w:szCs w:val="24"/>
          <w:lang w:val="pt-BR"/>
        </w:rPr>
        <w:t>o</w:t>
      </w:r>
      <w:r w:rsidRPr="00472344">
        <w:rPr>
          <w:rFonts w:ascii="Times New Roman" w:hAnsi="Times New Roman" w:cs="Times New Roman"/>
          <w:sz w:val="24"/>
          <w:szCs w:val="24"/>
          <w:lang w:val="pt-BR"/>
        </w:rPr>
        <w:t xml:space="preserve"> uma trajetória de</w:t>
      </w:r>
      <w:r w:rsidR="00C422BB">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equilíbrio intertemporal. Entretanto, só é possível observar os valores conhecidos</w:t>
      </w:r>
      <w:r w:rsidR="00C422BB">
        <w:rPr>
          <w:rFonts w:ascii="Times New Roman" w:hAnsi="Times New Roman" w:cs="Times New Roman"/>
          <w:sz w:val="24"/>
          <w:szCs w:val="24"/>
          <w:lang w:val="pt-BR"/>
        </w:rPr>
        <w:t xml:space="preserve"> </w:t>
      </w:r>
      <w:r w:rsidR="00B13276">
        <w:rPr>
          <w:rFonts w:ascii="Times New Roman" w:hAnsi="Times New Roman" w:cs="Times New Roman"/>
          <w:sz w:val="24"/>
          <w:szCs w:val="24"/>
          <w:lang w:val="pt-BR"/>
        </w:rPr>
        <w:t>(</w:t>
      </w:r>
      <w:r w:rsidRPr="00472344">
        <w:rPr>
          <w:rFonts w:ascii="Times New Roman" w:hAnsi="Times New Roman" w:cs="Times New Roman"/>
          <w:sz w:val="24"/>
          <w:szCs w:val="24"/>
          <w:lang w:val="pt-BR"/>
        </w:rPr>
        <w:t>correntes</w:t>
      </w:r>
      <w:r w:rsidR="00B13276">
        <w:rPr>
          <w:rFonts w:ascii="Times New Roman" w:hAnsi="Times New Roman" w:cs="Times New Roman"/>
          <w:sz w:val="24"/>
          <w:szCs w:val="24"/>
          <w:lang w:val="pt-BR"/>
        </w:rPr>
        <w:t xml:space="preserve"> e do passado</w:t>
      </w:r>
      <w:r w:rsidRPr="00472344">
        <w:rPr>
          <w:rFonts w:ascii="Times New Roman" w:hAnsi="Times New Roman" w:cs="Times New Roman"/>
          <w:sz w:val="24"/>
          <w:szCs w:val="24"/>
          <w:lang w:val="pt-BR"/>
        </w:rPr>
        <w:t>) destas variáveis. Assim, para calcular a TCRE de equilíbrio faz-se</w:t>
      </w:r>
      <w:r w:rsidR="00C422BB">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necessário isolar os valores permanentes dos fundamentos macroeco</w:t>
      </w:r>
      <w:r w:rsidR="00C422BB">
        <w:rPr>
          <w:rFonts w:ascii="Times New Roman" w:hAnsi="Times New Roman" w:cs="Times New Roman"/>
          <w:sz w:val="24"/>
          <w:szCs w:val="24"/>
          <w:lang w:val="pt-BR"/>
        </w:rPr>
        <w:t>nômicos da influência de suas fl</w:t>
      </w:r>
      <w:r w:rsidRPr="00472344">
        <w:rPr>
          <w:rFonts w:ascii="Times New Roman" w:hAnsi="Times New Roman" w:cs="Times New Roman"/>
          <w:sz w:val="24"/>
          <w:szCs w:val="24"/>
          <w:lang w:val="pt-BR"/>
        </w:rPr>
        <w:t>utuações de curto prazo.</w:t>
      </w:r>
    </w:p>
    <w:p w:rsidR="00C422BB" w:rsidRDefault="00C422BB" w:rsidP="00D95DC0">
      <w:pPr>
        <w:tabs>
          <w:tab w:val="left" w:pos="720"/>
        </w:tabs>
        <w:autoSpaceDE w:val="0"/>
        <w:autoSpaceDN w:val="0"/>
        <w:adjustRightInd w:val="0"/>
        <w:spacing w:after="0" w:line="24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Há várias técnicas para fi</w:t>
      </w:r>
      <w:r w:rsidR="00472344" w:rsidRPr="00472344">
        <w:rPr>
          <w:rFonts w:ascii="Times New Roman" w:hAnsi="Times New Roman" w:cs="Times New Roman"/>
          <w:sz w:val="24"/>
          <w:szCs w:val="24"/>
          <w:lang w:val="pt-BR"/>
        </w:rPr>
        <w:t>ltrar e decompor</w:t>
      </w:r>
      <w:r>
        <w:rPr>
          <w:rFonts w:ascii="Times New Roman" w:hAnsi="Times New Roman" w:cs="Times New Roman"/>
          <w:sz w:val="24"/>
          <w:szCs w:val="24"/>
          <w:lang w:val="pt-BR"/>
        </w:rPr>
        <w:t xml:space="preserve"> </w:t>
      </w:r>
      <w:r w:rsidR="00472344" w:rsidRPr="00472344">
        <w:rPr>
          <w:rFonts w:ascii="Times New Roman" w:hAnsi="Times New Roman" w:cs="Times New Roman"/>
          <w:sz w:val="24"/>
          <w:szCs w:val="24"/>
          <w:lang w:val="pt-BR"/>
        </w:rPr>
        <w:t xml:space="preserve">séries de tempo. Neste trabalho foi utilizado o </w:t>
      </w:r>
      <w:r>
        <w:rPr>
          <w:rFonts w:ascii="Times New Roman" w:hAnsi="Times New Roman" w:cs="Times New Roman"/>
          <w:sz w:val="24"/>
          <w:szCs w:val="24"/>
          <w:lang w:val="pt-BR"/>
        </w:rPr>
        <w:t>fi</w:t>
      </w:r>
      <w:r w:rsidR="00472344" w:rsidRPr="00472344">
        <w:rPr>
          <w:rFonts w:ascii="Times New Roman" w:hAnsi="Times New Roman" w:cs="Times New Roman"/>
          <w:sz w:val="24"/>
          <w:szCs w:val="24"/>
          <w:lang w:val="pt-BR"/>
        </w:rPr>
        <w:t>ltro Hodrick-Prescott (HP) para</w:t>
      </w:r>
      <w:r>
        <w:rPr>
          <w:rFonts w:ascii="Times New Roman" w:hAnsi="Times New Roman" w:cs="Times New Roman"/>
          <w:sz w:val="24"/>
          <w:szCs w:val="24"/>
          <w:lang w:val="pt-BR"/>
        </w:rPr>
        <w:t xml:space="preserve"> </w:t>
      </w:r>
      <w:r w:rsidR="00472344" w:rsidRPr="00472344">
        <w:rPr>
          <w:rFonts w:ascii="Times New Roman" w:hAnsi="Times New Roman" w:cs="Times New Roman"/>
          <w:sz w:val="24"/>
          <w:szCs w:val="24"/>
          <w:lang w:val="pt-BR"/>
        </w:rPr>
        <w:t xml:space="preserve">obter os valores permanentes ou de equilíbrio das variáveis fundamentais. </w:t>
      </w:r>
      <w:r>
        <w:rPr>
          <w:rFonts w:ascii="Times New Roman" w:hAnsi="Times New Roman" w:cs="Times New Roman"/>
          <w:sz w:val="24"/>
          <w:szCs w:val="24"/>
          <w:lang w:val="pt-BR"/>
        </w:rPr>
        <w:t xml:space="preserve">Assim, </w:t>
      </w:r>
      <w:r w:rsidR="00472344" w:rsidRPr="00472344">
        <w:rPr>
          <w:rFonts w:ascii="Times New Roman" w:hAnsi="Times New Roman" w:cs="Times New Roman"/>
          <w:sz w:val="24"/>
          <w:szCs w:val="24"/>
          <w:lang w:val="pt-BR"/>
        </w:rPr>
        <w:t>as estimativas da TCRE de longo prazo são obtidas substituindo-se os valores do</w:t>
      </w:r>
      <w:r>
        <w:rPr>
          <w:rFonts w:ascii="Times New Roman" w:hAnsi="Times New Roman" w:cs="Times New Roman"/>
          <w:sz w:val="24"/>
          <w:szCs w:val="24"/>
          <w:lang w:val="pt-BR"/>
        </w:rPr>
        <w:t xml:space="preserve"> </w:t>
      </w:r>
      <w:r w:rsidR="00472344" w:rsidRPr="00472344">
        <w:rPr>
          <w:rFonts w:ascii="Times New Roman" w:hAnsi="Times New Roman" w:cs="Times New Roman"/>
          <w:sz w:val="24"/>
          <w:szCs w:val="24"/>
          <w:lang w:val="pt-BR"/>
        </w:rPr>
        <w:t>componente permanente na equação de cointegração. Os índices de desalinhamento</w:t>
      </w:r>
      <w:r>
        <w:rPr>
          <w:rFonts w:ascii="Times New Roman" w:hAnsi="Times New Roman" w:cs="Times New Roman"/>
          <w:sz w:val="24"/>
          <w:szCs w:val="24"/>
          <w:lang w:val="pt-BR"/>
        </w:rPr>
        <w:t xml:space="preserve"> </w:t>
      </w:r>
      <w:r w:rsidR="00472344" w:rsidRPr="00472344">
        <w:rPr>
          <w:rFonts w:ascii="Times New Roman" w:hAnsi="Times New Roman" w:cs="Times New Roman"/>
          <w:sz w:val="24"/>
          <w:szCs w:val="24"/>
          <w:lang w:val="pt-BR"/>
        </w:rPr>
        <w:t>da TCRE computados correspondem à diferença entre a TCRE observada e a de</w:t>
      </w:r>
      <w:r>
        <w:rPr>
          <w:rFonts w:ascii="Times New Roman" w:hAnsi="Times New Roman" w:cs="Times New Roman"/>
          <w:sz w:val="24"/>
          <w:szCs w:val="24"/>
          <w:lang w:val="pt-BR"/>
        </w:rPr>
        <w:t xml:space="preserve"> </w:t>
      </w:r>
      <w:r w:rsidR="00472344" w:rsidRPr="00472344">
        <w:rPr>
          <w:rFonts w:ascii="Times New Roman" w:hAnsi="Times New Roman" w:cs="Times New Roman"/>
          <w:sz w:val="24"/>
          <w:szCs w:val="24"/>
          <w:lang w:val="pt-BR"/>
        </w:rPr>
        <w:t xml:space="preserve">equilíbrio, tomadas em logaritmos. </w:t>
      </w:r>
    </w:p>
    <w:p w:rsidR="00C422BB" w:rsidRDefault="00C422BB" w:rsidP="00D95DC0">
      <w:pPr>
        <w:tabs>
          <w:tab w:val="left" w:pos="720"/>
        </w:tabs>
        <w:autoSpaceDE w:val="0"/>
        <w:autoSpaceDN w:val="0"/>
        <w:adjustRightInd w:val="0"/>
        <w:spacing w:after="0" w:line="240" w:lineRule="auto"/>
        <w:ind w:firstLine="720"/>
        <w:jc w:val="both"/>
        <w:rPr>
          <w:rFonts w:ascii="Times New Roman" w:hAnsi="Times New Roman" w:cs="Times New Roman"/>
          <w:sz w:val="24"/>
          <w:szCs w:val="24"/>
          <w:lang w:val="pt-BR"/>
        </w:rPr>
      </w:pPr>
    </w:p>
    <w:p w:rsidR="00E3730D" w:rsidRDefault="006E1488" w:rsidP="00D95DC0">
      <w:pPr>
        <w:tabs>
          <w:tab w:val="left" w:pos="720"/>
        </w:tabs>
        <w:autoSpaceDE w:val="0"/>
        <w:autoSpaceDN w:val="0"/>
        <w:adjustRightInd w:val="0"/>
        <w:spacing w:after="0" w:line="240" w:lineRule="auto"/>
        <w:ind w:firstLine="720"/>
        <w:jc w:val="both"/>
        <w:rPr>
          <w:rFonts w:ascii="Times New Roman" w:hAnsi="Times New Roman" w:cs="Times New Roman"/>
          <w:sz w:val="24"/>
          <w:szCs w:val="24"/>
          <w:lang w:val="pt-BR"/>
        </w:rPr>
      </w:pPr>
      <m:oMathPara>
        <m:oMath>
          <m:func>
            <m:funcPr>
              <m:ctrlPr>
                <w:rPr>
                  <w:rFonts w:ascii="Cambria Math" w:hAnsi="Cambria Math" w:cs="Times New Roman"/>
                  <w:sz w:val="24"/>
                  <w:szCs w:val="24"/>
                  <w:lang w:val="pt-BR"/>
                </w:rPr>
              </m:ctrlPr>
            </m:funcPr>
            <m:fName>
              <m:r>
                <m:rPr>
                  <m:sty m:val="p"/>
                </m:rPr>
                <w:rPr>
                  <w:rFonts w:ascii="Cambria Math" w:hAnsi="Cambria Math" w:cs="Times New Roman"/>
                  <w:sz w:val="24"/>
                  <w:szCs w:val="24"/>
                  <w:lang w:val="pt-BR"/>
                </w:rPr>
                <m:t>ln</m:t>
              </m:r>
            </m:fName>
            <m:e>
              <m:d>
                <m:dPr>
                  <m:ctrlPr>
                    <w:rPr>
                      <w:rFonts w:ascii="Cambria Math" w:hAnsi="Cambria Math" w:cs="Times New Roman"/>
                      <w:i/>
                      <w:sz w:val="24"/>
                      <w:szCs w:val="24"/>
                      <w:lang w:val="pt-BR"/>
                    </w:rPr>
                  </m:ctrlPr>
                </m:dPr>
                <m:e>
                  <m:r>
                    <w:rPr>
                      <w:rFonts w:ascii="Cambria Math" w:hAnsi="Cambria Math" w:cs="Times New Roman"/>
                      <w:sz w:val="24"/>
                      <w:szCs w:val="24"/>
                      <w:lang w:val="pt-BR"/>
                    </w:rPr>
                    <m:t>Sobrevalorização Real</m:t>
                  </m:r>
                </m:e>
              </m:d>
              <m:ctrlPr>
                <w:rPr>
                  <w:rFonts w:ascii="Cambria Math" w:hAnsi="Cambria Math" w:cs="Times New Roman"/>
                  <w:i/>
                  <w:sz w:val="24"/>
                  <w:szCs w:val="24"/>
                  <w:lang w:val="pt-BR"/>
                </w:rPr>
              </m:ctrlPr>
            </m:e>
          </m:func>
          <m:r>
            <w:rPr>
              <w:rFonts w:ascii="Cambria Math" w:hAnsi="Cambria Math" w:cs="Times New Roman"/>
              <w:sz w:val="24"/>
              <w:szCs w:val="24"/>
              <w:lang w:val="pt-BR"/>
            </w:rPr>
            <m:t>=</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lnREER</m:t>
              </m:r>
            </m:e>
            <m:sub>
              <m:r>
                <w:rPr>
                  <w:rFonts w:ascii="Cambria Math" w:hAnsi="Cambria Math" w:cs="Times New Roman"/>
                  <w:sz w:val="24"/>
                  <w:szCs w:val="24"/>
                  <w:lang w:val="pt-BR"/>
                </w:rPr>
                <m:t>it</m:t>
              </m:r>
            </m:sub>
          </m:sSub>
          <m:r>
            <w:rPr>
              <w:rFonts w:ascii="Cambria Math" w:hAnsi="Cambria Math" w:cs="Times New Roman"/>
              <w:sz w:val="24"/>
              <w:szCs w:val="24"/>
              <w:lang w:val="pt-BR"/>
            </w:rPr>
            <m:t>-</m:t>
          </m:r>
          <m:sSub>
            <m:sSubPr>
              <m:ctrlPr>
                <w:rPr>
                  <w:rFonts w:ascii="Cambria Math" w:hAnsi="Cambria Math" w:cs="Times New Roman"/>
                  <w:i/>
                  <w:sz w:val="24"/>
                  <w:szCs w:val="24"/>
                  <w:lang w:val="pt-BR"/>
                </w:rPr>
              </m:ctrlPr>
            </m:sSubPr>
            <m:e>
              <m:acc>
                <m:accPr>
                  <m:ctrlPr>
                    <w:rPr>
                      <w:rFonts w:ascii="Cambria Math" w:hAnsi="Cambria Math" w:cs="Times New Roman"/>
                      <w:i/>
                      <w:sz w:val="24"/>
                      <w:szCs w:val="24"/>
                      <w:lang w:val="pt-BR"/>
                    </w:rPr>
                  </m:ctrlPr>
                </m:accPr>
                <m:e>
                  <m:r>
                    <w:rPr>
                      <w:rFonts w:ascii="Cambria Math" w:hAnsi="Cambria Math" w:cs="Times New Roman"/>
                      <w:sz w:val="24"/>
                      <w:szCs w:val="24"/>
                      <w:lang w:val="pt-BR"/>
                    </w:rPr>
                    <m:t>lnREER</m:t>
                  </m:r>
                </m:e>
              </m:acc>
            </m:e>
            <m:sub>
              <m:r>
                <w:rPr>
                  <w:rFonts w:ascii="Cambria Math" w:hAnsi="Cambria Math" w:cs="Times New Roman"/>
                  <w:sz w:val="24"/>
                  <w:szCs w:val="24"/>
                  <w:lang w:val="pt-BR"/>
                </w:rPr>
                <m:t>it</m:t>
              </m:r>
            </m:sub>
          </m:sSub>
        </m:oMath>
      </m:oMathPara>
    </w:p>
    <w:p w:rsidR="003949EF" w:rsidRDefault="003949EF" w:rsidP="00D95DC0">
      <w:pPr>
        <w:tabs>
          <w:tab w:val="left" w:pos="720"/>
        </w:tabs>
        <w:autoSpaceDE w:val="0"/>
        <w:autoSpaceDN w:val="0"/>
        <w:adjustRightInd w:val="0"/>
        <w:spacing w:after="0" w:line="240" w:lineRule="auto"/>
        <w:ind w:firstLine="720"/>
        <w:jc w:val="both"/>
        <w:rPr>
          <w:rFonts w:ascii="Times New Roman" w:hAnsi="Times New Roman" w:cs="Times New Roman"/>
          <w:sz w:val="24"/>
          <w:szCs w:val="24"/>
          <w:lang w:val="pt-BR"/>
        </w:rPr>
      </w:pPr>
    </w:p>
    <w:p w:rsidR="003949EF" w:rsidRDefault="003949EF" w:rsidP="00D95DC0">
      <w:pPr>
        <w:tabs>
          <w:tab w:val="left" w:pos="720"/>
        </w:tabs>
        <w:autoSpaceDE w:val="0"/>
        <w:autoSpaceDN w:val="0"/>
        <w:adjustRightInd w:val="0"/>
        <w:spacing w:after="0" w:line="240" w:lineRule="auto"/>
        <w:ind w:firstLine="720"/>
        <w:jc w:val="both"/>
        <w:rPr>
          <w:rFonts w:ascii="Times New Roman" w:hAnsi="Times New Roman" w:cs="Times New Roman"/>
          <w:sz w:val="24"/>
          <w:szCs w:val="24"/>
          <w:lang w:val="pt-BR"/>
        </w:rPr>
      </w:pPr>
    </w:p>
    <w:p w:rsidR="00472344" w:rsidRPr="00472344" w:rsidRDefault="00472344" w:rsidP="00D95DC0">
      <w:pPr>
        <w:tabs>
          <w:tab w:val="left" w:pos="720"/>
        </w:tabs>
        <w:autoSpaceDE w:val="0"/>
        <w:autoSpaceDN w:val="0"/>
        <w:adjustRightInd w:val="0"/>
        <w:spacing w:after="0" w:line="240" w:lineRule="auto"/>
        <w:ind w:firstLine="720"/>
        <w:jc w:val="both"/>
        <w:rPr>
          <w:rFonts w:ascii="Times New Roman" w:hAnsi="Times New Roman" w:cs="Times New Roman"/>
          <w:sz w:val="24"/>
          <w:szCs w:val="24"/>
          <w:lang w:val="pt-BR"/>
        </w:rPr>
      </w:pPr>
      <w:r w:rsidRPr="00472344">
        <w:rPr>
          <w:rFonts w:ascii="Times New Roman" w:hAnsi="Times New Roman" w:cs="Times New Roman"/>
          <w:sz w:val="24"/>
          <w:szCs w:val="24"/>
          <w:lang w:val="pt-BR"/>
        </w:rPr>
        <w:t>A idéia é caracterizar a TCRE de equilíbrio de</w:t>
      </w:r>
      <w:r w:rsidR="00C422BB">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longo prazo como aquela que corresponde aos valores sustentáveis dos fundamentos</w:t>
      </w:r>
      <w:r w:rsidR="00C422BB">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macroeconô</w:t>
      </w:r>
      <w:r w:rsidR="00C422BB">
        <w:rPr>
          <w:rFonts w:ascii="Times New Roman" w:hAnsi="Times New Roman" w:cs="Times New Roman"/>
          <w:sz w:val="24"/>
          <w:szCs w:val="24"/>
          <w:lang w:val="pt-BR"/>
        </w:rPr>
        <w:t>micos. Assim, é possível identifi</w:t>
      </w:r>
      <w:r w:rsidRPr="00472344">
        <w:rPr>
          <w:rFonts w:ascii="Times New Roman" w:hAnsi="Times New Roman" w:cs="Times New Roman"/>
          <w:sz w:val="24"/>
          <w:szCs w:val="24"/>
          <w:lang w:val="pt-BR"/>
        </w:rPr>
        <w:t>car grandes episódios de desalinhamento</w:t>
      </w:r>
      <w:r w:rsidR="00C422BB">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e prover um apontamento quantitativo da exte</w:t>
      </w:r>
      <w:r w:rsidR="00C422BB">
        <w:rPr>
          <w:rFonts w:ascii="Times New Roman" w:hAnsi="Times New Roman" w:cs="Times New Roman"/>
          <w:sz w:val="24"/>
          <w:szCs w:val="24"/>
          <w:lang w:val="pt-BR"/>
        </w:rPr>
        <w:t>nsão na qual a TCRE está em con</w:t>
      </w:r>
      <w:r w:rsidRPr="00472344">
        <w:rPr>
          <w:rFonts w:ascii="Times New Roman" w:hAnsi="Times New Roman" w:cs="Times New Roman"/>
          <w:sz w:val="24"/>
          <w:szCs w:val="24"/>
          <w:lang w:val="pt-BR"/>
        </w:rPr>
        <w:t>formidade com seus fundamentos econômicos sustentáveis de longo prazo. Uma vez</w:t>
      </w:r>
      <w:r w:rsidR="00C422BB">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obtido o índice de desalinhamento, é possível buscar seus determinantes em variáveis</w:t>
      </w:r>
      <w:r w:rsidR="00C422BB">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de política econômica a causa da persistência dos desalinhamentos da TCR, na linha</w:t>
      </w:r>
      <w:r w:rsidR="00C422BB">
        <w:rPr>
          <w:rFonts w:ascii="Times New Roman" w:hAnsi="Times New Roman" w:cs="Times New Roman"/>
          <w:sz w:val="24"/>
          <w:szCs w:val="24"/>
          <w:lang w:val="pt-BR"/>
        </w:rPr>
        <w:t xml:space="preserve"> </w:t>
      </w:r>
      <w:r w:rsidRPr="00472344">
        <w:rPr>
          <w:rFonts w:ascii="Times New Roman" w:hAnsi="Times New Roman" w:cs="Times New Roman"/>
          <w:sz w:val="24"/>
          <w:szCs w:val="24"/>
          <w:lang w:val="pt-BR"/>
        </w:rPr>
        <w:t xml:space="preserve">da argumentação </w:t>
      </w:r>
      <w:r w:rsidR="00C422BB">
        <w:rPr>
          <w:rFonts w:ascii="Times New Roman" w:hAnsi="Times New Roman" w:cs="Times New Roman"/>
          <w:sz w:val="24"/>
          <w:szCs w:val="24"/>
          <w:lang w:val="pt-BR"/>
        </w:rPr>
        <w:t>explicada</w:t>
      </w:r>
      <w:r w:rsidRPr="00472344">
        <w:rPr>
          <w:rFonts w:ascii="Times New Roman" w:hAnsi="Times New Roman" w:cs="Times New Roman"/>
          <w:sz w:val="24"/>
          <w:szCs w:val="24"/>
          <w:lang w:val="pt-BR"/>
        </w:rPr>
        <w:t xml:space="preserve"> a seguir</w:t>
      </w:r>
      <w:r w:rsidR="00C422BB">
        <w:rPr>
          <w:rFonts w:ascii="Times New Roman" w:hAnsi="Times New Roman" w:cs="Times New Roman"/>
          <w:sz w:val="24"/>
          <w:szCs w:val="24"/>
          <w:lang w:val="pt-BR"/>
        </w:rPr>
        <w:t>.</w:t>
      </w:r>
    </w:p>
    <w:p w:rsidR="00472344" w:rsidRPr="00472344" w:rsidRDefault="00472344" w:rsidP="00D95DC0">
      <w:pPr>
        <w:tabs>
          <w:tab w:val="left" w:pos="720"/>
        </w:tabs>
        <w:spacing w:after="0" w:line="240" w:lineRule="auto"/>
        <w:ind w:firstLine="720"/>
        <w:jc w:val="both"/>
        <w:rPr>
          <w:rFonts w:ascii="Times New Roman" w:hAnsi="Times New Roman" w:cs="Times New Roman"/>
          <w:sz w:val="24"/>
          <w:szCs w:val="24"/>
          <w:lang w:val="pt-BR"/>
        </w:rPr>
      </w:pPr>
    </w:p>
    <w:p w:rsidR="00EF4F55" w:rsidRPr="00472344" w:rsidRDefault="00725358" w:rsidP="00D95DC0">
      <w:pPr>
        <w:tabs>
          <w:tab w:val="left" w:pos="720"/>
          <w:tab w:val="left" w:pos="9270"/>
        </w:tabs>
        <w:spacing w:after="0" w:line="240" w:lineRule="auto"/>
        <w:ind w:firstLine="720"/>
        <w:rPr>
          <w:rFonts w:ascii="Times New Roman" w:eastAsia="Calibri" w:hAnsi="Times New Roman" w:cs="Times New Roman"/>
          <w:sz w:val="24"/>
          <w:szCs w:val="24"/>
          <w:lang w:val="pt-BR"/>
        </w:rPr>
      </w:pPr>
      <w:r>
        <w:rPr>
          <w:rFonts w:ascii="Times New Roman" w:hAnsi="Times New Roman" w:cs="Times New Roman"/>
          <w:i/>
          <w:sz w:val="24"/>
          <w:szCs w:val="24"/>
          <w:lang w:val="pt-BR"/>
        </w:rPr>
        <w:t>2.3</w:t>
      </w:r>
      <w:r w:rsidR="00150C30" w:rsidRPr="00472344">
        <w:rPr>
          <w:rFonts w:ascii="Times New Roman" w:hAnsi="Times New Roman" w:cs="Times New Roman"/>
          <w:i/>
          <w:sz w:val="24"/>
          <w:szCs w:val="24"/>
          <w:lang w:val="pt-BR"/>
        </w:rPr>
        <w:t xml:space="preserve">. </w:t>
      </w:r>
      <w:r w:rsidR="000C3E9A">
        <w:rPr>
          <w:rFonts w:ascii="Times New Roman" w:hAnsi="Times New Roman" w:cs="Times New Roman"/>
          <w:i/>
          <w:sz w:val="24"/>
          <w:szCs w:val="24"/>
          <w:lang w:val="pt-BR"/>
        </w:rPr>
        <w:t>Determinantes de desalinhamento da TCR</w:t>
      </w:r>
      <w:r w:rsidR="00150C30" w:rsidRPr="00472344">
        <w:rPr>
          <w:rFonts w:ascii="Times New Roman" w:hAnsi="Times New Roman" w:cs="Times New Roman"/>
          <w:i/>
          <w:sz w:val="24"/>
          <w:szCs w:val="24"/>
          <w:lang w:val="pt-BR"/>
        </w:rPr>
        <w:t>.</w:t>
      </w:r>
    </w:p>
    <w:p w:rsidR="00DB7227" w:rsidRDefault="00DB7227" w:rsidP="00D95DC0">
      <w:pPr>
        <w:tabs>
          <w:tab w:val="left" w:pos="720"/>
          <w:tab w:val="left" w:pos="9270"/>
        </w:tabs>
        <w:spacing w:after="0" w:line="240" w:lineRule="auto"/>
        <w:ind w:firstLine="720"/>
        <w:jc w:val="both"/>
        <w:rPr>
          <w:rFonts w:ascii="Times New Roman" w:eastAsia="Calibri" w:hAnsi="Times New Roman" w:cs="Times New Roman"/>
          <w:sz w:val="24"/>
          <w:szCs w:val="24"/>
          <w:lang w:val="pt-BR"/>
        </w:rPr>
      </w:pPr>
    </w:p>
    <w:p w:rsidR="00BC412E" w:rsidRPr="00472344" w:rsidRDefault="00EF4F55" w:rsidP="00D95DC0">
      <w:pPr>
        <w:tabs>
          <w:tab w:val="left" w:pos="720"/>
          <w:tab w:val="left" w:pos="9270"/>
        </w:tabs>
        <w:spacing w:after="0" w:line="240" w:lineRule="auto"/>
        <w:ind w:firstLine="720"/>
        <w:jc w:val="both"/>
        <w:rPr>
          <w:rFonts w:ascii="Times New Roman" w:hAnsi="Times New Roman" w:cs="Times New Roman"/>
          <w:sz w:val="24"/>
          <w:szCs w:val="24"/>
          <w:lang w:val="pt-BR"/>
        </w:rPr>
      </w:pPr>
      <w:r w:rsidRPr="00472344">
        <w:rPr>
          <w:rFonts w:ascii="Times New Roman" w:eastAsia="Calibri" w:hAnsi="Times New Roman" w:cs="Times New Roman"/>
          <w:sz w:val="24"/>
          <w:szCs w:val="24"/>
          <w:lang w:val="pt-BR"/>
        </w:rPr>
        <w:t xml:space="preserve">Para propósitos de política e análise, é útil distinguir </w:t>
      </w:r>
      <w:r w:rsidR="00BC412E" w:rsidRPr="00472344">
        <w:rPr>
          <w:rFonts w:ascii="Times New Roman" w:hAnsi="Times New Roman" w:cs="Times New Roman"/>
          <w:sz w:val="24"/>
          <w:szCs w:val="24"/>
          <w:lang w:val="pt-BR"/>
        </w:rPr>
        <w:t xml:space="preserve">as causas de desalinhamentos que a literatura </w:t>
      </w:r>
      <w:r w:rsidR="001B63E5">
        <w:rPr>
          <w:rFonts w:ascii="Times New Roman" w:hAnsi="Times New Roman" w:cs="Times New Roman"/>
          <w:sz w:val="24"/>
          <w:szCs w:val="24"/>
          <w:lang w:val="pt-BR"/>
        </w:rPr>
        <w:t>tem</w:t>
      </w:r>
      <w:r w:rsidR="00BC412E" w:rsidRPr="00472344">
        <w:rPr>
          <w:rFonts w:ascii="Times New Roman" w:hAnsi="Times New Roman" w:cs="Times New Roman"/>
          <w:sz w:val="24"/>
          <w:szCs w:val="24"/>
          <w:lang w:val="pt-BR"/>
        </w:rPr>
        <w:t xml:space="preserve"> sublinhado.</w:t>
      </w:r>
    </w:p>
    <w:p w:rsidR="004F3698" w:rsidRPr="00DA10E3" w:rsidRDefault="00DA10E3" w:rsidP="00D95DC0">
      <w:pPr>
        <w:tabs>
          <w:tab w:val="left" w:pos="720"/>
          <w:tab w:val="left" w:pos="9270"/>
        </w:tabs>
        <w:spacing w:after="0" w:line="24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Há o</w:t>
      </w:r>
      <w:r w:rsidR="00EF4F55" w:rsidRPr="00DA10E3">
        <w:rPr>
          <w:rFonts w:ascii="Times New Roman" w:eastAsia="Calibri" w:hAnsi="Times New Roman" w:cs="Times New Roman"/>
          <w:sz w:val="24"/>
          <w:szCs w:val="24"/>
          <w:lang w:val="pt-BR"/>
        </w:rPr>
        <w:t xml:space="preserve"> desalinhamento induzido pela macroeconomia, que ocorre devido às inconsistências entre as políticas macroeconômicas, especialmente a monetária, e o sistema oficial de taxa de câmbio nominal</w:t>
      </w:r>
      <w:r w:rsidR="00EF4F55" w:rsidRPr="00DA10E3">
        <w:rPr>
          <w:rFonts w:ascii="Times New Roman" w:hAnsi="Times New Roman" w:cs="Times New Roman"/>
          <w:sz w:val="24"/>
          <w:szCs w:val="24"/>
          <w:lang w:val="pt-BR"/>
        </w:rPr>
        <w:t>, ou o regime cambial (Edwards, 1988)</w:t>
      </w:r>
      <w:r w:rsidR="00EF4F55" w:rsidRPr="00DA10E3">
        <w:rPr>
          <w:rFonts w:ascii="Times New Roman" w:eastAsia="Calibri" w:hAnsi="Times New Roman" w:cs="Times New Roman"/>
          <w:sz w:val="24"/>
          <w:szCs w:val="24"/>
          <w:lang w:val="pt-BR"/>
        </w:rPr>
        <w:t>.</w:t>
      </w:r>
      <w:r w:rsidR="00EF4F55" w:rsidRPr="00DA10E3">
        <w:rPr>
          <w:rFonts w:ascii="Times New Roman" w:hAnsi="Times New Roman" w:cs="Times New Roman"/>
          <w:sz w:val="24"/>
          <w:szCs w:val="24"/>
          <w:lang w:val="pt-BR"/>
        </w:rPr>
        <w:t xml:space="preserve"> Por exemplo, quando temos uma</w:t>
      </w:r>
      <w:r w:rsidR="00EF4F55" w:rsidRPr="00DA10E3">
        <w:rPr>
          <w:rFonts w:ascii="Times New Roman" w:eastAsia="Calibri" w:hAnsi="Times New Roman" w:cs="Times New Roman"/>
          <w:sz w:val="24"/>
          <w:szCs w:val="24"/>
          <w:lang w:val="pt-BR"/>
        </w:rPr>
        <w:t xml:space="preserve"> política monetária </w:t>
      </w:r>
      <w:r w:rsidR="00EF4F55" w:rsidRPr="00DA10E3">
        <w:rPr>
          <w:rFonts w:ascii="Times New Roman" w:hAnsi="Times New Roman" w:cs="Times New Roman"/>
          <w:sz w:val="24"/>
          <w:szCs w:val="24"/>
          <w:lang w:val="pt-BR"/>
        </w:rPr>
        <w:t>expansiva – seja devido a um</w:t>
      </w:r>
      <w:r w:rsidR="00EF4F55" w:rsidRPr="00DA10E3">
        <w:rPr>
          <w:rFonts w:ascii="Times New Roman" w:eastAsia="Calibri" w:hAnsi="Times New Roman" w:cs="Times New Roman"/>
          <w:sz w:val="24"/>
          <w:szCs w:val="24"/>
          <w:lang w:val="pt-BR"/>
        </w:rPr>
        <w:t xml:space="preserve"> déficit fiscal ou</w:t>
      </w:r>
      <w:r w:rsidR="00EF4F55" w:rsidRPr="00DA10E3">
        <w:rPr>
          <w:rFonts w:ascii="Times New Roman" w:hAnsi="Times New Roman" w:cs="Times New Roman"/>
          <w:sz w:val="24"/>
          <w:szCs w:val="24"/>
          <w:lang w:val="pt-BR"/>
        </w:rPr>
        <w:t xml:space="preserve"> por</w:t>
      </w:r>
      <w:r w:rsidR="00EF4F55" w:rsidRPr="00DA10E3">
        <w:rPr>
          <w:rFonts w:ascii="Times New Roman" w:eastAsia="Calibri" w:hAnsi="Times New Roman" w:cs="Times New Roman"/>
          <w:sz w:val="24"/>
          <w:szCs w:val="24"/>
          <w:lang w:val="pt-BR"/>
        </w:rPr>
        <w:t xml:space="preserve"> outras razões – e excede a trajetória compatível com a de uma taxa de câmbio nominal </w:t>
      </w:r>
      <w:r w:rsidR="00EF4F55" w:rsidRPr="00DA10E3">
        <w:rPr>
          <w:rFonts w:ascii="Times New Roman" w:hAnsi="Times New Roman" w:cs="Times New Roman"/>
          <w:sz w:val="24"/>
          <w:szCs w:val="24"/>
          <w:lang w:val="pt-BR"/>
        </w:rPr>
        <w:t>no âmbito de um regime fixo</w:t>
      </w:r>
      <w:r w:rsidR="00EF4F55" w:rsidRPr="00DA10E3">
        <w:rPr>
          <w:rFonts w:ascii="Times New Roman" w:eastAsia="Calibri" w:hAnsi="Times New Roman" w:cs="Times New Roman"/>
          <w:sz w:val="24"/>
          <w:szCs w:val="24"/>
          <w:lang w:val="pt-BR"/>
        </w:rPr>
        <w:t xml:space="preserve">, o preço dos bens domésticos tenderão a crescer a uma taxa maior do que a inflação mundial. Como resultado, </w:t>
      </w:r>
      <w:r w:rsidR="00EF4F55" w:rsidRPr="00DA10E3">
        <w:rPr>
          <w:rFonts w:ascii="Times New Roman" w:eastAsia="Calibri" w:hAnsi="Times New Roman" w:cs="Times New Roman"/>
          <w:sz w:val="24"/>
          <w:szCs w:val="24"/>
          <w:lang w:val="pt-BR"/>
        </w:rPr>
        <w:lastRenderedPageBreak/>
        <w:t xml:space="preserve">a </w:t>
      </w:r>
      <w:r w:rsidR="00EF4F55" w:rsidRPr="00DA10E3">
        <w:rPr>
          <w:rFonts w:ascii="Times New Roman" w:hAnsi="Times New Roman" w:cs="Times New Roman"/>
          <w:sz w:val="24"/>
          <w:szCs w:val="24"/>
          <w:lang w:val="pt-BR"/>
        </w:rPr>
        <w:t>TCR</w:t>
      </w:r>
      <w:r w:rsidR="00EF4F55" w:rsidRPr="00DA10E3">
        <w:rPr>
          <w:rFonts w:ascii="Times New Roman" w:eastAsia="Calibri" w:hAnsi="Times New Roman" w:cs="Times New Roman"/>
          <w:sz w:val="24"/>
          <w:szCs w:val="24"/>
          <w:lang w:val="pt-BR"/>
        </w:rPr>
        <w:t xml:space="preserve"> experimentará uma apreciação real</w:t>
      </w:r>
      <w:r w:rsidR="00EF4F55" w:rsidRPr="00DA10E3">
        <w:rPr>
          <w:rFonts w:ascii="Times New Roman" w:hAnsi="Times New Roman" w:cs="Times New Roman"/>
          <w:sz w:val="24"/>
          <w:szCs w:val="24"/>
          <w:lang w:val="pt-BR"/>
        </w:rPr>
        <w:t xml:space="preserve"> que pode ser persistente e nociva</w:t>
      </w:r>
      <w:r w:rsidR="00EF4F55" w:rsidRPr="00DA10E3">
        <w:rPr>
          <w:rFonts w:ascii="Times New Roman" w:eastAsia="Calibri" w:hAnsi="Times New Roman" w:cs="Times New Roman"/>
          <w:sz w:val="24"/>
          <w:szCs w:val="24"/>
          <w:lang w:val="pt-BR"/>
        </w:rPr>
        <w:t>.</w:t>
      </w:r>
      <w:r w:rsidR="00EF4F55" w:rsidRPr="00DA10E3">
        <w:rPr>
          <w:rFonts w:ascii="Times New Roman" w:hAnsi="Times New Roman" w:cs="Times New Roman"/>
          <w:sz w:val="24"/>
          <w:szCs w:val="24"/>
          <w:lang w:val="pt-BR"/>
        </w:rPr>
        <w:t xml:space="preserve"> A inflação tem aí sua contribuição para a existência do desalinhamento</w:t>
      </w:r>
      <w:r w:rsidR="00EF4F55" w:rsidRPr="00635FFF">
        <w:rPr>
          <w:rStyle w:val="Refdenotaderodap"/>
          <w:rFonts w:ascii="Times New Roman" w:hAnsi="Times New Roman" w:cs="Times New Roman"/>
          <w:sz w:val="24"/>
          <w:szCs w:val="24"/>
          <w:lang w:val="pt-BR"/>
        </w:rPr>
        <w:footnoteReference w:id="2"/>
      </w:r>
      <w:r w:rsidR="00EF4F55" w:rsidRPr="00DA10E3">
        <w:rPr>
          <w:rFonts w:ascii="Times New Roman" w:hAnsi="Times New Roman" w:cs="Times New Roman"/>
          <w:sz w:val="24"/>
          <w:szCs w:val="24"/>
          <w:lang w:val="pt-BR"/>
        </w:rPr>
        <w:t>.</w:t>
      </w:r>
      <w:r w:rsidR="00EF4F55" w:rsidRPr="00DA10E3">
        <w:rPr>
          <w:rFonts w:ascii="Times New Roman" w:eastAsia="Calibri" w:hAnsi="Times New Roman" w:cs="Times New Roman"/>
          <w:sz w:val="24"/>
          <w:szCs w:val="24"/>
          <w:lang w:val="pt-BR"/>
        </w:rPr>
        <w:t xml:space="preserve"> </w:t>
      </w:r>
    </w:p>
    <w:p w:rsidR="00DB7227" w:rsidRPr="00DA10E3" w:rsidRDefault="00DA10E3" w:rsidP="00D95DC0">
      <w:pPr>
        <w:tabs>
          <w:tab w:val="left" w:pos="720"/>
          <w:tab w:val="left" w:pos="9270"/>
        </w:tabs>
        <w:spacing w:after="0" w:line="240" w:lineRule="auto"/>
        <w:ind w:firstLine="720"/>
        <w:jc w:val="both"/>
        <w:rPr>
          <w:lang w:val="pt-BR"/>
        </w:rPr>
      </w:pPr>
      <w:r>
        <w:rPr>
          <w:rFonts w:ascii="Times New Roman" w:eastAsia="Calibri" w:hAnsi="Times New Roman" w:cs="Times New Roman"/>
          <w:sz w:val="24"/>
          <w:szCs w:val="24"/>
          <w:lang w:val="pt-BR"/>
        </w:rPr>
        <w:t xml:space="preserve">É comum a ocorrência de </w:t>
      </w:r>
      <w:r w:rsidR="00EF4F55" w:rsidRPr="00DA10E3">
        <w:rPr>
          <w:rFonts w:ascii="Times New Roman" w:eastAsia="Calibri" w:hAnsi="Times New Roman" w:cs="Times New Roman"/>
          <w:sz w:val="24"/>
          <w:szCs w:val="24"/>
          <w:lang w:val="pt-BR"/>
        </w:rPr>
        <w:t>desalinhamento</w:t>
      </w:r>
      <w:r>
        <w:rPr>
          <w:rFonts w:ascii="Times New Roman" w:eastAsia="Calibri" w:hAnsi="Times New Roman" w:cs="Times New Roman"/>
          <w:sz w:val="24"/>
          <w:szCs w:val="24"/>
          <w:lang w:val="pt-BR"/>
        </w:rPr>
        <w:t>s estruturais</w:t>
      </w:r>
      <w:r w:rsidR="00BC412E" w:rsidRPr="00DA10E3">
        <w:rPr>
          <w:rFonts w:ascii="Times New Roman" w:hAnsi="Times New Roman" w:cs="Times New Roman"/>
          <w:sz w:val="24"/>
          <w:szCs w:val="24"/>
          <w:lang w:val="pt-BR"/>
        </w:rPr>
        <w:t xml:space="preserve"> de curto prazo</w:t>
      </w:r>
      <w:r w:rsidR="00EF4F55" w:rsidRPr="00DA10E3">
        <w:rPr>
          <w:rFonts w:ascii="Times New Roman" w:eastAsia="Calibri" w:hAnsi="Times New Roman" w:cs="Times New Roman"/>
          <w:sz w:val="24"/>
          <w:szCs w:val="24"/>
          <w:lang w:val="pt-BR"/>
        </w:rPr>
        <w:t>, que existe quando há mudança nos determinantes reais ou</w:t>
      </w:r>
      <w:r w:rsidR="00EF4F55" w:rsidRPr="00DA10E3">
        <w:rPr>
          <w:rFonts w:ascii="Times New Roman" w:hAnsi="Times New Roman" w:cs="Times New Roman"/>
          <w:sz w:val="24"/>
          <w:szCs w:val="24"/>
          <w:lang w:val="pt-BR"/>
        </w:rPr>
        <w:t xml:space="preserve"> fundamentais da TCR</w:t>
      </w:r>
      <w:r w:rsidR="00EF4F55" w:rsidRPr="00DA10E3">
        <w:rPr>
          <w:rFonts w:ascii="Times New Roman" w:eastAsia="Calibri" w:hAnsi="Times New Roman" w:cs="Times New Roman"/>
          <w:sz w:val="24"/>
          <w:szCs w:val="24"/>
          <w:lang w:val="pt-BR"/>
        </w:rPr>
        <w:t xml:space="preserve"> de equilíbrio que não é no </w:t>
      </w:r>
      <w:r w:rsidR="004F3698" w:rsidRPr="00DA10E3">
        <w:rPr>
          <w:rFonts w:ascii="Times New Roman" w:eastAsia="Calibri" w:hAnsi="Times New Roman" w:cs="Times New Roman"/>
          <w:sz w:val="24"/>
          <w:szCs w:val="24"/>
          <w:lang w:val="pt-BR"/>
        </w:rPr>
        <w:t>curto prazo t</w:t>
      </w:r>
      <w:r w:rsidR="004F3698" w:rsidRPr="00DA10E3">
        <w:rPr>
          <w:rFonts w:ascii="Times New Roman" w:hAnsi="Times New Roman" w:cs="Times New Roman"/>
          <w:sz w:val="24"/>
          <w:szCs w:val="24"/>
          <w:lang w:val="pt-BR"/>
        </w:rPr>
        <w:t>raduzido em reais mudanças na TCR</w:t>
      </w:r>
      <w:r w:rsidR="00EF4F55" w:rsidRPr="00DA10E3">
        <w:rPr>
          <w:rFonts w:ascii="Times New Roman" w:hAnsi="Times New Roman" w:cs="Times New Roman"/>
          <w:sz w:val="24"/>
          <w:szCs w:val="24"/>
          <w:lang w:val="pt-BR"/>
        </w:rPr>
        <w:t xml:space="preserve"> (choques de produtividade, como o efeito Balassa-Samuelson, por exemplo)</w:t>
      </w:r>
      <w:r w:rsidR="00EF4F55" w:rsidRPr="00DA10E3">
        <w:rPr>
          <w:rFonts w:ascii="Times New Roman" w:eastAsia="Calibri" w:hAnsi="Times New Roman" w:cs="Times New Roman"/>
          <w:sz w:val="24"/>
          <w:szCs w:val="24"/>
          <w:lang w:val="pt-BR"/>
        </w:rPr>
        <w:t xml:space="preserve">. </w:t>
      </w:r>
      <w:r w:rsidR="00EF4F55" w:rsidRPr="00DA10E3">
        <w:rPr>
          <w:rFonts w:ascii="Times New Roman" w:hAnsi="Times New Roman" w:cs="Times New Roman"/>
          <w:sz w:val="24"/>
          <w:szCs w:val="24"/>
          <w:lang w:val="pt-BR"/>
        </w:rPr>
        <w:t>Esse desalinhamento é temporário, fruto de mudanças nas variáveis de equilíbrio dos fundamentos</w:t>
      </w:r>
      <w:r w:rsidR="00BC412E" w:rsidRPr="00DA10E3">
        <w:rPr>
          <w:rFonts w:ascii="Times New Roman" w:hAnsi="Times New Roman" w:cs="Times New Roman"/>
          <w:sz w:val="24"/>
          <w:szCs w:val="24"/>
          <w:lang w:val="pt-BR"/>
        </w:rPr>
        <w:t>,</w:t>
      </w:r>
      <w:r w:rsidR="00EF4F55" w:rsidRPr="00DA10E3">
        <w:rPr>
          <w:rFonts w:ascii="Times New Roman" w:hAnsi="Times New Roman" w:cs="Times New Roman"/>
          <w:sz w:val="24"/>
          <w:szCs w:val="24"/>
          <w:lang w:val="pt-BR"/>
        </w:rPr>
        <w:t xml:space="preserve"> que tomam </w:t>
      </w:r>
      <w:r w:rsidR="00BC412E" w:rsidRPr="00DA10E3">
        <w:rPr>
          <w:rFonts w:ascii="Times New Roman" w:hAnsi="Times New Roman" w:cs="Times New Roman"/>
          <w:sz w:val="24"/>
          <w:szCs w:val="24"/>
          <w:lang w:val="pt-BR"/>
        </w:rPr>
        <w:t>certo</w:t>
      </w:r>
      <w:r w:rsidR="00EF4F55" w:rsidRPr="00DA10E3">
        <w:rPr>
          <w:rFonts w:ascii="Times New Roman" w:hAnsi="Times New Roman" w:cs="Times New Roman"/>
          <w:sz w:val="24"/>
          <w:szCs w:val="24"/>
          <w:lang w:val="pt-BR"/>
        </w:rPr>
        <w:t xml:space="preserve"> prazo de ajuste e não persiste no longo</w:t>
      </w:r>
      <w:r w:rsidR="00BC412E" w:rsidRPr="00DA10E3">
        <w:rPr>
          <w:rFonts w:ascii="Times New Roman" w:hAnsi="Times New Roman" w:cs="Times New Roman"/>
          <w:sz w:val="24"/>
          <w:szCs w:val="24"/>
          <w:lang w:val="pt-BR"/>
        </w:rPr>
        <w:t>-prazo</w:t>
      </w:r>
      <w:r w:rsidR="00BC412E" w:rsidRPr="00635FFF">
        <w:rPr>
          <w:rStyle w:val="Refdenotaderodap"/>
          <w:rFonts w:ascii="Times New Roman" w:hAnsi="Times New Roman" w:cs="Times New Roman"/>
          <w:sz w:val="24"/>
          <w:szCs w:val="24"/>
          <w:lang w:val="pt-BR"/>
        </w:rPr>
        <w:footnoteReference w:id="3"/>
      </w:r>
      <w:r w:rsidR="00BC412E" w:rsidRPr="00DA10E3">
        <w:rPr>
          <w:rFonts w:ascii="Times New Roman" w:hAnsi="Times New Roman" w:cs="Times New Roman"/>
          <w:sz w:val="24"/>
          <w:szCs w:val="24"/>
          <w:lang w:val="pt-BR"/>
        </w:rPr>
        <w:t xml:space="preserve"> (Montiel, 2008)</w:t>
      </w:r>
      <w:r w:rsidR="001A21CD">
        <w:rPr>
          <w:rFonts w:ascii="Times New Roman" w:hAnsi="Times New Roman" w:cs="Times New Roman"/>
          <w:sz w:val="24"/>
          <w:szCs w:val="24"/>
          <w:lang w:val="pt-BR"/>
        </w:rPr>
        <w:t>, mas podem</w:t>
      </w:r>
      <w:r w:rsidR="00DB7227" w:rsidRPr="00DA10E3">
        <w:rPr>
          <w:rFonts w:ascii="Times New Roman" w:hAnsi="Times New Roman" w:cs="Times New Roman"/>
          <w:sz w:val="24"/>
          <w:szCs w:val="24"/>
          <w:lang w:val="pt-BR"/>
        </w:rPr>
        <w:t xml:space="preserve"> servir como variáveis de controle para estudar os determinantes da persistência eventual de desalinhamentos, </w:t>
      </w:r>
      <w:r w:rsidR="00120630">
        <w:rPr>
          <w:rFonts w:ascii="Times New Roman" w:hAnsi="Times New Roman" w:cs="Times New Roman"/>
          <w:sz w:val="24"/>
          <w:szCs w:val="24"/>
          <w:lang w:val="pt-BR"/>
        </w:rPr>
        <w:t xml:space="preserve">como faremos neste trabalho, </w:t>
      </w:r>
      <w:r w:rsidR="00DB7227" w:rsidRPr="00DA10E3">
        <w:rPr>
          <w:rFonts w:ascii="Times New Roman" w:hAnsi="Times New Roman" w:cs="Times New Roman"/>
          <w:sz w:val="24"/>
          <w:szCs w:val="24"/>
          <w:lang w:val="pt-BR"/>
        </w:rPr>
        <w:t>por exemplo</w:t>
      </w:r>
      <w:r w:rsidR="00BC412E" w:rsidRPr="00DA10E3">
        <w:rPr>
          <w:rFonts w:ascii="Times New Roman" w:hAnsi="Times New Roman" w:cs="Times New Roman"/>
          <w:sz w:val="24"/>
          <w:szCs w:val="24"/>
          <w:lang w:val="pt-BR"/>
        </w:rPr>
        <w:t>.</w:t>
      </w:r>
    </w:p>
    <w:p w:rsidR="00F177DD" w:rsidRDefault="0047721F" w:rsidP="00D95DC0">
      <w:pPr>
        <w:tabs>
          <w:tab w:val="left" w:pos="720"/>
          <w:tab w:val="left" w:pos="9270"/>
        </w:tabs>
        <w:spacing w:after="0" w:line="240" w:lineRule="auto"/>
        <w:ind w:firstLine="630"/>
        <w:jc w:val="both"/>
        <w:rPr>
          <w:rFonts w:ascii="Times New Roman" w:hAnsi="Times New Roman" w:cs="Times New Roman"/>
          <w:sz w:val="24"/>
          <w:szCs w:val="24"/>
          <w:lang w:val="pt-BR"/>
        </w:rPr>
      </w:pPr>
      <w:r w:rsidRPr="002231A9">
        <w:rPr>
          <w:rFonts w:ascii="Times New Roman" w:hAnsi="Times New Roman" w:cs="Times New Roman"/>
          <w:sz w:val="24"/>
          <w:szCs w:val="24"/>
          <w:lang w:val="pt-BR"/>
        </w:rPr>
        <w:t xml:space="preserve">Os regimes cambiais </w:t>
      </w:r>
      <w:r w:rsidR="00C1570F">
        <w:rPr>
          <w:rFonts w:ascii="Times New Roman" w:hAnsi="Times New Roman" w:cs="Times New Roman"/>
          <w:sz w:val="24"/>
          <w:szCs w:val="24"/>
          <w:lang w:val="pt-BR"/>
        </w:rPr>
        <w:t xml:space="preserve">e sua classificação </w:t>
      </w:r>
      <w:r w:rsidRPr="002231A9">
        <w:rPr>
          <w:rFonts w:ascii="Times New Roman" w:hAnsi="Times New Roman" w:cs="Times New Roman"/>
          <w:sz w:val="24"/>
          <w:szCs w:val="24"/>
          <w:lang w:val="pt-BR"/>
        </w:rPr>
        <w:t>têm seu papel revisado na literatura recente (Couderte e Couharde, 2008;</w:t>
      </w:r>
      <w:r w:rsidR="001A21CD">
        <w:rPr>
          <w:rFonts w:ascii="Times New Roman" w:hAnsi="Times New Roman" w:cs="Times New Roman"/>
          <w:sz w:val="24"/>
          <w:szCs w:val="24"/>
          <w:lang w:val="pt-BR"/>
        </w:rPr>
        <w:t xml:space="preserve"> Holtemöller e Mallick, 2008</w:t>
      </w:r>
      <w:r w:rsidRPr="002231A9">
        <w:rPr>
          <w:rFonts w:ascii="Times New Roman" w:hAnsi="Times New Roman" w:cs="Times New Roman"/>
          <w:sz w:val="24"/>
          <w:szCs w:val="24"/>
          <w:lang w:val="pt-BR"/>
        </w:rPr>
        <w:t>).</w:t>
      </w:r>
      <w:r w:rsidR="001A21CD">
        <w:rPr>
          <w:rFonts w:ascii="Times New Roman" w:hAnsi="Times New Roman" w:cs="Times New Roman"/>
          <w:sz w:val="24"/>
          <w:szCs w:val="24"/>
          <w:lang w:val="pt-BR"/>
        </w:rPr>
        <w:t xml:space="preserve"> De Broeck e Slok (2006) argumentam que as taxas de câmbio estão geralmente com sua TCR desalinhadas em muitas economias em transição de regimes, e que esse desalinhamento é eliminado, em um período de tempo relativamente curto, porque esses países se movem em direção a um regime mais flexível de câmbio. Holtemöller e Mallick (2008), baseados numa amostra de 69 países estimar</w:t>
      </w:r>
      <w:r w:rsidR="00F177DD">
        <w:rPr>
          <w:rFonts w:ascii="Times New Roman" w:hAnsi="Times New Roman" w:cs="Times New Roman"/>
          <w:sz w:val="24"/>
          <w:szCs w:val="24"/>
          <w:lang w:val="pt-BR"/>
        </w:rPr>
        <w:t xml:space="preserve">am fatores que possam explicar em que medida </w:t>
      </w:r>
      <w:r w:rsidR="001A21CD">
        <w:rPr>
          <w:rFonts w:ascii="Times New Roman" w:hAnsi="Times New Roman" w:cs="Times New Roman"/>
          <w:sz w:val="24"/>
          <w:szCs w:val="24"/>
          <w:lang w:val="pt-BR"/>
        </w:rPr>
        <w:t>há sobre ou sub-valorização cambial, no espírito deste trabalho</w:t>
      </w:r>
      <w:r w:rsidR="00F177DD">
        <w:rPr>
          <w:rFonts w:ascii="Times New Roman" w:hAnsi="Times New Roman" w:cs="Times New Roman"/>
          <w:sz w:val="24"/>
          <w:szCs w:val="24"/>
          <w:lang w:val="pt-BR"/>
        </w:rPr>
        <w:t>, mas com ênfase somente em regimes cambiais</w:t>
      </w:r>
      <w:r w:rsidR="001A21CD">
        <w:rPr>
          <w:rFonts w:ascii="Times New Roman" w:hAnsi="Times New Roman" w:cs="Times New Roman"/>
          <w:sz w:val="24"/>
          <w:szCs w:val="24"/>
          <w:lang w:val="pt-BR"/>
        </w:rPr>
        <w:t xml:space="preserve">. </w:t>
      </w:r>
      <w:r w:rsidR="00F177DD">
        <w:rPr>
          <w:rFonts w:ascii="Times New Roman" w:hAnsi="Times New Roman" w:cs="Times New Roman"/>
          <w:sz w:val="24"/>
          <w:szCs w:val="24"/>
          <w:lang w:val="pt-BR"/>
        </w:rPr>
        <w:t xml:space="preserve">O resultado dos autores é que quanto maior a flexibilidade do regime cambial, menor o desalinhamento. </w:t>
      </w:r>
    </w:p>
    <w:p w:rsidR="006120DF" w:rsidRDefault="00F177DD" w:rsidP="00D95DC0">
      <w:pPr>
        <w:tabs>
          <w:tab w:val="left" w:pos="720"/>
          <w:tab w:val="left" w:pos="9270"/>
        </w:tabs>
        <w:spacing w:after="0" w:line="240" w:lineRule="auto"/>
        <w:ind w:firstLine="630"/>
        <w:jc w:val="both"/>
        <w:rPr>
          <w:rFonts w:ascii="Times New Roman" w:hAnsi="Times New Roman" w:cs="Times New Roman"/>
          <w:sz w:val="24"/>
          <w:szCs w:val="24"/>
          <w:lang w:val="pt-BR"/>
        </w:rPr>
      </w:pPr>
      <w:r>
        <w:rPr>
          <w:rFonts w:ascii="Times New Roman" w:hAnsi="Times New Roman" w:cs="Times New Roman"/>
          <w:sz w:val="24"/>
          <w:szCs w:val="24"/>
          <w:lang w:val="pt-BR"/>
        </w:rPr>
        <w:t>Coudert e Couharde (2008) chamam a atenção para o fato de que regimes cambia</w:t>
      </w:r>
      <w:r w:rsidR="006120DF">
        <w:rPr>
          <w:rFonts w:ascii="Times New Roman" w:hAnsi="Times New Roman" w:cs="Times New Roman"/>
          <w:sz w:val="24"/>
          <w:szCs w:val="24"/>
          <w:lang w:val="pt-BR"/>
        </w:rPr>
        <w:t>i</w:t>
      </w:r>
      <w:r>
        <w:rPr>
          <w:rFonts w:ascii="Times New Roman" w:hAnsi="Times New Roman" w:cs="Times New Roman"/>
          <w:sz w:val="24"/>
          <w:szCs w:val="24"/>
          <w:lang w:val="pt-BR"/>
        </w:rPr>
        <w:t xml:space="preserve">s mais rígidos são </w:t>
      </w:r>
      <w:r w:rsidR="006120DF">
        <w:rPr>
          <w:rFonts w:ascii="Times New Roman" w:hAnsi="Times New Roman" w:cs="Times New Roman"/>
          <w:sz w:val="24"/>
          <w:szCs w:val="24"/>
          <w:lang w:val="pt-BR"/>
        </w:rPr>
        <w:t>apontados</w:t>
      </w:r>
      <w:r>
        <w:rPr>
          <w:rFonts w:ascii="Times New Roman" w:hAnsi="Times New Roman" w:cs="Times New Roman"/>
          <w:sz w:val="24"/>
          <w:szCs w:val="24"/>
          <w:lang w:val="pt-BR"/>
        </w:rPr>
        <w:t xml:space="preserve"> como </w:t>
      </w:r>
      <w:r w:rsidR="006120DF">
        <w:rPr>
          <w:rFonts w:ascii="Times New Roman" w:hAnsi="Times New Roman" w:cs="Times New Roman"/>
          <w:sz w:val="24"/>
          <w:szCs w:val="24"/>
          <w:lang w:val="pt-BR"/>
        </w:rPr>
        <w:t xml:space="preserve">os </w:t>
      </w:r>
      <w:r>
        <w:rPr>
          <w:rFonts w:ascii="Times New Roman" w:hAnsi="Times New Roman" w:cs="Times New Roman"/>
          <w:sz w:val="24"/>
          <w:szCs w:val="24"/>
          <w:lang w:val="pt-BR"/>
        </w:rPr>
        <w:t xml:space="preserve">mais propensos a crises financeiras. Uma explicação comum para isso está </w:t>
      </w:r>
      <w:r w:rsidR="006120DF">
        <w:rPr>
          <w:rFonts w:ascii="Times New Roman" w:hAnsi="Times New Roman" w:cs="Times New Roman"/>
          <w:sz w:val="24"/>
          <w:szCs w:val="24"/>
          <w:lang w:val="pt-BR"/>
        </w:rPr>
        <w:t>relacionada</w:t>
      </w:r>
      <w:r>
        <w:rPr>
          <w:rFonts w:ascii="Times New Roman" w:hAnsi="Times New Roman" w:cs="Times New Roman"/>
          <w:sz w:val="24"/>
          <w:szCs w:val="24"/>
          <w:lang w:val="pt-BR"/>
        </w:rPr>
        <w:t xml:space="preserve"> à apreciação da TCR nesses regimes. A contínua perda de competitividade ocasiona dilui a competitividade externa e os resultados no balanço de conta corrente, que podem levar a dificuldades financeiras ou até mesmo a ataques especulativos.</w:t>
      </w:r>
      <w:r w:rsidR="0047721F" w:rsidRPr="002231A9">
        <w:rPr>
          <w:rFonts w:ascii="Times New Roman" w:hAnsi="Times New Roman" w:cs="Times New Roman"/>
          <w:sz w:val="24"/>
          <w:szCs w:val="24"/>
          <w:lang w:val="pt-BR"/>
        </w:rPr>
        <w:t xml:space="preserve"> </w:t>
      </w:r>
    </w:p>
    <w:p w:rsidR="00C1570F" w:rsidRDefault="006120DF" w:rsidP="00D95DC0">
      <w:pPr>
        <w:tabs>
          <w:tab w:val="left" w:pos="720"/>
          <w:tab w:val="left" w:pos="9270"/>
        </w:tabs>
        <w:spacing w:after="0" w:line="240" w:lineRule="auto"/>
        <w:ind w:firstLine="63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preocupação com a prática real dos regimes cambiais fez Reinhart e Rogoff (2004) construírem uma classificação histórica </w:t>
      </w:r>
      <w:r>
        <w:rPr>
          <w:rFonts w:ascii="Times New Roman" w:hAnsi="Times New Roman" w:cs="Times New Roman"/>
          <w:i/>
          <w:sz w:val="24"/>
          <w:szCs w:val="24"/>
          <w:lang w:val="pt-BR"/>
        </w:rPr>
        <w:t xml:space="preserve">de facto </w:t>
      </w:r>
      <w:r>
        <w:rPr>
          <w:rFonts w:ascii="Times New Roman" w:hAnsi="Times New Roman" w:cs="Times New Roman"/>
          <w:sz w:val="24"/>
          <w:szCs w:val="24"/>
          <w:lang w:val="pt-BR"/>
        </w:rPr>
        <w:t>dos regimes. Os autores encontraram que, na prática</w:t>
      </w:r>
      <w:r w:rsidR="0047721F" w:rsidRPr="002231A9">
        <w:rPr>
          <w:rFonts w:ascii="Times New Roman" w:hAnsi="Times New Roman" w:cs="Times New Roman"/>
          <w:sz w:val="24"/>
          <w:szCs w:val="24"/>
          <w:lang w:val="pt-BR"/>
        </w:rPr>
        <w:t xml:space="preserve">, muito da flutuação </w:t>
      </w:r>
      <w:r w:rsidR="0047721F" w:rsidRPr="002231A9">
        <w:rPr>
          <w:rFonts w:ascii="Times New Roman" w:hAnsi="Times New Roman" w:cs="Times New Roman"/>
          <w:i/>
          <w:sz w:val="24"/>
          <w:szCs w:val="24"/>
          <w:lang w:val="pt-BR"/>
        </w:rPr>
        <w:t>de facto</w:t>
      </w:r>
      <w:r w:rsidR="0047721F" w:rsidRPr="002231A9">
        <w:rPr>
          <w:rFonts w:ascii="Times New Roman" w:hAnsi="Times New Roman" w:cs="Times New Roman"/>
          <w:sz w:val="24"/>
          <w:szCs w:val="24"/>
          <w:lang w:val="pt-BR"/>
        </w:rPr>
        <w:t xml:space="preserve"> foi feita através dos mercados paralelos</w:t>
      </w:r>
      <w:r w:rsidR="00C30321" w:rsidRPr="002231A9">
        <w:rPr>
          <w:rFonts w:ascii="Times New Roman" w:hAnsi="Times New Roman" w:cs="Times New Roman"/>
          <w:sz w:val="24"/>
          <w:szCs w:val="24"/>
          <w:lang w:val="pt-BR"/>
        </w:rPr>
        <w:t xml:space="preserve"> (um dos elementos que torna a classificação de Reinhart e Roggof dos regimes mais acurada, pois leva em consideração os mercados paralelos, coisa que a base histórica de Levy Yeyati e Sturzenegger</w:t>
      </w:r>
      <w:r w:rsidR="00A96FC2">
        <w:rPr>
          <w:rFonts w:ascii="Times New Roman" w:hAnsi="Times New Roman" w:cs="Times New Roman"/>
          <w:sz w:val="24"/>
          <w:szCs w:val="24"/>
          <w:lang w:val="pt-BR"/>
        </w:rPr>
        <w:t xml:space="preserve"> (2008)</w:t>
      </w:r>
      <w:r w:rsidR="00C30321" w:rsidRPr="002231A9">
        <w:rPr>
          <w:rFonts w:ascii="Times New Roman" w:hAnsi="Times New Roman" w:cs="Times New Roman"/>
          <w:sz w:val="24"/>
          <w:szCs w:val="24"/>
          <w:lang w:val="pt-BR"/>
        </w:rPr>
        <w:t xml:space="preserve"> e a oficial do FMI não fazem)</w:t>
      </w:r>
      <w:r w:rsidR="0047721F" w:rsidRPr="002231A9">
        <w:rPr>
          <w:rFonts w:ascii="Times New Roman" w:hAnsi="Times New Roman" w:cs="Times New Roman"/>
          <w:sz w:val="24"/>
          <w:szCs w:val="24"/>
          <w:lang w:val="pt-BR"/>
        </w:rPr>
        <w:t>. Como resultado, o ajuste efetivo das taxas de câmbio sobre o</w:t>
      </w:r>
      <w:r w:rsidR="00C30321" w:rsidRPr="002231A9">
        <w:rPr>
          <w:rFonts w:ascii="Times New Roman" w:hAnsi="Times New Roman" w:cs="Times New Roman"/>
          <w:sz w:val="24"/>
          <w:szCs w:val="24"/>
          <w:lang w:val="pt-BR"/>
        </w:rPr>
        <w:t>s</w:t>
      </w:r>
      <w:r w:rsidR="0047721F" w:rsidRPr="002231A9">
        <w:rPr>
          <w:rFonts w:ascii="Times New Roman" w:hAnsi="Times New Roman" w:cs="Times New Roman"/>
          <w:sz w:val="24"/>
          <w:szCs w:val="24"/>
          <w:lang w:val="pt-BR"/>
        </w:rPr>
        <w:t xml:space="preserve"> regime</w:t>
      </w:r>
      <w:r w:rsidR="00C30321" w:rsidRPr="002231A9">
        <w:rPr>
          <w:rFonts w:ascii="Times New Roman" w:hAnsi="Times New Roman" w:cs="Times New Roman"/>
          <w:sz w:val="24"/>
          <w:szCs w:val="24"/>
          <w:lang w:val="pt-BR"/>
        </w:rPr>
        <w:t>s</w:t>
      </w:r>
      <w:r w:rsidR="0047721F" w:rsidRPr="002231A9">
        <w:rPr>
          <w:rFonts w:ascii="Times New Roman" w:hAnsi="Times New Roman" w:cs="Times New Roman"/>
          <w:sz w:val="24"/>
          <w:szCs w:val="24"/>
          <w:lang w:val="pt-BR"/>
        </w:rPr>
        <w:t xml:space="preserve"> fixo</w:t>
      </w:r>
      <w:r w:rsidR="00C30321" w:rsidRPr="002231A9">
        <w:rPr>
          <w:rFonts w:ascii="Times New Roman" w:hAnsi="Times New Roman" w:cs="Times New Roman"/>
          <w:sz w:val="24"/>
          <w:szCs w:val="24"/>
          <w:lang w:val="pt-BR"/>
        </w:rPr>
        <w:t>s</w:t>
      </w:r>
      <w:r w:rsidR="0047721F" w:rsidRPr="002231A9">
        <w:rPr>
          <w:rFonts w:ascii="Times New Roman" w:hAnsi="Times New Roman" w:cs="Times New Roman"/>
          <w:sz w:val="24"/>
          <w:szCs w:val="24"/>
          <w:lang w:val="pt-BR"/>
        </w:rPr>
        <w:t xml:space="preserve"> foi bem mais suave do que Friedman </w:t>
      </w:r>
      <w:r w:rsidR="00C30321" w:rsidRPr="002231A9">
        <w:rPr>
          <w:rFonts w:ascii="Times New Roman" w:hAnsi="Times New Roman" w:cs="Times New Roman"/>
          <w:sz w:val="24"/>
          <w:szCs w:val="24"/>
          <w:lang w:val="pt-BR"/>
        </w:rPr>
        <w:t>preveria na época</w:t>
      </w:r>
      <w:r w:rsidR="0047721F" w:rsidRPr="002231A9">
        <w:rPr>
          <w:rFonts w:ascii="Times New Roman" w:hAnsi="Times New Roman" w:cs="Times New Roman"/>
          <w:sz w:val="24"/>
          <w:szCs w:val="24"/>
          <w:lang w:val="pt-BR"/>
        </w:rPr>
        <w:t>.</w:t>
      </w:r>
      <w:r w:rsidR="00C30321" w:rsidRPr="002231A9">
        <w:rPr>
          <w:rFonts w:ascii="Times New Roman" w:hAnsi="Times New Roman" w:cs="Times New Roman"/>
          <w:sz w:val="24"/>
          <w:szCs w:val="24"/>
          <w:lang w:val="pt-BR"/>
        </w:rPr>
        <w:t xml:space="preserve"> Uma revisão dos fatos estilizados, entretanto, mostra o declínio histórico dos regimes de câmbio fixo</w:t>
      </w:r>
      <w:r w:rsidR="00C30321" w:rsidRPr="002231A9">
        <w:rPr>
          <w:rFonts w:ascii="Times New Roman" w:hAnsi="Times New Roman" w:cs="Times New Roman"/>
          <w:b/>
          <w:sz w:val="24"/>
          <w:szCs w:val="24"/>
          <w:lang w:val="pt-BR"/>
        </w:rPr>
        <w:t xml:space="preserve">. </w:t>
      </w:r>
      <w:r w:rsidR="00E73F8D" w:rsidRPr="00E73F8D">
        <w:rPr>
          <w:rFonts w:ascii="Times New Roman" w:hAnsi="Times New Roman" w:cs="Times New Roman"/>
          <w:sz w:val="24"/>
          <w:szCs w:val="24"/>
          <w:lang w:val="pt-BR"/>
        </w:rPr>
        <w:t>Um fato importante</w:t>
      </w:r>
      <w:r w:rsidR="00C30321" w:rsidRPr="00E73F8D">
        <w:rPr>
          <w:rFonts w:ascii="Times New Roman" w:hAnsi="Times New Roman" w:cs="Times New Roman"/>
          <w:sz w:val="24"/>
          <w:szCs w:val="24"/>
          <w:lang w:val="pt-BR"/>
        </w:rPr>
        <w:t xml:space="preserve"> diz respeito ao declínio dos regimes fixos pós Bretton Woods. Isto deveria</w:t>
      </w:r>
      <w:r w:rsidR="00C30321" w:rsidRPr="002231A9">
        <w:rPr>
          <w:rFonts w:ascii="Times New Roman" w:hAnsi="Times New Roman" w:cs="Times New Roman"/>
          <w:sz w:val="24"/>
          <w:szCs w:val="24"/>
          <w:lang w:val="pt-BR"/>
        </w:rPr>
        <w:t xml:space="preserve"> refletir o fato de que o aumento dos mercados de capital globais deveria enfraquecer mesmo os regimes fixos mais robustos, forçando a um movimento paulatino em direção a arranjos mais flexíveis, e isto é refletido no aumento do quociente </w:t>
      </w:r>
      <w:r w:rsidR="00C30321" w:rsidRPr="002231A9">
        <w:rPr>
          <w:rFonts w:ascii="Times New Roman" w:hAnsi="Times New Roman" w:cs="Times New Roman"/>
          <w:i/>
          <w:sz w:val="24"/>
          <w:szCs w:val="24"/>
          <w:lang w:val="pt-BR"/>
        </w:rPr>
        <w:t>float-to-fix</w:t>
      </w:r>
      <w:r w:rsidR="00C30321" w:rsidRPr="002231A9">
        <w:rPr>
          <w:rFonts w:ascii="Times New Roman" w:hAnsi="Times New Roman" w:cs="Times New Roman"/>
          <w:sz w:val="24"/>
          <w:szCs w:val="24"/>
          <w:lang w:val="pt-BR"/>
        </w:rPr>
        <w:t xml:space="preserve"> obtido na classificação do FMI.</w:t>
      </w:r>
      <w:r w:rsidR="00120630">
        <w:rPr>
          <w:rFonts w:ascii="Times New Roman" w:hAnsi="Times New Roman" w:cs="Times New Roman"/>
          <w:sz w:val="24"/>
          <w:szCs w:val="24"/>
          <w:lang w:val="pt-BR"/>
        </w:rPr>
        <w:t xml:space="preserve"> </w:t>
      </w:r>
      <w:r w:rsidR="004F3698" w:rsidRPr="002231A9">
        <w:rPr>
          <w:rFonts w:ascii="Times New Roman" w:hAnsi="Times New Roman" w:cs="Times New Roman"/>
          <w:sz w:val="24"/>
          <w:szCs w:val="24"/>
          <w:lang w:val="pt-BR"/>
        </w:rPr>
        <w:t xml:space="preserve">A distribuição dos regimes de acordo com a classificação histórica dos autores mostram que, embora as tendências de longo prazo sejam similares, a composição de regimes </w:t>
      </w:r>
      <w:r w:rsidR="004F3698" w:rsidRPr="002231A9">
        <w:rPr>
          <w:rFonts w:ascii="Times New Roman" w:hAnsi="Times New Roman" w:cs="Times New Roman"/>
          <w:i/>
          <w:sz w:val="24"/>
          <w:szCs w:val="24"/>
          <w:lang w:val="pt-BR"/>
        </w:rPr>
        <w:t>de facto</w:t>
      </w:r>
      <w:r w:rsidR="004F3698" w:rsidRPr="002231A9">
        <w:rPr>
          <w:rFonts w:ascii="Times New Roman" w:hAnsi="Times New Roman" w:cs="Times New Roman"/>
          <w:sz w:val="24"/>
          <w:szCs w:val="24"/>
          <w:lang w:val="pt-BR"/>
        </w:rPr>
        <w:t xml:space="preserve"> aparece bem mais estável do que a do FMI. Particularmente idiossincrática é a estabilidade no uso de </w:t>
      </w:r>
      <w:r w:rsidR="004F3698" w:rsidRPr="002231A9">
        <w:rPr>
          <w:rFonts w:ascii="Times New Roman" w:hAnsi="Times New Roman" w:cs="Times New Roman"/>
          <w:sz w:val="24"/>
          <w:szCs w:val="24"/>
          <w:lang w:val="pt-BR"/>
        </w:rPr>
        <w:lastRenderedPageBreak/>
        <w:t>regimes de câmbio fixo desde o início dos anos 1990, um ponto que desafia a visão de que a mobilidade crescente dos mercados de capital gradualmente induziria o abandono de arranjos fixos. A diferença aponta um fato interessante: o número de países que tem um regime de câmbio fixo sem de fato enunciar que tem, um fenômeno que os autores chamam de “</w:t>
      </w:r>
      <w:r w:rsidR="004F3698" w:rsidRPr="002231A9">
        <w:rPr>
          <w:rFonts w:ascii="Times New Roman" w:hAnsi="Times New Roman" w:cs="Times New Roman"/>
          <w:i/>
          <w:sz w:val="24"/>
          <w:szCs w:val="24"/>
          <w:lang w:val="pt-BR"/>
        </w:rPr>
        <w:t>fear of pegging</w:t>
      </w:r>
      <w:r w:rsidR="004F3698" w:rsidRPr="002231A9">
        <w:rPr>
          <w:rFonts w:ascii="Times New Roman" w:hAnsi="Times New Roman" w:cs="Times New Roman"/>
          <w:sz w:val="24"/>
          <w:szCs w:val="24"/>
          <w:lang w:val="pt-BR"/>
        </w:rPr>
        <w:t>”, e que aumentou consideravelmente na ultima década.</w:t>
      </w:r>
      <w:r w:rsidR="00F3317B" w:rsidRPr="002231A9">
        <w:rPr>
          <w:rFonts w:ascii="Times New Roman" w:hAnsi="Times New Roman" w:cs="Times New Roman"/>
          <w:sz w:val="24"/>
          <w:szCs w:val="24"/>
          <w:lang w:val="pt-BR"/>
        </w:rPr>
        <w:t xml:space="preserve"> </w:t>
      </w:r>
      <w:r w:rsidR="00C30321" w:rsidRPr="002231A9">
        <w:rPr>
          <w:rFonts w:ascii="Times New Roman" w:hAnsi="Times New Roman" w:cs="Times New Roman"/>
          <w:sz w:val="24"/>
          <w:szCs w:val="24"/>
          <w:lang w:val="pt-BR"/>
        </w:rPr>
        <w:t>A distribuição dos regimes de aco</w:t>
      </w:r>
      <w:r>
        <w:rPr>
          <w:rFonts w:ascii="Times New Roman" w:hAnsi="Times New Roman" w:cs="Times New Roman"/>
          <w:sz w:val="24"/>
          <w:szCs w:val="24"/>
          <w:lang w:val="pt-BR"/>
        </w:rPr>
        <w:t>rdo com a classificação de Levy-</w:t>
      </w:r>
      <w:r w:rsidR="00C30321" w:rsidRPr="002231A9">
        <w:rPr>
          <w:rFonts w:ascii="Times New Roman" w:hAnsi="Times New Roman" w:cs="Times New Roman"/>
          <w:sz w:val="24"/>
          <w:szCs w:val="24"/>
          <w:lang w:val="pt-BR"/>
        </w:rPr>
        <w:t>Ye</w:t>
      </w:r>
      <w:r>
        <w:rPr>
          <w:rFonts w:ascii="Times New Roman" w:hAnsi="Times New Roman" w:cs="Times New Roman"/>
          <w:sz w:val="24"/>
          <w:szCs w:val="24"/>
          <w:lang w:val="pt-BR"/>
        </w:rPr>
        <w:t>y</w:t>
      </w:r>
      <w:r w:rsidR="00C30321" w:rsidRPr="002231A9">
        <w:rPr>
          <w:rFonts w:ascii="Times New Roman" w:hAnsi="Times New Roman" w:cs="Times New Roman"/>
          <w:sz w:val="24"/>
          <w:szCs w:val="24"/>
          <w:lang w:val="pt-BR"/>
        </w:rPr>
        <w:t>a</w:t>
      </w:r>
      <w:r w:rsidR="00C1570F">
        <w:rPr>
          <w:rFonts w:ascii="Times New Roman" w:hAnsi="Times New Roman" w:cs="Times New Roman"/>
          <w:sz w:val="24"/>
          <w:szCs w:val="24"/>
          <w:lang w:val="pt-BR"/>
        </w:rPr>
        <w:t>ti e Sturzenegger (2008</w:t>
      </w:r>
      <w:r w:rsidR="00F3317B" w:rsidRPr="002231A9">
        <w:rPr>
          <w:rFonts w:ascii="Times New Roman" w:hAnsi="Times New Roman" w:cs="Times New Roman"/>
          <w:sz w:val="24"/>
          <w:szCs w:val="24"/>
          <w:lang w:val="pt-BR"/>
        </w:rPr>
        <w:t>) mostra</w:t>
      </w:r>
      <w:r w:rsidR="00C30321" w:rsidRPr="002231A9">
        <w:rPr>
          <w:rFonts w:ascii="Times New Roman" w:hAnsi="Times New Roman" w:cs="Times New Roman"/>
          <w:sz w:val="24"/>
          <w:szCs w:val="24"/>
          <w:lang w:val="pt-BR"/>
        </w:rPr>
        <w:t xml:space="preserve"> que, embora as tendências de longo prazo intra-regime são similares, a composição de regimes </w:t>
      </w:r>
      <w:r w:rsidR="00C30321" w:rsidRPr="002231A9">
        <w:rPr>
          <w:rFonts w:ascii="Times New Roman" w:hAnsi="Times New Roman" w:cs="Times New Roman"/>
          <w:i/>
          <w:sz w:val="24"/>
          <w:szCs w:val="24"/>
          <w:lang w:val="pt-BR"/>
        </w:rPr>
        <w:t>de facto</w:t>
      </w:r>
      <w:r w:rsidR="00C30321" w:rsidRPr="002231A9">
        <w:rPr>
          <w:rFonts w:ascii="Times New Roman" w:hAnsi="Times New Roman" w:cs="Times New Roman"/>
          <w:sz w:val="24"/>
          <w:szCs w:val="24"/>
          <w:lang w:val="pt-BR"/>
        </w:rPr>
        <w:t xml:space="preserve"> aparece bem mais estável do que a do FMI. Particularmente idiossincrática é a estabilidade no uso de regimes de câmbio fixo desde o início dos anos 1990, um ponto que desafia a visão de que a mobilidade crescente dos mercados de capital gradualmente induziria o abandono de arranjos fixos. A diferença aponta um fato interessante: o número de países que tem um regime de cambio fixo sem de fato enunciar que </w:t>
      </w:r>
      <w:r w:rsidR="00C1570F">
        <w:rPr>
          <w:rFonts w:ascii="Times New Roman" w:hAnsi="Times New Roman" w:cs="Times New Roman"/>
          <w:sz w:val="24"/>
          <w:szCs w:val="24"/>
          <w:lang w:val="pt-BR"/>
        </w:rPr>
        <w:t>tê</w:t>
      </w:r>
      <w:r w:rsidR="00C1570F" w:rsidRPr="002231A9">
        <w:rPr>
          <w:rFonts w:ascii="Times New Roman" w:hAnsi="Times New Roman" w:cs="Times New Roman"/>
          <w:sz w:val="24"/>
          <w:szCs w:val="24"/>
          <w:lang w:val="pt-BR"/>
        </w:rPr>
        <w:t>m</w:t>
      </w:r>
      <w:r w:rsidR="00C30321" w:rsidRPr="002231A9">
        <w:rPr>
          <w:rFonts w:ascii="Times New Roman" w:hAnsi="Times New Roman" w:cs="Times New Roman"/>
          <w:sz w:val="24"/>
          <w:szCs w:val="24"/>
          <w:lang w:val="pt-BR"/>
        </w:rPr>
        <w:t xml:space="preserve"> um fenômeno que os autores chamam de “</w:t>
      </w:r>
      <w:r w:rsidR="00C30321" w:rsidRPr="002231A9">
        <w:rPr>
          <w:rFonts w:ascii="Times New Roman" w:hAnsi="Times New Roman" w:cs="Times New Roman"/>
          <w:i/>
          <w:sz w:val="24"/>
          <w:szCs w:val="24"/>
          <w:lang w:val="pt-BR"/>
        </w:rPr>
        <w:t>fear of pegging</w:t>
      </w:r>
      <w:r w:rsidR="00C30321" w:rsidRPr="002231A9">
        <w:rPr>
          <w:rFonts w:ascii="Times New Roman" w:hAnsi="Times New Roman" w:cs="Times New Roman"/>
          <w:sz w:val="24"/>
          <w:szCs w:val="24"/>
          <w:lang w:val="pt-BR"/>
        </w:rPr>
        <w:t>”, e que aumentou consideravelmente na ultima década.</w:t>
      </w:r>
      <w:r w:rsidR="004F3698" w:rsidRPr="002231A9">
        <w:rPr>
          <w:rFonts w:ascii="Times New Roman" w:hAnsi="Times New Roman" w:cs="Times New Roman"/>
          <w:sz w:val="24"/>
          <w:szCs w:val="24"/>
          <w:lang w:val="pt-BR"/>
        </w:rPr>
        <w:t xml:space="preserve"> </w:t>
      </w:r>
    </w:p>
    <w:p w:rsidR="00120630" w:rsidRDefault="006120DF" w:rsidP="00D95DC0">
      <w:pPr>
        <w:tabs>
          <w:tab w:val="left" w:pos="720"/>
          <w:tab w:val="left" w:pos="9270"/>
        </w:tabs>
        <w:spacing w:after="0" w:line="240" w:lineRule="auto"/>
        <w:ind w:firstLine="630"/>
        <w:jc w:val="both"/>
        <w:rPr>
          <w:rFonts w:ascii="Times New Roman" w:hAnsi="Times New Roman" w:cs="Times New Roman"/>
          <w:sz w:val="24"/>
          <w:szCs w:val="24"/>
          <w:lang w:val="pt-BR"/>
        </w:rPr>
      </w:pPr>
      <w:r>
        <w:rPr>
          <w:rFonts w:ascii="Times New Roman" w:hAnsi="Times New Roman" w:cs="Times New Roman"/>
          <w:sz w:val="24"/>
          <w:szCs w:val="24"/>
          <w:lang w:val="pt-BR"/>
        </w:rPr>
        <w:t>Um</w:t>
      </w:r>
      <w:r w:rsidR="00F3317B" w:rsidRPr="002231A9">
        <w:rPr>
          <w:rFonts w:ascii="Times New Roman" w:hAnsi="Times New Roman" w:cs="Times New Roman"/>
          <w:sz w:val="24"/>
          <w:szCs w:val="24"/>
          <w:lang w:val="pt-BR"/>
        </w:rPr>
        <w:t xml:space="preserve"> segundo fato estilizado diz respeito à visão bipolar ou “</w:t>
      </w:r>
      <w:r w:rsidR="00F3317B" w:rsidRPr="002231A9">
        <w:rPr>
          <w:rFonts w:ascii="Times New Roman" w:hAnsi="Times New Roman" w:cs="Times New Roman"/>
          <w:i/>
          <w:sz w:val="24"/>
          <w:szCs w:val="24"/>
          <w:lang w:val="pt-BR"/>
        </w:rPr>
        <w:t>hollowing out</w:t>
      </w:r>
      <w:r w:rsidR="00F3317B" w:rsidRPr="002231A9">
        <w:rPr>
          <w:rFonts w:ascii="Times New Roman" w:hAnsi="Times New Roman" w:cs="Times New Roman"/>
          <w:sz w:val="24"/>
          <w:szCs w:val="24"/>
          <w:lang w:val="pt-BR"/>
        </w:rPr>
        <w:t>”. A visão bipolar sublinha os benefícios de arranjos super-fixos ou “</w:t>
      </w:r>
      <w:r w:rsidR="00F3317B" w:rsidRPr="001B43B6">
        <w:rPr>
          <w:rFonts w:ascii="Times New Roman" w:hAnsi="Times New Roman" w:cs="Times New Roman"/>
          <w:i/>
          <w:sz w:val="24"/>
          <w:szCs w:val="24"/>
          <w:lang w:val="pt-BR"/>
        </w:rPr>
        <w:t>hard pegs</w:t>
      </w:r>
      <w:r w:rsidR="00F3317B" w:rsidRPr="002231A9">
        <w:rPr>
          <w:rFonts w:ascii="Times New Roman" w:hAnsi="Times New Roman" w:cs="Times New Roman"/>
          <w:sz w:val="24"/>
          <w:szCs w:val="24"/>
          <w:lang w:val="pt-BR"/>
        </w:rPr>
        <w:t xml:space="preserve">” (como comitês de moeda ou dolarização unilateral) como forma de comprar credibilidade necessária para evitar ataques especulativos à moeda. Os resultados de Reinhart e Rogoff (2008) mostram que esta categoria cresceu dramaticamente ao longo dos anos 1990 em números absolutos, aumento lado a lado com o aumento de regimes flexíveis. </w:t>
      </w:r>
    </w:p>
    <w:p w:rsidR="0047721F" w:rsidRPr="002231A9" w:rsidRDefault="00F3317B" w:rsidP="00D95DC0">
      <w:pPr>
        <w:tabs>
          <w:tab w:val="left" w:pos="720"/>
          <w:tab w:val="left" w:pos="9270"/>
        </w:tabs>
        <w:spacing w:after="0" w:line="240" w:lineRule="auto"/>
        <w:ind w:firstLine="630"/>
        <w:jc w:val="both"/>
        <w:rPr>
          <w:lang w:val="pt-BR"/>
        </w:rPr>
      </w:pPr>
      <w:r w:rsidRPr="002231A9">
        <w:rPr>
          <w:rFonts w:ascii="Times New Roman" w:hAnsi="Times New Roman" w:cs="Times New Roman"/>
          <w:sz w:val="24"/>
          <w:szCs w:val="24"/>
          <w:lang w:val="pt-BR"/>
        </w:rPr>
        <w:t>Levy Yeyati e Sturzenegger</w:t>
      </w:r>
      <w:r w:rsidR="00782911">
        <w:rPr>
          <w:rFonts w:ascii="Times New Roman" w:hAnsi="Times New Roman" w:cs="Times New Roman"/>
          <w:sz w:val="24"/>
          <w:szCs w:val="24"/>
          <w:lang w:val="pt-BR"/>
        </w:rPr>
        <w:t xml:space="preserve"> (2008)</w:t>
      </w:r>
      <w:r w:rsidRPr="002231A9">
        <w:rPr>
          <w:rFonts w:ascii="Times New Roman" w:hAnsi="Times New Roman" w:cs="Times New Roman"/>
          <w:sz w:val="24"/>
          <w:szCs w:val="24"/>
          <w:lang w:val="pt-BR"/>
        </w:rPr>
        <w:t xml:space="preserve"> argumentam que, quando os países voluntariam-se ao acesso aos mercados de capitais internacionais, a falta de credibilidade leva a um medo de flutuar, acompanhado de grande volatilidade da taxa de juros, e de políticas de taxas de juro pró-cíclicas. Assim, os países que dizem permitir flutuação da suas taxas de câmbio, em sua maioria, não o fazem - parece haver um medo de flutuar. Esses países, em relação aos países mais comprometidos com a flutuação - como os EUA, Austrália, Japão - ap</w:t>
      </w:r>
      <w:r w:rsidR="00782911">
        <w:rPr>
          <w:rFonts w:ascii="Times New Roman" w:hAnsi="Times New Roman" w:cs="Times New Roman"/>
          <w:sz w:val="24"/>
          <w:szCs w:val="24"/>
          <w:lang w:val="pt-BR"/>
        </w:rPr>
        <w:t>resentam uma variabilidade da TCR</w:t>
      </w:r>
      <w:r w:rsidRPr="002231A9">
        <w:rPr>
          <w:rFonts w:ascii="Times New Roman" w:hAnsi="Times New Roman" w:cs="Times New Roman"/>
          <w:sz w:val="24"/>
          <w:szCs w:val="24"/>
          <w:lang w:val="pt-BR"/>
        </w:rPr>
        <w:t xml:space="preserve"> muito baixa. A baixa variabilidade não se deve a ausência de choques reai</w:t>
      </w:r>
      <w:r w:rsidR="00782911">
        <w:rPr>
          <w:rFonts w:ascii="Times New Roman" w:hAnsi="Times New Roman" w:cs="Times New Roman"/>
          <w:sz w:val="24"/>
          <w:szCs w:val="24"/>
          <w:lang w:val="pt-BR"/>
        </w:rPr>
        <w:t>s ou nominais nestas economias,</w:t>
      </w:r>
      <w:r w:rsidRPr="002231A9">
        <w:rPr>
          <w:rFonts w:ascii="Times New Roman" w:hAnsi="Times New Roman" w:cs="Times New Roman"/>
          <w:sz w:val="24"/>
          <w:szCs w:val="24"/>
          <w:lang w:val="pt-BR"/>
        </w:rPr>
        <w:t xml:space="preserve"> em especial dado o grande conteúdo de </w:t>
      </w:r>
      <w:r w:rsidRPr="002231A9">
        <w:rPr>
          <w:rFonts w:ascii="Times New Roman" w:hAnsi="Times New Roman" w:cs="Times New Roman"/>
          <w:i/>
          <w:sz w:val="24"/>
          <w:szCs w:val="24"/>
          <w:lang w:val="pt-BR"/>
        </w:rPr>
        <w:t>comoddities</w:t>
      </w:r>
      <w:r w:rsidRPr="002231A9">
        <w:rPr>
          <w:rFonts w:ascii="Times New Roman" w:hAnsi="Times New Roman" w:cs="Times New Roman"/>
          <w:sz w:val="24"/>
          <w:szCs w:val="24"/>
          <w:lang w:val="pt-BR"/>
        </w:rPr>
        <w:t xml:space="preserve"> primárias nas exportações de muitos esses países. Os autores argumentam que a baixa variabilidade relativa da TCR vem de ações políticas deliberadas para estabilizar a TCR</w:t>
      </w:r>
      <w:r w:rsidR="006120DF">
        <w:rPr>
          <w:rFonts w:ascii="Times New Roman" w:hAnsi="Times New Roman" w:cs="Times New Roman"/>
          <w:sz w:val="24"/>
          <w:szCs w:val="24"/>
          <w:lang w:val="pt-BR"/>
        </w:rPr>
        <w:t>; essas ações, para o nosso objeto de estudo, podem dar lugar a desalinhamentos da TCR por longo período e impedir ajustes de mercado</w:t>
      </w:r>
      <w:r w:rsidRPr="002231A9">
        <w:rPr>
          <w:rFonts w:ascii="Times New Roman" w:hAnsi="Times New Roman" w:cs="Times New Roman"/>
          <w:sz w:val="24"/>
          <w:szCs w:val="24"/>
          <w:lang w:val="pt-BR"/>
        </w:rPr>
        <w:t>. Os detalhes metodológicos das classificações históricas dos regimes camb</w:t>
      </w:r>
      <w:r w:rsidR="00782911">
        <w:rPr>
          <w:rFonts w:ascii="Times New Roman" w:hAnsi="Times New Roman" w:cs="Times New Roman"/>
          <w:sz w:val="24"/>
          <w:szCs w:val="24"/>
          <w:lang w:val="pt-BR"/>
        </w:rPr>
        <w:t>iais dos autores</w:t>
      </w:r>
      <w:r w:rsidR="002300F8">
        <w:rPr>
          <w:rFonts w:ascii="Times New Roman" w:hAnsi="Times New Roman" w:cs="Times New Roman"/>
          <w:sz w:val="24"/>
          <w:szCs w:val="24"/>
          <w:lang w:val="pt-BR"/>
        </w:rPr>
        <w:t>,</w:t>
      </w:r>
      <w:r w:rsidR="00782911">
        <w:rPr>
          <w:rFonts w:ascii="Times New Roman" w:hAnsi="Times New Roman" w:cs="Times New Roman"/>
          <w:sz w:val="24"/>
          <w:szCs w:val="24"/>
          <w:lang w:val="pt-BR"/>
        </w:rPr>
        <w:t xml:space="preserve"> delineada aqui</w:t>
      </w:r>
      <w:r w:rsidR="002300F8">
        <w:rPr>
          <w:rFonts w:ascii="Times New Roman" w:hAnsi="Times New Roman" w:cs="Times New Roman"/>
          <w:sz w:val="24"/>
          <w:szCs w:val="24"/>
          <w:lang w:val="pt-BR"/>
        </w:rPr>
        <w:t>,</w:t>
      </w:r>
      <w:r w:rsidR="00C30321" w:rsidRPr="002231A9">
        <w:rPr>
          <w:rFonts w:ascii="Times New Roman" w:hAnsi="Times New Roman" w:cs="Times New Roman"/>
          <w:sz w:val="24"/>
          <w:szCs w:val="24"/>
          <w:lang w:val="pt-BR"/>
        </w:rPr>
        <w:t xml:space="preserve"> é</w:t>
      </w:r>
      <w:r w:rsidR="00782911">
        <w:rPr>
          <w:rFonts w:ascii="Times New Roman" w:hAnsi="Times New Roman" w:cs="Times New Roman"/>
          <w:sz w:val="24"/>
          <w:szCs w:val="24"/>
          <w:lang w:val="pt-BR"/>
        </w:rPr>
        <w:t xml:space="preserve"> explorada</w:t>
      </w:r>
      <w:r w:rsidR="00C30321" w:rsidRPr="002231A9">
        <w:rPr>
          <w:rFonts w:ascii="Times New Roman" w:hAnsi="Times New Roman" w:cs="Times New Roman"/>
          <w:sz w:val="24"/>
          <w:szCs w:val="24"/>
          <w:lang w:val="pt-BR"/>
        </w:rPr>
        <w:t xml:space="preserve"> mais amplamente</w:t>
      </w:r>
      <w:r w:rsidR="00782911">
        <w:rPr>
          <w:rFonts w:ascii="Times New Roman" w:hAnsi="Times New Roman" w:cs="Times New Roman"/>
          <w:sz w:val="24"/>
          <w:szCs w:val="24"/>
          <w:lang w:val="pt-BR"/>
        </w:rPr>
        <w:t xml:space="preserve"> na metodologia da construção dos</w:t>
      </w:r>
      <w:r w:rsidR="00C30321" w:rsidRPr="002231A9">
        <w:rPr>
          <w:rFonts w:ascii="Times New Roman" w:hAnsi="Times New Roman" w:cs="Times New Roman"/>
          <w:sz w:val="24"/>
          <w:szCs w:val="24"/>
          <w:lang w:val="pt-BR"/>
        </w:rPr>
        <w:t xml:space="preserve"> dados</w:t>
      </w:r>
      <w:r w:rsidR="00782911">
        <w:rPr>
          <w:rFonts w:ascii="Times New Roman" w:hAnsi="Times New Roman" w:cs="Times New Roman"/>
          <w:sz w:val="24"/>
          <w:szCs w:val="24"/>
          <w:lang w:val="pt-BR"/>
        </w:rPr>
        <w:t xml:space="preserve"> utilizados</w:t>
      </w:r>
      <w:r w:rsidR="00C30321" w:rsidRPr="002231A9">
        <w:rPr>
          <w:rFonts w:ascii="Times New Roman" w:hAnsi="Times New Roman" w:cs="Times New Roman"/>
          <w:sz w:val="24"/>
          <w:szCs w:val="24"/>
          <w:lang w:val="pt-BR"/>
        </w:rPr>
        <w:t xml:space="preserve"> no Apêndice I.</w:t>
      </w:r>
    </w:p>
    <w:p w:rsidR="00782911" w:rsidRPr="006120DF" w:rsidRDefault="00782911" w:rsidP="00D95DC0">
      <w:pPr>
        <w:tabs>
          <w:tab w:val="left" w:pos="720"/>
        </w:tabs>
        <w:spacing w:after="0" w:line="240" w:lineRule="auto"/>
        <w:ind w:firstLine="720"/>
        <w:jc w:val="both"/>
        <w:rPr>
          <w:rFonts w:ascii="Times New Roman" w:hAnsi="Times New Roman" w:cs="Times New Roman"/>
          <w:sz w:val="24"/>
          <w:szCs w:val="24"/>
          <w:lang w:val="pt-BR"/>
        </w:rPr>
      </w:pPr>
      <w:r w:rsidRPr="002231A9">
        <w:rPr>
          <w:rFonts w:ascii="Times New Roman" w:eastAsia="Calibri" w:hAnsi="Times New Roman" w:cs="Times New Roman"/>
          <w:sz w:val="24"/>
          <w:szCs w:val="24"/>
          <w:lang w:val="pt-BR"/>
        </w:rPr>
        <w:t>Desde os m</w:t>
      </w:r>
      <w:r>
        <w:rPr>
          <w:rFonts w:ascii="Times New Roman" w:eastAsia="Calibri" w:hAnsi="Times New Roman" w:cs="Times New Roman"/>
          <w:sz w:val="24"/>
          <w:szCs w:val="24"/>
          <w:lang w:val="pt-BR"/>
        </w:rPr>
        <w:t>odelos simples Mundell Fleming a</w:t>
      </w:r>
      <w:r w:rsidRPr="002231A9">
        <w:rPr>
          <w:rFonts w:ascii="Times New Roman" w:eastAsia="Calibri" w:hAnsi="Times New Roman" w:cs="Times New Roman"/>
          <w:sz w:val="24"/>
          <w:szCs w:val="24"/>
          <w:lang w:val="pt-BR"/>
        </w:rPr>
        <w:t xml:space="preserve"> modelos mais sofisticados, os economistas enunciam que a abertura </w:t>
      </w:r>
      <w:r w:rsidR="0035618A">
        <w:rPr>
          <w:rFonts w:ascii="Times New Roman" w:eastAsia="Calibri" w:hAnsi="Times New Roman" w:cs="Times New Roman"/>
          <w:sz w:val="24"/>
          <w:szCs w:val="24"/>
          <w:lang w:val="pt-BR"/>
        </w:rPr>
        <w:t>a</w:t>
      </w:r>
      <w:r w:rsidRPr="002231A9">
        <w:rPr>
          <w:rFonts w:ascii="Times New Roman" w:eastAsia="Calibri" w:hAnsi="Times New Roman" w:cs="Times New Roman"/>
          <w:sz w:val="24"/>
          <w:szCs w:val="24"/>
          <w:lang w:val="pt-BR"/>
        </w:rPr>
        <w:t xml:space="preserve"> fluxos de capitais</w:t>
      </w:r>
      <w:r w:rsidR="009279D4">
        <w:rPr>
          <w:rFonts w:ascii="Times New Roman" w:eastAsia="Calibri" w:hAnsi="Times New Roman" w:cs="Times New Roman"/>
          <w:sz w:val="24"/>
          <w:szCs w:val="24"/>
          <w:lang w:val="pt-BR"/>
        </w:rPr>
        <w:t xml:space="preserve"> de um país detém forte influência sobre o nível d</w:t>
      </w:r>
      <w:r w:rsidR="006120DF">
        <w:rPr>
          <w:rFonts w:ascii="Times New Roman" w:eastAsia="Calibri" w:hAnsi="Times New Roman" w:cs="Times New Roman"/>
          <w:sz w:val="24"/>
          <w:szCs w:val="24"/>
          <w:lang w:val="pt-BR"/>
        </w:rPr>
        <w:t>e determinação</w:t>
      </w:r>
      <w:r w:rsidR="009279D4">
        <w:rPr>
          <w:rFonts w:ascii="Times New Roman" w:eastAsia="Calibri" w:hAnsi="Times New Roman" w:cs="Times New Roman"/>
          <w:sz w:val="24"/>
          <w:szCs w:val="24"/>
          <w:lang w:val="pt-BR"/>
        </w:rPr>
        <w:t xml:space="preserve"> TCR</w:t>
      </w:r>
      <w:r>
        <w:rPr>
          <w:rFonts w:ascii="Times New Roman" w:eastAsia="Calibri" w:hAnsi="Times New Roman" w:cs="Times New Roman"/>
          <w:sz w:val="24"/>
          <w:szCs w:val="24"/>
          <w:lang w:val="pt-BR"/>
        </w:rPr>
        <w:t xml:space="preserve">. </w:t>
      </w:r>
      <w:r w:rsidR="009279D4" w:rsidRPr="0099159B">
        <w:rPr>
          <w:rFonts w:ascii="Times New Roman" w:hAnsi="Times New Roman"/>
          <w:sz w:val="24"/>
          <w:szCs w:val="24"/>
          <w:lang w:val="pt-BR"/>
        </w:rPr>
        <w:t xml:space="preserve">Historicamente, muitos países tem se apoiado em diversas formas de restrição </w:t>
      </w:r>
      <w:r w:rsidR="006120DF">
        <w:rPr>
          <w:rFonts w:ascii="Times New Roman" w:hAnsi="Times New Roman"/>
          <w:sz w:val="24"/>
          <w:szCs w:val="24"/>
          <w:lang w:val="pt-BR"/>
        </w:rPr>
        <w:t>d</w:t>
      </w:r>
      <w:r w:rsidR="009279D4" w:rsidRPr="0099159B">
        <w:rPr>
          <w:rFonts w:ascii="Times New Roman" w:hAnsi="Times New Roman"/>
          <w:sz w:val="24"/>
          <w:szCs w:val="24"/>
          <w:lang w:val="pt-BR"/>
        </w:rPr>
        <w:t>a</w:t>
      </w:r>
      <w:r w:rsidR="006120DF">
        <w:rPr>
          <w:rFonts w:ascii="Times New Roman" w:hAnsi="Times New Roman"/>
          <w:sz w:val="24"/>
          <w:szCs w:val="24"/>
          <w:lang w:val="pt-BR"/>
        </w:rPr>
        <w:t>s</w:t>
      </w:r>
      <w:r w:rsidR="009279D4" w:rsidRPr="0099159B">
        <w:rPr>
          <w:rFonts w:ascii="Times New Roman" w:hAnsi="Times New Roman"/>
          <w:sz w:val="24"/>
          <w:szCs w:val="24"/>
          <w:lang w:val="pt-BR"/>
        </w:rPr>
        <w:t xml:space="preserve"> suas contas de capitais</w:t>
      </w:r>
      <w:r w:rsidR="006120DF">
        <w:rPr>
          <w:rFonts w:ascii="Times New Roman" w:hAnsi="Times New Roman"/>
          <w:sz w:val="24"/>
          <w:szCs w:val="24"/>
          <w:lang w:val="pt-BR"/>
        </w:rPr>
        <w:t xml:space="preserve"> aos fluxos financeiros</w:t>
      </w:r>
      <w:r w:rsidR="000010AC">
        <w:rPr>
          <w:rStyle w:val="Refdenotaderodap"/>
          <w:rFonts w:ascii="Times New Roman" w:hAnsi="Times New Roman"/>
          <w:sz w:val="24"/>
          <w:szCs w:val="24"/>
          <w:lang w:val="pt-BR"/>
        </w:rPr>
        <w:footnoteReference w:id="4"/>
      </w:r>
      <w:r w:rsidR="009279D4" w:rsidRPr="0099159B">
        <w:rPr>
          <w:rFonts w:ascii="Times New Roman" w:hAnsi="Times New Roman"/>
          <w:sz w:val="24"/>
          <w:szCs w:val="24"/>
          <w:lang w:val="pt-BR"/>
        </w:rPr>
        <w:t>.</w:t>
      </w:r>
      <w:r w:rsidR="009279D4">
        <w:rPr>
          <w:rFonts w:ascii="Times New Roman" w:hAnsi="Times New Roman"/>
          <w:sz w:val="24"/>
          <w:szCs w:val="24"/>
          <w:lang w:val="pt-BR"/>
        </w:rPr>
        <w:t xml:space="preserve"> </w:t>
      </w:r>
      <w:r>
        <w:rPr>
          <w:rFonts w:ascii="Times New Roman" w:eastAsia="Calibri" w:hAnsi="Times New Roman" w:cs="Times New Roman"/>
          <w:sz w:val="24"/>
          <w:szCs w:val="24"/>
          <w:lang w:val="pt-BR"/>
        </w:rPr>
        <w:t>Este trabalho inova ao buscar entender se esses fluxos têm algum impacto no desalinhamento da taxa de câmbio real</w:t>
      </w:r>
      <w:r w:rsidR="009279D4">
        <w:rPr>
          <w:rFonts w:ascii="Times New Roman" w:eastAsia="Calibri" w:hAnsi="Times New Roman" w:cs="Times New Roman"/>
          <w:sz w:val="24"/>
          <w:szCs w:val="24"/>
          <w:lang w:val="pt-BR"/>
        </w:rPr>
        <w:t xml:space="preserve">, utilizando séries históricas de </w:t>
      </w:r>
      <w:r w:rsidR="009279D4">
        <w:rPr>
          <w:rFonts w:ascii="Times New Roman" w:eastAsia="Calibri" w:hAnsi="Times New Roman" w:cs="Times New Roman"/>
          <w:i/>
          <w:sz w:val="24"/>
          <w:szCs w:val="24"/>
          <w:lang w:val="pt-BR"/>
        </w:rPr>
        <w:t>facto</w:t>
      </w:r>
      <w:r w:rsidR="006120DF">
        <w:rPr>
          <w:rFonts w:ascii="Times New Roman" w:eastAsia="Calibri" w:hAnsi="Times New Roman" w:cs="Times New Roman"/>
          <w:sz w:val="24"/>
          <w:szCs w:val="24"/>
          <w:lang w:val="pt-BR"/>
        </w:rPr>
        <w:t xml:space="preserve"> como índice: a de Edwards (2004) e a </w:t>
      </w:r>
      <w:r w:rsidR="006120DF">
        <w:rPr>
          <w:rFonts w:ascii="Times New Roman" w:eastAsia="Calibri" w:hAnsi="Times New Roman" w:cs="Times New Roman"/>
          <w:i/>
          <w:sz w:val="24"/>
          <w:szCs w:val="24"/>
          <w:lang w:val="pt-BR"/>
        </w:rPr>
        <w:t xml:space="preserve">KAOPEN </w:t>
      </w:r>
      <w:r w:rsidR="006120DF">
        <w:rPr>
          <w:rFonts w:ascii="Times New Roman" w:eastAsia="Calibri" w:hAnsi="Times New Roman" w:cs="Times New Roman"/>
          <w:sz w:val="24"/>
          <w:szCs w:val="24"/>
          <w:lang w:val="pt-BR"/>
        </w:rPr>
        <w:t xml:space="preserve"> de Chinn e Ito (2005).</w:t>
      </w:r>
    </w:p>
    <w:p w:rsidR="00C1570F" w:rsidRDefault="00C1570F" w:rsidP="00D95DC0">
      <w:pPr>
        <w:tabs>
          <w:tab w:val="left" w:pos="720"/>
        </w:tabs>
        <w:spacing w:line="240" w:lineRule="auto"/>
        <w:jc w:val="both"/>
        <w:rPr>
          <w:rFonts w:ascii="Times New Roman" w:hAnsi="Times New Roman"/>
          <w:sz w:val="24"/>
          <w:szCs w:val="24"/>
          <w:lang w:val="pt-BR"/>
        </w:rPr>
      </w:pPr>
      <w:r>
        <w:rPr>
          <w:rFonts w:ascii="Times New Roman" w:hAnsi="Times New Roman"/>
          <w:b/>
          <w:sz w:val="24"/>
          <w:szCs w:val="24"/>
          <w:lang w:val="pt-BR"/>
        </w:rPr>
        <w:lastRenderedPageBreak/>
        <w:t>3. As Bases de Dados</w:t>
      </w:r>
      <w:r>
        <w:rPr>
          <w:rFonts w:ascii="Times New Roman" w:hAnsi="Times New Roman"/>
          <w:sz w:val="24"/>
          <w:szCs w:val="24"/>
          <w:lang w:val="pt-BR"/>
        </w:rPr>
        <w:t xml:space="preserve"> </w:t>
      </w:r>
    </w:p>
    <w:p w:rsidR="00C1570F" w:rsidRPr="00C1570F" w:rsidRDefault="00C1570F" w:rsidP="00D95DC0">
      <w:pPr>
        <w:tabs>
          <w:tab w:val="left" w:pos="720"/>
        </w:tabs>
        <w:spacing w:line="240" w:lineRule="auto"/>
        <w:jc w:val="both"/>
        <w:rPr>
          <w:rFonts w:ascii="Times New Roman" w:hAnsi="Times New Roman"/>
          <w:i/>
          <w:sz w:val="24"/>
          <w:szCs w:val="24"/>
          <w:lang w:val="pt-BR"/>
        </w:rPr>
      </w:pPr>
      <w:r w:rsidRPr="00C1570F">
        <w:rPr>
          <w:rFonts w:ascii="Times New Roman" w:hAnsi="Times New Roman"/>
          <w:i/>
          <w:sz w:val="24"/>
          <w:szCs w:val="24"/>
          <w:lang w:val="pt-BR"/>
        </w:rPr>
        <w:t>3.1. Classificação dos Regimes Cambiais</w:t>
      </w:r>
    </w:p>
    <w:p w:rsidR="000010AC" w:rsidRDefault="00C1570F" w:rsidP="00D95DC0">
      <w:pPr>
        <w:tabs>
          <w:tab w:val="left" w:pos="720"/>
        </w:tabs>
        <w:spacing w:after="0" w:line="240" w:lineRule="auto"/>
        <w:ind w:firstLine="720"/>
        <w:jc w:val="both"/>
        <w:rPr>
          <w:rFonts w:ascii="Times New Roman" w:hAnsi="Times New Roman" w:cs="Times New Roman"/>
          <w:sz w:val="24"/>
          <w:szCs w:val="24"/>
          <w:lang w:val="pt-BR"/>
        </w:rPr>
      </w:pPr>
      <w:r w:rsidRPr="00635FFF">
        <w:rPr>
          <w:rFonts w:ascii="Times New Roman" w:hAnsi="Times New Roman" w:cs="Times New Roman"/>
          <w:sz w:val="24"/>
          <w:szCs w:val="24"/>
          <w:lang w:val="pt-BR"/>
        </w:rPr>
        <w:t xml:space="preserve">Problemas com a classificação oficial antes de 1997 têm recebido muita atenção pelo fato de que em muitas vezes em que o regime é classificado como flutuante (independente ou gerenciado), o que se teve de fato um regime fixo ou de </w:t>
      </w:r>
      <w:r w:rsidRPr="00635FFF">
        <w:rPr>
          <w:rFonts w:ascii="Times New Roman" w:hAnsi="Times New Roman" w:cs="Times New Roman"/>
          <w:i/>
          <w:sz w:val="24"/>
          <w:szCs w:val="24"/>
          <w:lang w:val="pt-BR"/>
        </w:rPr>
        <w:t>crawling peg.</w:t>
      </w:r>
      <w:r w:rsidRPr="00635FFF">
        <w:rPr>
          <w:rFonts w:ascii="Times New Roman" w:hAnsi="Times New Roman" w:cs="Times New Roman"/>
          <w:sz w:val="24"/>
          <w:szCs w:val="24"/>
          <w:lang w:val="pt-BR"/>
        </w:rPr>
        <w:t xml:space="preserve"> Depois da Segunda Guerra Mundial, a maioria dos países optaram, em um período ou outro, por controles de capitais e/ou sistemas de taxa de câmbio múltiplas</w:t>
      </w:r>
      <w:r w:rsidR="000010AC">
        <w:rPr>
          <w:rStyle w:val="Refdenotaderodap"/>
          <w:rFonts w:ascii="Times New Roman" w:hAnsi="Times New Roman" w:cs="Times New Roman"/>
          <w:sz w:val="24"/>
          <w:szCs w:val="24"/>
          <w:lang w:val="pt-BR"/>
        </w:rPr>
        <w:footnoteReference w:id="5"/>
      </w:r>
      <w:r w:rsidR="000010AC">
        <w:rPr>
          <w:rFonts w:ascii="Times New Roman" w:hAnsi="Times New Roman" w:cs="Times New Roman"/>
          <w:sz w:val="24"/>
          <w:szCs w:val="24"/>
          <w:lang w:val="pt-BR"/>
        </w:rPr>
        <w:t>.</w:t>
      </w:r>
    </w:p>
    <w:p w:rsidR="00C1570F" w:rsidRDefault="00C1570F" w:rsidP="00D95DC0">
      <w:pPr>
        <w:tabs>
          <w:tab w:val="left" w:pos="720"/>
        </w:tabs>
        <w:spacing w:after="0" w:line="240" w:lineRule="auto"/>
        <w:ind w:firstLine="720"/>
        <w:jc w:val="both"/>
        <w:rPr>
          <w:rFonts w:ascii="Times New Roman" w:hAnsi="Times New Roman" w:cs="Times New Roman"/>
          <w:sz w:val="24"/>
          <w:szCs w:val="24"/>
          <w:lang w:val="pt-BR"/>
        </w:rPr>
      </w:pPr>
      <w:r w:rsidRPr="002231A9">
        <w:rPr>
          <w:rFonts w:ascii="Times New Roman" w:hAnsi="Times New Roman" w:cs="Times New Roman"/>
          <w:sz w:val="24"/>
          <w:szCs w:val="24"/>
          <w:lang w:val="pt-BR"/>
        </w:rPr>
        <w:t>Na classificaçã</w:t>
      </w:r>
      <w:r>
        <w:rPr>
          <w:rFonts w:ascii="Times New Roman" w:hAnsi="Times New Roman" w:cs="Times New Roman"/>
          <w:sz w:val="24"/>
          <w:szCs w:val="24"/>
          <w:lang w:val="pt-BR"/>
        </w:rPr>
        <w:t>o de Reinhart e Roggof (2008), s</w:t>
      </w:r>
      <w:r w:rsidRPr="002231A9">
        <w:rPr>
          <w:rFonts w:ascii="Times New Roman" w:hAnsi="Times New Roman" w:cs="Times New Roman"/>
          <w:sz w:val="24"/>
          <w:szCs w:val="24"/>
          <w:lang w:val="pt-BR"/>
        </w:rPr>
        <w:t xml:space="preserve">e as autoridades não anunciam um regime fixo oficialmente, ele ainda pode ser praticado </w:t>
      </w:r>
      <w:r w:rsidRPr="002231A9">
        <w:rPr>
          <w:rFonts w:ascii="Times New Roman" w:hAnsi="Times New Roman" w:cs="Times New Roman"/>
          <w:i/>
          <w:sz w:val="24"/>
          <w:szCs w:val="24"/>
          <w:lang w:val="pt-BR"/>
        </w:rPr>
        <w:t>de jure.</w:t>
      </w:r>
      <w:r w:rsidRPr="002231A9">
        <w:rPr>
          <w:rFonts w:ascii="Times New Roman" w:hAnsi="Times New Roman" w:cs="Times New Roman"/>
          <w:sz w:val="24"/>
          <w:szCs w:val="24"/>
          <w:lang w:val="pt-BR"/>
        </w:rPr>
        <w:t xml:space="preserve"> Os autores testam essa possibilidade observando a mudança absoluta na média mensal. Já na classificação de </w:t>
      </w:r>
      <w:r>
        <w:rPr>
          <w:rFonts w:ascii="Times New Roman" w:hAnsi="Times New Roman" w:cs="Times New Roman"/>
          <w:sz w:val="24"/>
          <w:szCs w:val="24"/>
          <w:lang w:val="pt-BR"/>
        </w:rPr>
        <w:t>Levy Yeyati e Sturzenegger (2008</w:t>
      </w:r>
      <w:r w:rsidRPr="002231A9">
        <w:rPr>
          <w:rFonts w:ascii="Times New Roman" w:hAnsi="Times New Roman" w:cs="Times New Roman"/>
          <w:sz w:val="24"/>
          <w:szCs w:val="24"/>
          <w:lang w:val="pt-BR"/>
        </w:rPr>
        <w:t>), os autores definem os regimes cambiais de acordo com o comportamento de três variáveis de classificação: mudanças na taxa nominal de câmbio, a volatilidade dessas mudanças, e a volatilida</w:t>
      </w:r>
      <w:r w:rsidR="00120630">
        <w:rPr>
          <w:rFonts w:ascii="Times New Roman" w:hAnsi="Times New Roman" w:cs="Times New Roman"/>
          <w:sz w:val="24"/>
          <w:szCs w:val="24"/>
          <w:lang w:val="pt-BR"/>
        </w:rPr>
        <w:t>de das reservas internacionais.</w:t>
      </w:r>
    </w:p>
    <w:p w:rsidR="00AE0B99" w:rsidRDefault="0049209A" w:rsidP="00D95DC0">
      <w:pPr>
        <w:tabs>
          <w:tab w:val="left" w:pos="720"/>
        </w:tabs>
        <w:spacing w:after="0" w:line="24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Para os fins deste</w:t>
      </w:r>
      <w:r w:rsidR="00AE0B99">
        <w:rPr>
          <w:rFonts w:ascii="Times New Roman" w:hAnsi="Times New Roman" w:cs="Times New Roman"/>
          <w:sz w:val="24"/>
          <w:szCs w:val="24"/>
          <w:lang w:val="pt-BR"/>
        </w:rPr>
        <w:t xml:space="preserve"> trabalho, foram considerados três tipos de regimes cambiais: Regimes Fixos, Regimes Intermediários (que incluem bandas flutuantes e flutuação gerenciada) e Regimes Flutuantes. Esta tipologia combina a classificação das duas categorias adequadamente. </w:t>
      </w:r>
      <w:r>
        <w:rPr>
          <w:rFonts w:ascii="Times New Roman" w:hAnsi="Times New Roman" w:cs="Times New Roman"/>
          <w:sz w:val="24"/>
          <w:szCs w:val="24"/>
          <w:lang w:val="pt-BR"/>
        </w:rPr>
        <w:t>A classificação LYS tem essas três categorias; a classificação RR foi adaptada para ajustar-se, uma vez que ela inclui 6 categorias. Assim sendo, mantivemos a categoria 1 como Regime Fixo; juntamos as categorias 2 (fixo ajustável) e 3 (bandas ajustáveis e flutuação gerenciada) como Regimes Intermediários; e, por fim, juntamos as categorias 4 (livre flutuação) e 5 (</w:t>
      </w:r>
      <w:r>
        <w:rPr>
          <w:rFonts w:ascii="Times New Roman" w:hAnsi="Times New Roman" w:cs="Times New Roman"/>
          <w:i/>
          <w:sz w:val="24"/>
          <w:szCs w:val="24"/>
          <w:lang w:val="pt-BR"/>
        </w:rPr>
        <w:t>freely falling</w:t>
      </w:r>
      <w:r>
        <w:rPr>
          <w:rFonts w:ascii="Times New Roman" w:hAnsi="Times New Roman" w:cs="Times New Roman"/>
          <w:sz w:val="24"/>
          <w:szCs w:val="24"/>
          <w:lang w:val="pt-BR"/>
        </w:rPr>
        <w:t xml:space="preserve">) como flutuantes. </w:t>
      </w:r>
    </w:p>
    <w:p w:rsidR="00C1570F" w:rsidRDefault="00C1570F" w:rsidP="00D95DC0">
      <w:pPr>
        <w:tabs>
          <w:tab w:val="left" w:pos="720"/>
        </w:tabs>
        <w:spacing w:line="240" w:lineRule="auto"/>
        <w:jc w:val="both"/>
        <w:rPr>
          <w:rFonts w:ascii="Times New Roman" w:hAnsi="Times New Roman"/>
          <w:sz w:val="24"/>
          <w:szCs w:val="24"/>
          <w:lang w:val="pt-BR"/>
        </w:rPr>
      </w:pPr>
    </w:p>
    <w:p w:rsidR="00C1570F" w:rsidRPr="00CF2103" w:rsidRDefault="00CF2103" w:rsidP="00D95DC0">
      <w:pPr>
        <w:tabs>
          <w:tab w:val="left" w:pos="720"/>
        </w:tabs>
        <w:spacing w:line="240" w:lineRule="auto"/>
        <w:jc w:val="both"/>
        <w:rPr>
          <w:rFonts w:ascii="Times New Roman" w:hAnsi="Times New Roman"/>
          <w:i/>
          <w:sz w:val="24"/>
          <w:szCs w:val="24"/>
          <w:lang w:val="pt-BR"/>
        </w:rPr>
      </w:pPr>
      <w:r w:rsidRPr="00CF2103">
        <w:rPr>
          <w:rFonts w:ascii="Times New Roman" w:hAnsi="Times New Roman"/>
          <w:i/>
          <w:sz w:val="24"/>
          <w:szCs w:val="24"/>
          <w:lang w:val="pt-BR"/>
        </w:rPr>
        <w:t>3.2 Índices</w:t>
      </w:r>
      <w:r w:rsidR="00C1570F" w:rsidRPr="00CF2103">
        <w:rPr>
          <w:rFonts w:ascii="Times New Roman" w:hAnsi="Times New Roman"/>
          <w:i/>
          <w:sz w:val="24"/>
          <w:szCs w:val="24"/>
          <w:lang w:val="pt-BR"/>
        </w:rPr>
        <w:t xml:space="preserve"> de grau de abertura da conta de capital</w:t>
      </w:r>
    </w:p>
    <w:p w:rsidR="00C1570F" w:rsidRPr="0099159B" w:rsidRDefault="00C1570F" w:rsidP="00D95DC0">
      <w:pPr>
        <w:tabs>
          <w:tab w:val="left" w:pos="720"/>
        </w:tabs>
        <w:spacing w:after="0" w:line="240" w:lineRule="auto"/>
        <w:jc w:val="both"/>
        <w:rPr>
          <w:rFonts w:ascii="Times New Roman" w:hAnsi="Times New Roman"/>
          <w:sz w:val="24"/>
          <w:szCs w:val="24"/>
          <w:lang w:val="pt-BR"/>
        </w:rPr>
      </w:pPr>
    </w:p>
    <w:p w:rsidR="00A854C4" w:rsidRDefault="00C1570F" w:rsidP="00D95DC0">
      <w:pPr>
        <w:tabs>
          <w:tab w:val="left" w:pos="720"/>
        </w:tabs>
        <w:spacing w:after="0" w:line="240" w:lineRule="auto"/>
        <w:ind w:firstLine="720"/>
        <w:jc w:val="both"/>
        <w:rPr>
          <w:rFonts w:ascii="Times New Roman" w:hAnsi="Times New Roman"/>
          <w:sz w:val="24"/>
          <w:szCs w:val="24"/>
          <w:lang w:val="pt-BR"/>
        </w:rPr>
      </w:pPr>
      <w:r w:rsidRPr="0099159B">
        <w:rPr>
          <w:rFonts w:ascii="Times New Roman" w:hAnsi="Times New Roman"/>
          <w:sz w:val="24"/>
          <w:szCs w:val="24"/>
          <w:lang w:val="pt-BR"/>
        </w:rPr>
        <w:t xml:space="preserve">  </w:t>
      </w:r>
      <w:r w:rsidR="00A854C4" w:rsidRPr="0099159B">
        <w:rPr>
          <w:rFonts w:ascii="Times New Roman" w:hAnsi="Times New Roman"/>
          <w:sz w:val="24"/>
          <w:szCs w:val="24"/>
          <w:lang w:val="pt-BR"/>
        </w:rPr>
        <w:t xml:space="preserve">Muitos estudos utilizam uma classificação padrão de regimes cambiais, como o </w:t>
      </w:r>
      <w:r w:rsidR="00A854C4" w:rsidRPr="00A46E70">
        <w:rPr>
          <w:rFonts w:ascii="Times New Roman" w:hAnsi="Times New Roman"/>
          <w:i/>
          <w:sz w:val="24"/>
          <w:szCs w:val="24"/>
          <w:lang w:val="pt-BR"/>
        </w:rPr>
        <w:t>Annual Report on Exchange Rate Arrangements and Exchange Restrictions</w:t>
      </w:r>
      <w:r w:rsidR="00A854C4" w:rsidRPr="0099159B">
        <w:rPr>
          <w:rFonts w:ascii="Times New Roman" w:hAnsi="Times New Roman"/>
          <w:sz w:val="24"/>
          <w:szCs w:val="24"/>
          <w:lang w:val="pt-BR"/>
        </w:rPr>
        <w:t>, publicadas pelo Fundo Monetário Internacional (FMI)</w:t>
      </w:r>
      <w:r w:rsidR="00A854C4">
        <w:rPr>
          <w:rStyle w:val="Refdenotaderodap"/>
          <w:rFonts w:ascii="Times New Roman" w:hAnsi="Times New Roman"/>
          <w:sz w:val="24"/>
          <w:szCs w:val="24"/>
          <w:lang w:val="pt-BR"/>
        </w:rPr>
        <w:footnoteReference w:id="6"/>
      </w:r>
      <w:r w:rsidR="00A854C4">
        <w:rPr>
          <w:rFonts w:ascii="Times New Roman" w:hAnsi="Times New Roman"/>
          <w:sz w:val="24"/>
          <w:szCs w:val="24"/>
          <w:lang w:val="pt-BR"/>
        </w:rPr>
        <w:t xml:space="preserve">. </w:t>
      </w:r>
      <w:r w:rsidR="00A854C4" w:rsidRPr="0099159B">
        <w:rPr>
          <w:rFonts w:ascii="Times New Roman" w:hAnsi="Times New Roman"/>
          <w:sz w:val="24"/>
          <w:szCs w:val="24"/>
          <w:lang w:val="pt-BR"/>
        </w:rPr>
        <w:t xml:space="preserve">Entretanto, uma leitura mais acurada das experiências de regimes cambiais sugere que estas classificações oficiais falham muitas vezes em descrever as práticas dos países, e que o gap entre de </w:t>
      </w:r>
      <w:r w:rsidR="00A854C4" w:rsidRPr="00A46E70">
        <w:rPr>
          <w:rFonts w:ascii="Times New Roman" w:hAnsi="Times New Roman"/>
          <w:i/>
          <w:sz w:val="24"/>
          <w:szCs w:val="24"/>
          <w:lang w:val="pt-BR"/>
        </w:rPr>
        <w:t>facto</w:t>
      </w:r>
      <w:r w:rsidR="00A854C4" w:rsidRPr="0099159B">
        <w:rPr>
          <w:rFonts w:ascii="Times New Roman" w:hAnsi="Times New Roman"/>
          <w:sz w:val="24"/>
          <w:szCs w:val="24"/>
          <w:lang w:val="pt-BR"/>
        </w:rPr>
        <w:t xml:space="preserve"> e de </w:t>
      </w:r>
      <w:r w:rsidR="00A854C4" w:rsidRPr="00A46E70">
        <w:rPr>
          <w:rFonts w:ascii="Times New Roman" w:hAnsi="Times New Roman"/>
          <w:i/>
          <w:sz w:val="24"/>
          <w:szCs w:val="24"/>
          <w:lang w:val="pt-BR"/>
        </w:rPr>
        <w:t>jure</w:t>
      </w:r>
      <w:r w:rsidR="00A854C4" w:rsidRPr="0099159B">
        <w:rPr>
          <w:rFonts w:ascii="Times New Roman" w:hAnsi="Times New Roman"/>
          <w:sz w:val="24"/>
          <w:szCs w:val="24"/>
          <w:lang w:val="pt-BR"/>
        </w:rPr>
        <w:t xml:space="preserve"> pode ser extenso. </w:t>
      </w:r>
      <w:r w:rsidR="00A854C4">
        <w:rPr>
          <w:rFonts w:ascii="Times New Roman" w:hAnsi="Times New Roman"/>
          <w:sz w:val="24"/>
          <w:szCs w:val="24"/>
          <w:lang w:val="pt-BR"/>
        </w:rPr>
        <w:t>Muitas das</w:t>
      </w:r>
      <w:r w:rsidRPr="0099159B">
        <w:rPr>
          <w:rFonts w:ascii="Times New Roman" w:hAnsi="Times New Roman"/>
          <w:sz w:val="24"/>
          <w:szCs w:val="24"/>
          <w:lang w:val="pt-BR"/>
        </w:rPr>
        <w:t xml:space="preserve"> tentativas </w:t>
      </w:r>
      <w:r w:rsidR="00A854C4">
        <w:rPr>
          <w:rFonts w:ascii="Times New Roman" w:hAnsi="Times New Roman"/>
          <w:sz w:val="24"/>
          <w:szCs w:val="24"/>
          <w:lang w:val="pt-BR"/>
        </w:rPr>
        <w:t xml:space="preserve">de estudar o fluxo de capitais, entretanto, </w:t>
      </w:r>
      <w:r w:rsidRPr="0099159B">
        <w:rPr>
          <w:rFonts w:ascii="Times New Roman" w:hAnsi="Times New Roman"/>
          <w:sz w:val="24"/>
          <w:szCs w:val="24"/>
          <w:lang w:val="pt-BR"/>
        </w:rPr>
        <w:t>resultaram em índices binários de classificação da abertura. Uma grande limitação desses índices, entretanto, é de que não distinguem acuradamente entre diferentes intensidades de restrições de capitais.</w:t>
      </w:r>
    </w:p>
    <w:p w:rsidR="00C1570F" w:rsidRDefault="00C1570F" w:rsidP="00D95DC0">
      <w:pPr>
        <w:tabs>
          <w:tab w:val="left" w:pos="720"/>
        </w:tabs>
        <w:spacing w:after="0" w:line="240" w:lineRule="auto"/>
        <w:ind w:firstLine="720"/>
        <w:jc w:val="both"/>
        <w:rPr>
          <w:rFonts w:ascii="Times New Roman" w:hAnsi="Times New Roman"/>
          <w:sz w:val="24"/>
          <w:szCs w:val="24"/>
          <w:lang w:val="pt-BR"/>
        </w:rPr>
      </w:pPr>
      <w:r w:rsidRPr="0099159B">
        <w:rPr>
          <w:rFonts w:ascii="Times New Roman" w:hAnsi="Times New Roman"/>
          <w:sz w:val="24"/>
          <w:szCs w:val="24"/>
          <w:lang w:val="pt-BR"/>
        </w:rPr>
        <w:lastRenderedPageBreak/>
        <w:t>Edwards (2005) construiu um novo índice, que é utilizado neste trabalho, onde é combinada informações de Quinn (2003) e Mody e Morshid (2002), com informações de fontes especificas de países</w:t>
      </w:r>
      <w:r w:rsidR="00753273">
        <w:rPr>
          <w:rFonts w:ascii="Times New Roman" w:hAnsi="Times New Roman"/>
          <w:sz w:val="24"/>
          <w:szCs w:val="24"/>
          <w:lang w:val="pt-BR"/>
        </w:rPr>
        <w:t>. Este índice</w:t>
      </w:r>
      <w:r w:rsidRPr="0099159B">
        <w:rPr>
          <w:rFonts w:ascii="Times New Roman" w:hAnsi="Times New Roman"/>
          <w:sz w:val="24"/>
          <w:szCs w:val="24"/>
          <w:lang w:val="pt-BR"/>
        </w:rPr>
        <w:t xml:space="preserve"> cobre o período de 1970-2000, sendo utilizado neste trabalho a partir do ano de 1990, e tem dados para 163 países, embora nem todos os países tenham dados para todos os anos. Edwards (2005) sublinha que</w:t>
      </w:r>
      <w:r w:rsidR="00753273">
        <w:rPr>
          <w:rFonts w:ascii="Times New Roman" w:hAnsi="Times New Roman"/>
          <w:sz w:val="24"/>
          <w:szCs w:val="24"/>
          <w:lang w:val="pt-BR"/>
        </w:rPr>
        <w:t>, embora seu índice seja um</w:t>
      </w:r>
      <w:r w:rsidRPr="0099159B">
        <w:rPr>
          <w:rFonts w:ascii="Times New Roman" w:hAnsi="Times New Roman"/>
          <w:sz w:val="24"/>
          <w:szCs w:val="24"/>
          <w:lang w:val="pt-BR"/>
        </w:rPr>
        <w:t xml:space="preserve"> avanço em relação a outros índices alternativos, ele ainda tem limitações, em especial de</w:t>
      </w:r>
      <w:r w:rsidR="00E04230">
        <w:rPr>
          <w:rFonts w:ascii="Times New Roman" w:hAnsi="Times New Roman"/>
          <w:sz w:val="24"/>
          <w:szCs w:val="24"/>
          <w:lang w:val="pt-BR"/>
        </w:rPr>
        <w:t>vido ao fato de que não distingu</w:t>
      </w:r>
      <w:r w:rsidR="00E04230" w:rsidRPr="0099159B">
        <w:rPr>
          <w:rFonts w:ascii="Times New Roman" w:hAnsi="Times New Roman"/>
          <w:sz w:val="24"/>
          <w:szCs w:val="24"/>
          <w:lang w:val="pt-BR"/>
        </w:rPr>
        <w:t>e</w:t>
      </w:r>
      <w:r w:rsidRPr="0099159B">
        <w:rPr>
          <w:rFonts w:ascii="Times New Roman" w:hAnsi="Times New Roman"/>
          <w:sz w:val="24"/>
          <w:szCs w:val="24"/>
          <w:lang w:val="pt-BR"/>
        </w:rPr>
        <w:t xml:space="preserve"> de maneira bastante acurada entre restrições sobre influxo de capitais e restrições a saída de capitais.</w:t>
      </w:r>
    </w:p>
    <w:p w:rsidR="005D361F" w:rsidRDefault="00753273" w:rsidP="00725358">
      <w:pPr>
        <w:tabs>
          <w:tab w:val="left" w:pos="720"/>
        </w:tabs>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Além da base de dados de Edwards (2005), utilizamos testes de robustez com a série de integração financeira </w:t>
      </w:r>
      <w:r>
        <w:rPr>
          <w:rFonts w:ascii="Times New Roman" w:hAnsi="Times New Roman"/>
          <w:i/>
          <w:sz w:val="24"/>
          <w:szCs w:val="24"/>
          <w:lang w:val="pt-BR"/>
        </w:rPr>
        <w:t>KAOPEN</w:t>
      </w:r>
      <w:r>
        <w:rPr>
          <w:rFonts w:ascii="Times New Roman" w:hAnsi="Times New Roman"/>
          <w:sz w:val="24"/>
          <w:szCs w:val="24"/>
          <w:lang w:val="pt-BR"/>
        </w:rPr>
        <w:t xml:space="preserve"> de Chinn e Ito (2008)</w:t>
      </w:r>
      <w:r w:rsidR="000010AC">
        <w:rPr>
          <w:rStyle w:val="Refdenotaderodap"/>
          <w:rFonts w:ascii="Times New Roman" w:hAnsi="Times New Roman"/>
          <w:sz w:val="24"/>
          <w:szCs w:val="24"/>
          <w:lang w:val="pt-BR"/>
        </w:rPr>
        <w:footnoteReference w:id="7"/>
      </w:r>
      <w:r>
        <w:rPr>
          <w:rFonts w:ascii="Times New Roman" w:hAnsi="Times New Roman"/>
          <w:sz w:val="24"/>
          <w:szCs w:val="24"/>
          <w:lang w:val="pt-BR"/>
        </w:rPr>
        <w:t xml:space="preserve">. </w:t>
      </w:r>
    </w:p>
    <w:p w:rsidR="00C1570F" w:rsidRDefault="004010C2" w:rsidP="00725358">
      <w:pPr>
        <w:tabs>
          <w:tab w:val="left" w:pos="720"/>
        </w:tabs>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 xml:space="preserve">Dadas essas considerações, Chinn e Ito (2008) constroem uma base de dados com um índice, </w:t>
      </w:r>
      <w:r>
        <w:rPr>
          <w:rFonts w:ascii="Times New Roman" w:hAnsi="Times New Roman"/>
          <w:i/>
          <w:sz w:val="24"/>
          <w:szCs w:val="24"/>
          <w:lang w:val="pt-BR"/>
        </w:rPr>
        <w:t>KAOPEN</w:t>
      </w:r>
      <w:r>
        <w:rPr>
          <w:rFonts w:ascii="Times New Roman" w:hAnsi="Times New Roman"/>
          <w:sz w:val="24"/>
          <w:szCs w:val="24"/>
          <w:lang w:val="pt-BR"/>
        </w:rPr>
        <w:t xml:space="preserve">, que mede a extensão da abertura das transações na conta de capital. O índice cobre o período de 1970 a 2005, sendo utilizado a 2004 (o índice de Edwards vai até 2000). A construção de </w:t>
      </w:r>
      <w:r>
        <w:rPr>
          <w:rFonts w:ascii="Times New Roman" w:hAnsi="Times New Roman"/>
          <w:i/>
          <w:sz w:val="24"/>
          <w:szCs w:val="24"/>
          <w:lang w:val="pt-BR"/>
        </w:rPr>
        <w:t>KAOPEN</w:t>
      </w:r>
      <w:r>
        <w:rPr>
          <w:rFonts w:ascii="Times New Roman" w:hAnsi="Times New Roman"/>
          <w:sz w:val="24"/>
          <w:szCs w:val="24"/>
          <w:lang w:val="pt-BR"/>
        </w:rPr>
        <w:t xml:space="preserve"> </w:t>
      </w:r>
      <w:r w:rsidR="00A854C4">
        <w:rPr>
          <w:rFonts w:ascii="Times New Roman" w:hAnsi="Times New Roman"/>
          <w:sz w:val="24"/>
          <w:szCs w:val="24"/>
          <w:lang w:val="pt-BR"/>
        </w:rPr>
        <w:t xml:space="preserve">é baseada nas variáveis binárias do </w:t>
      </w:r>
      <w:r w:rsidR="00A854C4">
        <w:rPr>
          <w:rFonts w:ascii="Times New Roman" w:hAnsi="Times New Roman"/>
          <w:i/>
          <w:sz w:val="24"/>
          <w:szCs w:val="24"/>
          <w:lang w:val="pt-BR"/>
        </w:rPr>
        <w:t>Annual Repor</w:t>
      </w:r>
      <w:r w:rsidR="00782911">
        <w:rPr>
          <w:rFonts w:ascii="Times New Roman" w:hAnsi="Times New Roman"/>
          <w:i/>
          <w:sz w:val="24"/>
          <w:szCs w:val="24"/>
          <w:lang w:val="pt-BR"/>
        </w:rPr>
        <w:t>t o</w:t>
      </w:r>
      <w:r w:rsidR="00A854C4">
        <w:rPr>
          <w:rFonts w:ascii="Times New Roman" w:hAnsi="Times New Roman"/>
          <w:i/>
          <w:sz w:val="24"/>
          <w:szCs w:val="24"/>
          <w:lang w:val="pt-BR"/>
        </w:rPr>
        <w:t>n Exchange Arrangements and Exchange Restrictions</w:t>
      </w:r>
      <w:r w:rsidR="00A854C4">
        <w:rPr>
          <w:rFonts w:ascii="Times New Roman" w:hAnsi="Times New Roman"/>
          <w:sz w:val="24"/>
          <w:szCs w:val="24"/>
          <w:lang w:val="pt-BR"/>
        </w:rPr>
        <w:t xml:space="preserve">, com algumas modificações. </w:t>
      </w:r>
    </w:p>
    <w:p w:rsidR="00725358" w:rsidRDefault="00725358" w:rsidP="00725358">
      <w:pPr>
        <w:tabs>
          <w:tab w:val="left" w:pos="720"/>
        </w:tabs>
        <w:spacing w:after="0" w:line="240" w:lineRule="auto"/>
        <w:ind w:firstLine="720"/>
        <w:jc w:val="both"/>
        <w:rPr>
          <w:rFonts w:ascii="Times New Roman" w:hAnsi="Times New Roman" w:cs="Times New Roman"/>
          <w:sz w:val="24"/>
          <w:szCs w:val="24"/>
          <w:lang w:val="pt-BR"/>
        </w:rPr>
      </w:pPr>
    </w:p>
    <w:p w:rsidR="001B63E5" w:rsidRPr="00B5130D" w:rsidRDefault="00B5130D" w:rsidP="00D95DC0">
      <w:pPr>
        <w:tabs>
          <w:tab w:val="left" w:pos="720"/>
        </w:tabs>
        <w:spacing w:after="0" w:line="240" w:lineRule="auto"/>
        <w:jc w:val="both"/>
        <w:rPr>
          <w:rFonts w:ascii="Times New Roman" w:hAnsi="Times New Roman" w:cs="Times New Roman"/>
          <w:i/>
          <w:sz w:val="24"/>
          <w:szCs w:val="24"/>
          <w:lang w:val="pt-BR"/>
        </w:rPr>
      </w:pPr>
      <w:r w:rsidRPr="00B5130D">
        <w:rPr>
          <w:rFonts w:ascii="Times New Roman" w:hAnsi="Times New Roman" w:cs="Times New Roman"/>
          <w:i/>
          <w:sz w:val="24"/>
          <w:szCs w:val="24"/>
          <w:lang w:val="pt-BR"/>
        </w:rPr>
        <w:t>3.3 Testes de raiz unitária e especificação do modelo.</w:t>
      </w:r>
    </w:p>
    <w:p w:rsidR="00DB7227" w:rsidRDefault="00DB7227" w:rsidP="00D95DC0">
      <w:pPr>
        <w:tabs>
          <w:tab w:val="left" w:pos="720"/>
          <w:tab w:val="left" w:pos="9270"/>
        </w:tabs>
        <w:spacing w:after="0" w:line="240" w:lineRule="auto"/>
        <w:ind w:firstLine="720"/>
        <w:jc w:val="both"/>
        <w:rPr>
          <w:rFonts w:ascii="Times New Roman" w:hAnsi="Times New Roman" w:cs="Times New Roman"/>
          <w:sz w:val="24"/>
          <w:szCs w:val="24"/>
          <w:lang w:val="pt-BR"/>
        </w:rPr>
      </w:pPr>
    </w:p>
    <w:p w:rsidR="001A21CD" w:rsidRDefault="001A21CD" w:rsidP="00D95DC0">
      <w:pPr>
        <w:tabs>
          <w:tab w:val="left" w:pos="720"/>
          <w:tab w:val="left" w:pos="9270"/>
        </w:tabs>
        <w:spacing w:after="0" w:line="24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Para examinar os determinantes do desalinhamento utilizamos uma amostra de 102 países no período de 1970-2004. Os detalhes a respeito da amostra utilizada estão no Apêndice I. Nossa amostra total cobre cerca de 90% do Produto Nacional Bruto, em valores de 2005. Os países selecionados tiveram nesse período experiência suficiente de mudanças de regimes cambiais e alterações no controle da conta de capital para que a amostra que compõe o painel seja rica de informações para o experimento. </w:t>
      </w:r>
    </w:p>
    <w:p w:rsidR="00DE747E" w:rsidRDefault="001B63E5" w:rsidP="007E4941">
      <w:pPr>
        <w:tabs>
          <w:tab w:val="left" w:pos="720"/>
          <w:tab w:val="left" w:pos="9270"/>
        </w:tabs>
        <w:spacing w:after="0" w:line="240" w:lineRule="auto"/>
        <w:ind w:firstLine="720"/>
        <w:jc w:val="both"/>
        <w:rPr>
          <w:rFonts w:ascii="Times New Roman" w:hAnsi="Times New Roman" w:cs="Times New Roman"/>
          <w:sz w:val="24"/>
          <w:szCs w:val="24"/>
          <w:lang w:val="pt-BR"/>
        </w:rPr>
      </w:pPr>
      <w:r w:rsidRPr="00635FFF">
        <w:rPr>
          <w:rFonts w:ascii="Times New Roman" w:hAnsi="Times New Roman" w:cs="Times New Roman"/>
          <w:sz w:val="24"/>
          <w:szCs w:val="24"/>
          <w:lang w:val="pt-BR"/>
        </w:rPr>
        <w:t>Os componentes que estão na equação de determinação de longo prazo cointegrada são aqueles que possuem raiz unitária e</w:t>
      </w:r>
      <w:r>
        <w:rPr>
          <w:rFonts w:ascii="Times New Roman" w:hAnsi="Times New Roman" w:cs="Times New Roman"/>
          <w:sz w:val="24"/>
          <w:szCs w:val="24"/>
          <w:lang w:val="pt-BR"/>
        </w:rPr>
        <w:t xml:space="preserve"> passaram no teste de cointegração</w:t>
      </w:r>
      <w:r w:rsidRPr="00635FFF">
        <w:rPr>
          <w:rFonts w:ascii="Times New Roman" w:hAnsi="Times New Roman" w:cs="Times New Roman"/>
          <w:sz w:val="24"/>
          <w:szCs w:val="24"/>
          <w:lang w:val="pt-BR"/>
        </w:rPr>
        <w:t xml:space="preserve"> em painel de Pedroni. A idéia é de que estes componentes são fundamentos </w:t>
      </w:r>
      <w:r w:rsidRPr="00CF2103">
        <w:rPr>
          <w:rFonts w:ascii="Times New Roman" w:hAnsi="Times New Roman" w:cs="Times New Roman"/>
          <w:i/>
          <w:sz w:val="24"/>
          <w:szCs w:val="24"/>
          <w:lang w:val="pt-BR"/>
        </w:rPr>
        <w:t>que determinam no longo prazo o comportamento da taxa de câmbio, não determinando trajetórias transitórias para esta taxa</w:t>
      </w:r>
      <w:r w:rsidRPr="00635FFF">
        <w:rPr>
          <w:rFonts w:ascii="Times New Roman" w:hAnsi="Times New Roman" w:cs="Times New Roman"/>
          <w:sz w:val="24"/>
          <w:szCs w:val="24"/>
          <w:lang w:val="pt-BR"/>
        </w:rPr>
        <w:t>. Já os componentes elencados na equação de determinação do alinhamento do câmbio à sua trajetória de longo prazo</w:t>
      </w:r>
      <w:r w:rsidR="00AB0277">
        <w:rPr>
          <w:rFonts w:ascii="Times New Roman" w:hAnsi="Times New Roman" w:cs="Times New Roman"/>
          <w:sz w:val="24"/>
          <w:szCs w:val="24"/>
          <w:lang w:val="pt-BR"/>
        </w:rPr>
        <w:t>, na seção posterior,</w:t>
      </w:r>
      <w:r w:rsidRPr="00635FFF">
        <w:rPr>
          <w:rFonts w:ascii="Times New Roman" w:hAnsi="Times New Roman" w:cs="Times New Roman"/>
          <w:sz w:val="24"/>
          <w:szCs w:val="24"/>
          <w:lang w:val="pt-BR"/>
        </w:rPr>
        <w:t xml:space="preserve"> são aqueles de </w:t>
      </w:r>
      <w:r w:rsidRPr="00AB0277">
        <w:rPr>
          <w:rFonts w:ascii="Times New Roman" w:hAnsi="Times New Roman" w:cs="Times New Roman"/>
          <w:i/>
          <w:sz w:val="24"/>
          <w:szCs w:val="24"/>
          <w:lang w:val="pt-BR"/>
        </w:rPr>
        <w:t>natureza de ajuste transitória</w:t>
      </w:r>
      <w:r w:rsidRPr="00635FFF">
        <w:rPr>
          <w:rFonts w:ascii="Times New Roman" w:hAnsi="Times New Roman" w:cs="Times New Roman"/>
          <w:sz w:val="24"/>
          <w:szCs w:val="24"/>
          <w:lang w:val="pt-BR"/>
        </w:rPr>
        <w:t>; são estacionários e, por isso, não perfazem com a REER uma cointegração estatisticamente significante</w:t>
      </w:r>
      <w:r w:rsidR="001D4F52">
        <w:rPr>
          <w:rStyle w:val="Refdenotaderodap"/>
          <w:rFonts w:ascii="Times New Roman" w:hAnsi="Times New Roman" w:cs="Times New Roman"/>
          <w:sz w:val="24"/>
          <w:szCs w:val="24"/>
          <w:lang w:val="pt-BR"/>
        </w:rPr>
        <w:footnoteReference w:id="8"/>
      </w:r>
      <w:r w:rsidRPr="00635FFF">
        <w:rPr>
          <w:rFonts w:ascii="Times New Roman" w:hAnsi="Times New Roman" w:cs="Times New Roman"/>
          <w:sz w:val="24"/>
          <w:szCs w:val="24"/>
          <w:lang w:val="pt-BR"/>
        </w:rPr>
        <w:t xml:space="preserve">. </w:t>
      </w:r>
    </w:p>
    <w:p w:rsidR="00CF2103" w:rsidRDefault="00CF2103" w:rsidP="007E4941">
      <w:pPr>
        <w:tabs>
          <w:tab w:val="left" w:pos="720"/>
          <w:tab w:val="left" w:pos="9270"/>
        </w:tabs>
        <w:spacing w:after="0" w:line="24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A Tabela 1</w:t>
      </w:r>
      <w:r w:rsidR="00F80550">
        <w:rPr>
          <w:rFonts w:ascii="Times New Roman" w:hAnsi="Times New Roman" w:cs="Times New Roman"/>
          <w:sz w:val="24"/>
          <w:szCs w:val="24"/>
          <w:lang w:val="pt-BR"/>
        </w:rPr>
        <w:t xml:space="preserve"> de</w:t>
      </w:r>
      <w:r w:rsidR="00DE747E">
        <w:rPr>
          <w:rFonts w:ascii="Times New Roman" w:hAnsi="Times New Roman" w:cs="Times New Roman"/>
          <w:sz w:val="24"/>
          <w:szCs w:val="24"/>
          <w:lang w:val="pt-BR"/>
        </w:rPr>
        <w:t>talha os testes de raiz unitária</w:t>
      </w:r>
      <w:r w:rsidR="00F80550">
        <w:rPr>
          <w:rFonts w:ascii="Times New Roman" w:hAnsi="Times New Roman" w:cs="Times New Roman"/>
          <w:sz w:val="24"/>
          <w:szCs w:val="24"/>
          <w:lang w:val="pt-BR"/>
        </w:rPr>
        <w:t xml:space="preserve"> feitos sobre as séries de importância.</w:t>
      </w:r>
      <w:r w:rsidR="001B63E5" w:rsidRPr="00635FFF">
        <w:rPr>
          <w:rFonts w:ascii="Times New Roman" w:hAnsi="Times New Roman" w:cs="Times New Roman"/>
          <w:sz w:val="24"/>
          <w:szCs w:val="24"/>
          <w:lang w:val="pt-BR"/>
        </w:rPr>
        <w:t xml:space="preserve"> </w:t>
      </w:r>
      <w:r w:rsidR="00AB0277">
        <w:rPr>
          <w:rFonts w:ascii="Times New Roman" w:hAnsi="Times New Roman" w:cs="Times New Roman"/>
          <w:sz w:val="24"/>
          <w:szCs w:val="24"/>
          <w:lang w:val="pt-BR"/>
        </w:rPr>
        <w:t>As variáveis</w:t>
      </w:r>
      <w:r w:rsidR="00E2114A">
        <w:rPr>
          <w:rFonts w:ascii="Times New Roman" w:hAnsi="Times New Roman" w:cs="Times New Roman"/>
          <w:sz w:val="24"/>
          <w:szCs w:val="24"/>
          <w:lang w:val="pt-BR"/>
        </w:rPr>
        <w:t xml:space="preserve"> tais</w:t>
      </w:r>
      <w:r w:rsidR="00AB0277">
        <w:rPr>
          <w:rFonts w:ascii="Times New Roman" w:hAnsi="Times New Roman" w:cs="Times New Roman"/>
          <w:sz w:val="24"/>
          <w:szCs w:val="24"/>
          <w:lang w:val="pt-BR"/>
        </w:rPr>
        <w:t xml:space="preserve"> como termos de troca e inflação relativa</w:t>
      </w:r>
      <w:r w:rsidR="00E2114A">
        <w:rPr>
          <w:rFonts w:ascii="Times New Roman" w:hAnsi="Times New Roman" w:cs="Times New Roman"/>
          <w:sz w:val="24"/>
          <w:szCs w:val="24"/>
          <w:lang w:val="pt-BR"/>
        </w:rPr>
        <w:t>,</w:t>
      </w:r>
      <w:r w:rsidR="00AB0277">
        <w:rPr>
          <w:rFonts w:ascii="Times New Roman" w:hAnsi="Times New Roman" w:cs="Times New Roman"/>
          <w:sz w:val="24"/>
          <w:szCs w:val="24"/>
          <w:lang w:val="pt-BR"/>
        </w:rPr>
        <w:t xml:space="preserve"> que fazem parte dos modelos de </w:t>
      </w:r>
      <w:r w:rsidR="00AB0277">
        <w:rPr>
          <w:rFonts w:ascii="Times New Roman" w:hAnsi="Times New Roman" w:cs="Times New Roman"/>
          <w:sz w:val="24"/>
          <w:szCs w:val="24"/>
          <w:lang w:val="pt-BR"/>
        </w:rPr>
        <w:lastRenderedPageBreak/>
        <w:t>determinação de câmbio</w:t>
      </w:r>
      <w:r w:rsidR="00E2114A">
        <w:rPr>
          <w:rFonts w:ascii="Times New Roman" w:hAnsi="Times New Roman" w:cs="Times New Roman"/>
          <w:sz w:val="24"/>
          <w:szCs w:val="24"/>
          <w:lang w:val="pt-BR"/>
        </w:rPr>
        <w:t>,</w:t>
      </w:r>
      <w:r w:rsidR="00AB0277">
        <w:rPr>
          <w:rFonts w:ascii="Times New Roman" w:hAnsi="Times New Roman" w:cs="Times New Roman"/>
          <w:sz w:val="24"/>
          <w:szCs w:val="24"/>
          <w:lang w:val="pt-BR"/>
        </w:rPr>
        <w:t xml:space="preserve"> mas não são integradas</w:t>
      </w:r>
      <w:r w:rsidR="00E2114A">
        <w:rPr>
          <w:rFonts w:ascii="Times New Roman" w:hAnsi="Times New Roman" w:cs="Times New Roman"/>
          <w:sz w:val="24"/>
          <w:szCs w:val="24"/>
          <w:lang w:val="pt-BR"/>
        </w:rPr>
        <w:t>,</w:t>
      </w:r>
      <w:r w:rsidR="00AB0277">
        <w:rPr>
          <w:rFonts w:ascii="Times New Roman" w:hAnsi="Times New Roman" w:cs="Times New Roman"/>
          <w:sz w:val="24"/>
          <w:szCs w:val="24"/>
          <w:lang w:val="pt-BR"/>
        </w:rPr>
        <w:t xml:space="preserve"> foram utilizadas como variáveis de controle na equação que explica os desalinhamentos cambiais, na seção posterior.</w:t>
      </w:r>
      <w:r w:rsidR="007E4941">
        <w:rPr>
          <w:rFonts w:ascii="Times New Roman" w:hAnsi="Times New Roman" w:cs="Times New Roman"/>
          <w:sz w:val="24"/>
          <w:szCs w:val="24"/>
          <w:lang w:val="pt-BR"/>
        </w:rPr>
        <w:t xml:space="preserve"> As demais séries utilizadas para compor os painéis </w:t>
      </w:r>
      <w:r w:rsidR="007E4941">
        <w:rPr>
          <w:rFonts w:ascii="Times New Roman" w:hAnsi="Times New Roman" w:cs="Times New Roman"/>
          <w:i/>
          <w:sz w:val="24"/>
          <w:szCs w:val="24"/>
          <w:lang w:val="pt-BR"/>
        </w:rPr>
        <w:t>System-</w:t>
      </w:r>
      <w:r w:rsidR="007E4941">
        <w:rPr>
          <w:rFonts w:ascii="Times New Roman" w:hAnsi="Times New Roman" w:cs="Times New Roman"/>
          <w:sz w:val="24"/>
          <w:szCs w:val="24"/>
          <w:lang w:val="pt-BR"/>
        </w:rPr>
        <w:t>GMM</w:t>
      </w:r>
      <w:r w:rsidR="00B5130D">
        <w:rPr>
          <w:rFonts w:ascii="Times New Roman" w:hAnsi="Times New Roman" w:cs="Times New Roman"/>
          <w:sz w:val="24"/>
          <w:szCs w:val="24"/>
          <w:lang w:val="pt-BR"/>
        </w:rPr>
        <w:t xml:space="preserve"> se revelaram todas estacionárias em nível; os resultados dos testes em nível foram omitidos da exposição por conveniência e espaço, podendo ser obtidas diretamente com os autores.</w:t>
      </w:r>
    </w:p>
    <w:p w:rsidR="000010AC" w:rsidRDefault="000010AC" w:rsidP="000010AC">
      <w:pPr>
        <w:tabs>
          <w:tab w:val="left" w:pos="720"/>
        </w:tabs>
        <w:spacing w:after="0" w:line="240" w:lineRule="auto"/>
        <w:ind w:firstLine="720"/>
        <w:rPr>
          <w:rFonts w:ascii="Times New Roman" w:hAnsi="Times New Roman" w:cs="Times New Roman"/>
          <w:sz w:val="24"/>
          <w:szCs w:val="24"/>
          <w:lang w:val="pt-BR"/>
        </w:rPr>
      </w:pPr>
      <w:r w:rsidRPr="004F7009">
        <w:rPr>
          <w:rFonts w:ascii="Times New Roman" w:hAnsi="Times New Roman" w:cs="Times New Roman"/>
          <w:sz w:val="24"/>
          <w:szCs w:val="24"/>
          <w:lang w:val="pt-BR"/>
        </w:rPr>
        <w:t>Para executar os testes de cointegraç</w:t>
      </w:r>
      <w:r>
        <w:rPr>
          <w:rFonts w:ascii="Times New Roman" w:hAnsi="Times New Roman" w:cs="Times New Roman"/>
          <w:sz w:val="24"/>
          <w:szCs w:val="24"/>
          <w:lang w:val="pt-BR"/>
        </w:rPr>
        <w:t>ão em painel, são aplicados os sete testes propostos por Pedroni (1999). A relação a ser estimada pelo teste é a seguinte:</w:t>
      </w:r>
    </w:p>
    <w:p w:rsidR="000010AC" w:rsidRDefault="006E1488" w:rsidP="000010AC">
      <w:pPr>
        <w:tabs>
          <w:tab w:val="left" w:pos="720"/>
        </w:tabs>
        <w:spacing w:after="0" w:line="240" w:lineRule="auto"/>
        <w:ind w:firstLine="720"/>
        <w:rPr>
          <w:rFonts w:ascii="Times New Roman" w:eastAsiaTheme="minorEastAsia" w:hAnsi="Times New Roman" w:cs="Times New Roman"/>
          <w:sz w:val="24"/>
          <w:szCs w:val="24"/>
          <w:lang w:val="pt-BR"/>
        </w:rPr>
      </w:pPr>
      <m:oMathPara>
        <m:oMath>
          <m:sSub>
            <m:sSubPr>
              <m:ctrlPr>
                <w:rPr>
                  <w:rFonts w:ascii="Cambria Math" w:hAnsi="Cambria Math" w:cs="Times New Roman"/>
                  <w:i/>
                  <w:sz w:val="24"/>
                  <w:szCs w:val="24"/>
                  <w:lang w:val="pt-BR"/>
                </w:rPr>
              </m:ctrlPr>
            </m:sSubPr>
            <m:e>
              <m:r>
                <w:rPr>
                  <w:rFonts w:ascii="Cambria Math" w:hAnsi="Cambria Math" w:cs="Times New Roman"/>
                  <w:sz w:val="24"/>
                  <w:szCs w:val="24"/>
                  <w:lang w:val="pt-BR"/>
                </w:rPr>
                <m:t>q</m:t>
              </m:r>
            </m:e>
            <m:sub>
              <m:r>
                <w:rPr>
                  <w:rFonts w:ascii="Cambria Math" w:hAnsi="Cambria Math" w:cs="Times New Roman"/>
                  <w:sz w:val="24"/>
                  <w:szCs w:val="24"/>
                  <w:lang w:val="pt-BR"/>
                </w:rPr>
                <m:t>it</m:t>
              </m:r>
            </m:sub>
          </m:sSub>
          <m:r>
            <w:rPr>
              <w:rFonts w:ascii="Cambria Math" w:hAnsi="Cambria Math" w:cs="Times New Roman"/>
              <w:sz w:val="24"/>
              <w:szCs w:val="24"/>
              <w:lang w:val="pt-BR"/>
            </w:rPr>
            <m:t>=</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φ</m:t>
              </m:r>
            </m:e>
            <m:sub>
              <m:r>
                <w:rPr>
                  <w:rFonts w:ascii="Cambria Math" w:hAnsi="Cambria Math" w:cs="Times New Roman"/>
                  <w:sz w:val="24"/>
                  <w:szCs w:val="24"/>
                  <w:lang w:val="pt-BR"/>
                </w:rPr>
                <m:t>0i</m:t>
              </m:r>
            </m:sub>
          </m:sSub>
          <m:r>
            <w:rPr>
              <w:rFonts w:ascii="Cambria Math" w:hAnsi="Cambria Math" w:cs="Times New Roman"/>
              <w:sz w:val="24"/>
              <w:szCs w:val="24"/>
              <w:lang w:val="pt-BR"/>
            </w:rPr>
            <m:t>+</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μ</m:t>
              </m:r>
            </m:e>
            <m:sub>
              <m:r>
                <w:rPr>
                  <w:rFonts w:ascii="Cambria Math" w:hAnsi="Cambria Math" w:cs="Times New Roman"/>
                  <w:sz w:val="24"/>
                  <w:szCs w:val="24"/>
                  <w:lang w:val="pt-BR"/>
                </w:rPr>
                <m:t>1i</m:t>
              </m:r>
            </m:sub>
          </m:sSub>
          <m:r>
            <w:rPr>
              <w:rFonts w:ascii="Cambria Math" w:hAnsi="Cambria Math" w:cs="Times New Roman"/>
              <w:sz w:val="24"/>
              <w:szCs w:val="24"/>
              <w:lang w:val="pt-BR"/>
            </w:rPr>
            <m:t>+</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φ</m:t>
              </m:r>
            </m:e>
            <m:sub>
              <m:r>
                <w:rPr>
                  <w:rFonts w:ascii="Cambria Math" w:hAnsi="Cambria Math" w:cs="Times New Roman"/>
                  <w:sz w:val="24"/>
                  <w:szCs w:val="24"/>
                  <w:lang w:val="pt-BR"/>
                </w:rPr>
                <m:t>1i</m:t>
              </m:r>
            </m:sub>
          </m:sSub>
          <m:sSub>
            <m:sSubPr>
              <m:ctrlPr>
                <w:rPr>
                  <w:rFonts w:ascii="Cambria Math" w:hAnsi="Cambria Math" w:cs="Times New Roman"/>
                  <w:i/>
                  <w:sz w:val="24"/>
                  <w:szCs w:val="24"/>
                  <w:lang w:val="pt-BR"/>
                </w:rPr>
              </m:ctrlPr>
            </m:sSubPr>
            <m:e>
              <m:r>
                <w:rPr>
                  <w:rFonts w:ascii="Cambria Math" w:hAnsi="Cambria Math" w:cs="Times New Roman"/>
                  <w:sz w:val="24"/>
                  <w:szCs w:val="24"/>
                  <w:lang w:val="pt-BR"/>
                </w:rPr>
                <m:t>y</m:t>
              </m:r>
            </m:e>
            <m:sub>
              <m:r>
                <w:rPr>
                  <w:rFonts w:ascii="Cambria Math" w:hAnsi="Cambria Math" w:cs="Times New Roman"/>
                  <w:sz w:val="24"/>
                  <w:szCs w:val="24"/>
                  <w:lang w:val="pt-BR"/>
                </w:rPr>
                <m:t>it</m:t>
              </m:r>
            </m:sub>
          </m:sSub>
          <m:r>
            <w:rPr>
              <w:rFonts w:ascii="Cambria Math" w:hAnsi="Cambria Math" w:cs="Times New Roman"/>
              <w:sz w:val="24"/>
              <w:szCs w:val="24"/>
              <w:lang w:val="pt-BR"/>
            </w:rPr>
            <m:t>+</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φ</m:t>
              </m:r>
            </m:e>
            <m:sub>
              <m:r>
                <w:rPr>
                  <w:rFonts w:ascii="Cambria Math" w:hAnsi="Cambria Math" w:cs="Times New Roman"/>
                  <w:sz w:val="24"/>
                  <w:szCs w:val="24"/>
                  <w:lang w:val="pt-BR"/>
                </w:rPr>
                <m:t>2i</m:t>
              </m:r>
            </m:sub>
          </m:sSub>
          <m:sSub>
            <m:sSubPr>
              <m:ctrlPr>
                <w:rPr>
                  <w:rFonts w:ascii="Cambria Math" w:hAnsi="Cambria Math" w:cs="Times New Roman"/>
                  <w:i/>
                  <w:sz w:val="24"/>
                  <w:szCs w:val="24"/>
                  <w:lang w:val="pt-BR"/>
                </w:rPr>
              </m:ctrlPr>
            </m:sSubPr>
            <m:e>
              <m:r>
                <w:rPr>
                  <w:rFonts w:ascii="Cambria Math" w:hAnsi="Cambria Math" w:cs="Times New Roman"/>
                  <w:sz w:val="24"/>
                  <w:szCs w:val="24"/>
                  <w:lang w:val="pt-BR"/>
                </w:rPr>
                <m:t>a</m:t>
              </m:r>
            </m:e>
            <m:sub>
              <m:r>
                <w:rPr>
                  <w:rFonts w:ascii="Cambria Math" w:hAnsi="Cambria Math" w:cs="Times New Roman"/>
                  <w:sz w:val="24"/>
                  <w:szCs w:val="24"/>
                  <w:lang w:val="pt-BR"/>
                </w:rPr>
                <m:t>it</m:t>
              </m:r>
            </m:sub>
          </m:sSub>
          <m:r>
            <w:rPr>
              <w:rFonts w:ascii="Cambria Math" w:hAnsi="Cambria Math" w:cs="Times New Roman"/>
              <w:sz w:val="24"/>
              <w:szCs w:val="24"/>
              <w:lang w:val="pt-BR"/>
            </w:rPr>
            <m:t>+</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η</m:t>
              </m:r>
            </m:e>
            <m:sub>
              <m:r>
                <w:rPr>
                  <w:rFonts w:ascii="Cambria Math" w:hAnsi="Cambria Math" w:cs="Times New Roman"/>
                  <w:sz w:val="24"/>
                  <w:szCs w:val="24"/>
                  <w:lang w:val="pt-BR"/>
                </w:rPr>
                <m:t>it</m:t>
              </m:r>
            </m:sub>
          </m:sSub>
        </m:oMath>
      </m:oMathPara>
    </w:p>
    <w:p w:rsidR="000010AC" w:rsidRDefault="000010AC" w:rsidP="000010AC">
      <w:pPr>
        <w:tabs>
          <w:tab w:val="left" w:pos="720"/>
        </w:tabs>
        <w:spacing w:after="0" w:line="240" w:lineRule="auto"/>
        <w:ind w:firstLine="720"/>
        <w:rPr>
          <w:rFonts w:ascii="Times New Roman" w:eastAsiaTheme="minorEastAsia" w:hAnsi="Times New Roman" w:cs="Times New Roman"/>
          <w:sz w:val="24"/>
          <w:szCs w:val="24"/>
          <w:lang w:val="pt-BR"/>
        </w:rPr>
      </w:pPr>
    </w:p>
    <w:p w:rsidR="000010AC" w:rsidRDefault="000010AC" w:rsidP="000010AC">
      <w:pPr>
        <w:tabs>
          <w:tab w:val="left" w:pos="720"/>
        </w:tabs>
        <w:spacing w:after="0" w:line="240" w:lineRule="auto"/>
        <w:jc w:val="both"/>
        <w:rPr>
          <w:rFonts w:ascii="Times New Roman" w:eastAsiaTheme="minorEastAsia" w:hAnsi="Times New Roman" w:cs="Times New Roman"/>
          <w:sz w:val="24"/>
          <w:szCs w:val="24"/>
          <w:lang w:val="pt-BR"/>
        </w:rPr>
      </w:pPr>
      <w:r>
        <w:rPr>
          <w:rFonts w:ascii="Times New Roman" w:eastAsiaTheme="minorEastAsia" w:hAnsi="Times New Roman" w:cs="Times New Roman"/>
          <w:sz w:val="24"/>
          <w:szCs w:val="24"/>
          <w:lang w:val="pt-BR"/>
        </w:rPr>
        <w:t xml:space="preserve">Onde </w:t>
      </w:r>
      <m:oMath>
        <m:sSub>
          <m:sSubPr>
            <m:ctrlPr>
              <w:rPr>
                <w:rFonts w:ascii="Cambria Math" w:hAnsi="Cambria Math" w:cs="Times New Roman"/>
                <w:i/>
                <w:sz w:val="24"/>
                <w:szCs w:val="24"/>
                <w:lang w:val="pt-BR"/>
              </w:rPr>
            </m:ctrlPr>
          </m:sSubPr>
          <m:e>
            <m:r>
              <w:rPr>
                <w:rFonts w:ascii="Cambria Math" w:hAnsi="Cambria Math" w:cs="Times New Roman"/>
                <w:sz w:val="24"/>
                <w:szCs w:val="24"/>
                <w:lang w:val="pt-BR"/>
              </w:rPr>
              <m:t>φ</m:t>
            </m:r>
          </m:e>
          <m:sub>
            <m:r>
              <w:rPr>
                <w:rFonts w:ascii="Cambria Math" w:hAnsi="Cambria Math" w:cs="Times New Roman"/>
                <w:sz w:val="24"/>
                <w:szCs w:val="24"/>
                <w:lang w:val="pt-BR"/>
              </w:rPr>
              <m:t>0i</m:t>
            </m:r>
          </m:sub>
        </m:sSub>
      </m:oMath>
      <w:r>
        <w:rPr>
          <w:rFonts w:ascii="Times New Roman" w:eastAsiaTheme="minorEastAsia" w:hAnsi="Times New Roman" w:cs="Times New Roman"/>
          <w:sz w:val="24"/>
          <w:szCs w:val="24"/>
          <w:lang w:val="pt-BR"/>
        </w:rPr>
        <w:t xml:space="preserve">, </w:t>
      </w:r>
      <m:oMath>
        <m:sSub>
          <m:sSubPr>
            <m:ctrlPr>
              <w:rPr>
                <w:rFonts w:ascii="Cambria Math" w:hAnsi="Cambria Math" w:cs="Times New Roman"/>
                <w:i/>
                <w:sz w:val="24"/>
                <w:szCs w:val="24"/>
                <w:lang w:val="pt-BR"/>
              </w:rPr>
            </m:ctrlPr>
          </m:sSubPr>
          <m:e>
            <m:r>
              <w:rPr>
                <w:rFonts w:ascii="Cambria Math" w:hAnsi="Cambria Math" w:cs="Times New Roman"/>
                <w:sz w:val="24"/>
                <w:szCs w:val="24"/>
                <w:lang w:val="pt-BR"/>
              </w:rPr>
              <m:t>φ</m:t>
            </m:r>
          </m:e>
          <m:sub>
            <m:r>
              <w:rPr>
                <w:rFonts w:ascii="Cambria Math" w:hAnsi="Cambria Math" w:cs="Times New Roman"/>
                <w:sz w:val="24"/>
                <w:szCs w:val="24"/>
                <w:lang w:val="pt-BR"/>
              </w:rPr>
              <m:t>1i</m:t>
            </m:r>
          </m:sub>
        </m:sSub>
      </m:oMath>
      <w:r>
        <w:rPr>
          <w:rFonts w:ascii="Times New Roman" w:eastAsiaTheme="minorEastAsia" w:hAnsi="Times New Roman" w:cs="Times New Roman"/>
          <w:sz w:val="24"/>
          <w:szCs w:val="24"/>
          <w:lang w:val="pt-BR"/>
        </w:rPr>
        <w:t xml:space="preserve"> e </w:t>
      </w:r>
      <m:oMath>
        <m:sSub>
          <m:sSubPr>
            <m:ctrlPr>
              <w:rPr>
                <w:rFonts w:ascii="Cambria Math" w:hAnsi="Cambria Math" w:cs="Times New Roman"/>
                <w:i/>
                <w:sz w:val="24"/>
                <w:szCs w:val="24"/>
                <w:lang w:val="pt-BR"/>
              </w:rPr>
            </m:ctrlPr>
          </m:sSubPr>
          <m:e>
            <m:r>
              <w:rPr>
                <w:rFonts w:ascii="Cambria Math" w:hAnsi="Cambria Math" w:cs="Times New Roman"/>
                <w:sz w:val="24"/>
                <w:szCs w:val="24"/>
                <w:lang w:val="pt-BR"/>
              </w:rPr>
              <m:t>φ</m:t>
            </m:r>
          </m:e>
          <m:sub>
            <m:r>
              <w:rPr>
                <w:rFonts w:ascii="Cambria Math" w:hAnsi="Cambria Math" w:cs="Times New Roman"/>
                <w:sz w:val="24"/>
                <w:szCs w:val="24"/>
                <w:lang w:val="pt-BR"/>
              </w:rPr>
              <m:t>2i</m:t>
            </m:r>
          </m:sub>
        </m:sSub>
      </m:oMath>
      <w:r>
        <w:rPr>
          <w:rFonts w:ascii="Times New Roman" w:eastAsiaTheme="minorEastAsia" w:hAnsi="Times New Roman" w:cs="Times New Roman"/>
          <w:sz w:val="24"/>
          <w:szCs w:val="24"/>
          <w:lang w:val="pt-BR"/>
        </w:rPr>
        <w:t xml:space="preserve"> são os parâmetros a serem estimados, e </w:t>
      </w:r>
      <m:oMath>
        <m:sSub>
          <m:sSubPr>
            <m:ctrlPr>
              <w:rPr>
                <w:rFonts w:ascii="Cambria Math" w:hAnsi="Cambria Math" w:cs="Times New Roman"/>
                <w:i/>
                <w:sz w:val="24"/>
                <w:szCs w:val="24"/>
                <w:lang w:val="pt-BR"/>
              </w:rPr>
            </m:ctrlPr>
          </m:sSubPr>
          <m:e>
            <m:r>
              <w:rPr>
                <w:rFonts w:ascii="Cambria Math" w:hAnsi="Cambria Math" w:cs="Times New Roman"/>
                <w:sz w:val="24"/>
                <w:szCs w:val="24"/>
                <w:lang w:val="pt-BR"/>
              </w:rPr>
              <m:t>μ</m:t>
            </m:r>
          </m:e>
          <m:sub>
            <m:r>
              <w:rPr>
                <w:rFonts w:ascii="Cambria Math" w:hAnsi="Cambria Math" w:cs="Times New Roman"/>
                <w:sz w:val="24"/>
                <w:szCs w:val="24"/>
                <w:lang w:val="pt-BR"/>
              </w:rPr>
              <m:t>1i</m:t>
            </m:r>
          </m:sub>
        </m:sSub>
      </m:oMath>
      <w:r>
        <w:rPr>
          <w:rFonts w:ascii="Times New Roman" w:eastAsiaTheme="minorEastAsia" w:hAnsi="Times New Roman" w:cs="Times New Roman"/>
          <w:sz w:val="24"/>
          <w:szCs w:val="24"/>
          <w:lang w:val="pt-BR"/>
        </w:rPr>
        <w:t xml:space="preserve"> são os efeitos temporais individuais. Dentre os sete testes de Pedroni, quatro são baseados na dimensão </w:t>
      </w:r>
      <w:r>
        <w:rPr>
          <w:rFonts w:ascii="Times New Roman" w:eastAsiaTheme="minorEastAsia" w:hAnsi="Times New Roman" w:cs="Times New Roman"/>
          <w:i/>
          <w:sz w:val="24"/>
          <w:szCs w:val="24"/>
          <w:lang w:val="pt-BR"/>
        </w:rPr>
        <w:t>within</w:t>
      </w:r>
      <w:r>
        <w:rPr>
          <w:rFonts w:ascii="Times New Roman" w:eastAsiaTheme="minorEastAsia" w:hAnsi="Times New Roman" w:cs="Times New Roman"/>
          <w:sz w:val="24"/>
          <w:szCs w:val="24"/>
          <w:lang w:val="pt-BR"/>
        </w:rPr>
        <w:t xml:space="preserve"> e os outros três são testes da dimensão </w:t>
      </w:r>
      <w:r>
        <w:rPr>
          <w:rFonts w:ascii="Times New Roman" w:eastAsiaTheme="minorEastAsia" w:hAnsi="Times New Roman" w:cs="Times New Roman"/>
          <w:i/>
          <w:sz w:val="24"/>
          <w:szCs w:val="24"/>
          <w:lang w:val="pt-BR"/>
        </w:rPr>
        <w:t>between</w:t>
      </w:r>
      <w:r>
        <w:rPr>
          <w:rFonts w:ascii="Times New Roman" w:eastAsiaTheme="minorEastAsia" w:hAnsi="Times New Roman" w:cs="Times New Roman"/>
          <w:sz w:val="24"/>
          <w:szCs w:val="24"/>
          <w:lang w:val="pt-BR"/>
        </w:rPr>
        <w:t>. Todos os testes têm como hipótese nula a não cointegração para os países da amostra. A Tabela 2 exibe os resultados dos testes de Pedroni para a amostra utilizada no painel cointegrado. A maioria das estatísticas de teste rejeitam a hipótese nula de não cointegração a um nível de 5% de confiança, de forma que os p-valores são altos. Deste forma, é possível proceder a estimação com este conjunto de variáveis utilizando um estimador para cointegração em painel.</w:t>
      </w:r>
    </w:p>
    <w:p w:rsidR="000E3EB0" w:rsidRDefault="000E3EB0" w:rsidP="00D95DC0">
      <w:pPr>
        <w:tabs>
          <w:tab w:val="left" w:pos="720"/>
        </w:tabs>
        <w:spacing w:after="0" w:line="240" w:lineRule="auto"/>
        <w:ind w:firstLine="720"/>
        <w:jc w:val="center"/>
        <w:rPr>
          <w:rFonts w:ascii="Times New Roman" w:hAnsi="Times New Roman" w:cs="Times New Roman"/>
          <w:b/>
          <w:sz w:val="24"/>
          <w:szCs w:val="24"/>
          <w:lang w:val="pt-BR"/>
        </w:rPr>
      </w:pPr>
      <w:r w:rsidRPr="00CF2103">
        <w:rPr>
          <w:rFonts w:ascii="Times New Roman" w:hAnsi="Times New Roman" w:cs="Times New Roman"/>
          <w:b/>
          <w:sz w:val="24"/>
          <w:szCs w:val="24"/>
          <w:lang w:val="pt-BR"/>
        </w:rPr>
        <w:t>Tabela 1 –Testes de Raiz Unitária para as Séries Utilizadas</w:t>
      </w:r>
      <w:r w:rsidR="00B74037">
        <w:rPr>
          <w:rFonts w:ascii="Times New Roman" w:hAnsi="Times New Roman" w:cs="Times New Roman"/>
          <w:b/>
          <w:sz w:val="24"/>
          <w:szCs w:val="24"/>
          <w:lang w:val="pt-BR"/>
        </w:rPr>
        <w:t xml:space="preserve"> no Painel Cointegrado</w:t>
      </w:r>
    </w:p>
    <w:p w:rsidR="00B3182F" w:rsidRPr="00CF2103" w:rsidRDefault="00B3182F" w:rsidP="00D95DC0">
      <w:pPr>
        <w:tabs>
          <w:tab w:val="left" w:pos="720"/>
        </w:tabs>
        <w:spacing w:after="0" w:line="240" w:lineRule="auto"/>
        <w:ind w:firstLine="720"/>
        <w:jc w:val="center"/>
        <w:rPr>
          <w:rFonts w:ascii="Times New Roman" w:hAnsi="Times New Roman" w:cs="Times New Roman"/>
          <w:b/>
          <w:sz w:val="24"/>
          <w:szCs w:val="24"/>
          <w:lang w:val="pt-BR"/>
        </w:rPr>
      </w:pPr>
    </w:p>
    <w:tbl>
      <w:tblPr>
        <w:tblStyle w:val="Tabelacomgrade"/>
        <w:tblW w:w="9602" w:type="dxa"/>
        <w:tblLook w:val="04A0"/>
      </w:tblPr>
      <w:tblGrid>
        <w:gridCol w:w="3533"/>
        <w:gridCol w:w="1541"/>
        <w:gridCol w:w="1105"/>
        <w:gridCol w:w="1515"/>
        <w:gridCol w:w="1908"/>
      </w:tblGrid>
      <w:tr w:rsidR="00B3182F" w:rsidRPr="00B5130D" w:rsidTr="00B3182F">
        <w:trPr>
          <w:trHeight w:val="468"/>
        </w:trPr>
        <w:tc>
          <w:tcPr>
            <w:tcW w:w="3604" w:type="dxa"/>
          </w:tcPr>
          <w:p w:rsidR="00B3182F" w:rsidRPr="00B5130D" w:rsidRDefault="00B3182F" w:rsidP="00D95DC0">
            <w:pPr>
              <w:tabs>
                <w:tab w:val="left" w:pos="720"/>
              </w:tabs>
              <w:autoSpaceDE w:val="0"/>
              <w:autoSpaceDN w:val="0"/>
              <w:adjustRightInd w:val="0"/>
              <w:rPr>
                <w:i/>
                <w:lang w:val="pt-BR"/>
              </w:rPr>
            </w:pPr>
            <w:r w:rsidRPr="00B5130D">
              <w:rPr>
                <w:i/>
                <w:lang w:val="pt-BR"/>
              </w:rPr>
              <w:t>Nula: Raiz Unitária</w:t>
            </w:r>
          </w:p>
        </w:tc>
        <w:tc>
          <w:tcPr>
            <w:tcW w:w="1558" w:type="dxa"/>
          </w:tcPr>
          <w:p w:rsidR="00B3182F" w:rsidRPr="00B5130D" w:rsidRDefault="00B3182F" w:rsidP="00D95DC0">
            <w:pPr>
              <w:tabs>
                <w:tab w:val="left" w:pos="720"/>
              </w:tabs>
              <w:autoSpaceDE w:val="0"/>
              <w:autoSpaceDN w:val="0"/>
              <w:adjustRightInd w:val="0"/>
              <w:jc w:val="center"/>
              <w:rPr>
                <w:b/>
                <w:lang w:val="pt-BR"/>
              </w:rPr>
            </w:pPr>
            <w:r w:rsidRPr="00B5130D">
              <w:rPr>
                <w:b/>
                <w:lang w:val="pt-BR"/>
              </w:rPr>
              <w:t>lnREER</w:t>
            </w:r>
            <w:r w:rsidR="00B74037" w:rsidRPr="00B5130D">
              <w:rPr>
                <w:b/>
                <w:lang w:val="pt-BR"/>
              </w:rPr>
              <w:t xml:space="preserve"> I(1)</w:t>
            </w:r>
          </w:p>
        </w:tc>
        <w:tc>
          <w:tcPr>
            <w:tcW w:w="993" w:type="dxa"/>
          </w:tcPr>
          <w:p w:rsidR="00B3182F" w:rsidRPr="00B5130D" w:rsidRDefault="00B3182F" w:rsidP="00D95DC0">
            <w:pPr>
              <w:tabs>
                <w:tab w:val="left" w:pos="720"/>
              </w:tabs>
              <w:autoSpaceDE w:val="0"/>
              <w:autoSpaceDN w:val="0"/>
              <w:adjustRightInd w:val="0"/>
              <w:jc w:val="center"/>
              <w:rPr>
                <w:b/>
                <w:lang w:val="pt-BR"/>
              </w:rPr>
            </w:pPr>
            <w:r w:rsidRPr="00B5130D">
              <w:rPr>
                <w:b/>
                <w:lang w:val="pt-BR"/>
              </w:rPr>
              <w:t>NFA/GDP</w:t>
            </w:r>
            <w:r w:rsidR="00B74037" w:rsidRPr="00B5130D">
              <w:rPr>
                <w:b/>
                <w:lang w:val="pt-BR"/>
              </w:rPr>
              <w:t xml:space="preserve"> I(1)</w:t>
            </w:r>
          </w:p>
        </w:tc>
        <w:tc>
          <w:tcPr>
            <w:tcW w:w="1526" w:type="dxa"/>
          </w:tcPr>
          <w:p w:rsidR="00B3182F" w:rsidRPr="00B5130D" w:rsidRDefault="00B3182F" w:rsidP="00D95DC0">
            <w:pPr>
              <w:tabs>
                <w:tab w:val="left" w:pos="720"/>
              </w:tabs>
              <w:autoSpaceDE w:val="0"/>
              <w:autoSpaceDN w:val="0"/>
              <w:adjustRightInd w:val="0"/>
              <w:jc w:val="center"/>
              <w:rPr>
                <w:b/>
                <w:lang w:val="pt-BR"/>
              </w:rPr>
            </w:pPr>
            <w:r w:rsidRPr="00B5130D">
              <w:rPr>
                <w:b/>
                <w:lang w:val="pt-BR"/>
              </w:rPr>
              <w:t>Abertura</w:t>
            </w:r>
            <w:r w:rsidR="00B74037" w:rsidRPr="00B5130D">
              <w:rPr>
                <w:b/>
                <w:lang w:val="pt-BR"/>
              </w:rPr>
              <w:t xml:space="preserve"> Comercial I(1)</w:t>
            </w:r>
          </w:p>
        </w:tc>
        <w:tc>
          <w:tcPr>
            <w:tcW w:w="1921" w:type="dxa"/>
          </w:tcPr>
          <w:p w:rsidR="001471BC" w:rsidRPr="00B5130D" w:rsidRDefault="00B3182F" w:rsidP="00D95DC0">
            <w:pPr>
              <w:tabs>
                <w:tab w:val="left" w:pos="720"/>
              </w:tabs>
              <w:autoSpaceDE w:val="0"/>
              <w:autoSpaceDN w:val="0"/>
              <w:adjustRightInd w:val="0"/>
              <w:jc w:val="center"/>
              <w:rPr>
                <w:b/>
                <w:lang w:val="pt-BR"/>
              </w:rPr>
            </w:pPr>
            <w:r w:rsidRPr="00B5130D">
              <w:rPr>
                <w:b/>
                <w:lang w:val="pt-BR"/>
              </w:rPr>
              <w:t>Produtividade</w:t>
            </w:r>
          </w:p>
          <w:p w:rsidR="00B3182F" w:rsidRPr="00B5130D" w:rsidRDefault="001471BC" w:rsidP="00D95DC0">
            <w:pPr>
              <w:tabs>
                <w:tab w:val="left" w:pos="720"/>
              </w:tabs>
              <w:autoSpaceDE w:val="0"/>
              <w:autoSpaceDN w:val="0"/>
              <w:adjustRightInd w:val="0"/>
              <w:jc w:val="center"/>
              <w:rPr>
                <w:b/>
                <w:lang w:val="pt-BR"/>
              </w:rPr>
            </w:pPr>
            <w:r w:rsidRPr="00B5130D">
              <w:rPr>
                <w:b/>
                <w:lang w:val="pt-BR"/>
              </w:rPr>
              <w:t>Relativa</w:t>
            </w:r>
            <w:r w:rsidR="00B74037" w:rsidRPr="00B5130D">
              <w:rPr>
                <w:b/>
                <w:lang w:val="pt-BR"/>
              </w:rPr>
              <w:t xml:space="preserve"> I(1)</w:t>
            </w:r>
          </w:p>
        </w:tc>
      </w:tr>
      <w:tr w:rsidR="00B3182F" w:rsidRPr="00B5130D" w:rsidTr="00B3182F">
        <w:trPr>
          <w:trHeight w:val="468"/>
        </w:trPr>
        <w:tc>
          <w:tcPr>
            <w:tcW w:w="3604" w:type="dxa"/>
          </w:tcPr>
          <w:p w:rsidR="00B3182F" w:rsidRPr="00B5130D" w:rsidRDefault="00B3182F" w:rsidP="00D95DC0">
            <w:pPr>
              <w:tabs>
                <w:tab w:val="left" w:pos="720"/>
              </w:tabs>
              <w:autoSpaceDE w:val="0"/>
              <w:autoSpaceDN w:val="0"/>
              <w:adjustRightInd w:val="0"/>
              <w:rPr>
                <w:lang w:val="pt-BR"/>
              </w:rPr>
            </w:pPr>
            <w:r w:rsidRPr="00B5130D">
              <w:rPr>
                <w:lang w:val="pt-BR"/>
              </w:rPr>
              <w:t>Teste Levin, Lin &amp; Chu</w:t>
            </w:r>
          </w:p>
        </w:tc>
        <w:tc>
          <w:tcPr>
            <w:tcW w:w="1558" w:type="dxa"/>
          </w:tcPr>
          <w:p w:rsidR="00B3182F" w:rsidRPr="00B5130D" w:rsidRDefault="00B3182F" w:rsidP="00D95DC0">
            <w:pPr>
              <w:tabs>
                <w:tab w:val="left" w:pos="720"/>
              </w:tabs>
              <w:autoSpaceDE w:val="0"/>
              <w:autoSpaceDN w:val="0"/>
              <w:adjustRightInd w:val="0"/>
              <w:jc w:val="center"/>
              <w:rPr>
                <w:color w:val="000000"/>
              </w:rPr>
            </w:pPr>
            <w:r w:rsidRPr="00B5130D">
              <w:rPr>
                <w:color w:val="000000"/>
              </w:rPr>
              <w:t>-1</w:t>
            </w:r>
            <w:r w:rsidR="00823874" w:rsidRPr="00B5130D">
              <w:rPr>
                <w:color w:val="000000"/>
              </w:rPr>
              <w:t>,</w:t>
            </w:r>
            <w:r w:rsidRPr="00B5130D">
              <w:rPr>
                <w:color w:val="000000"/>
              </w:rPr>
              <w:t>14838</w:t>
            </w:r>
          </w:p>
          <w:p w:rsidR="00B3182F" w:rsidRPr="00B5130D" w:rsidRDefault="00B3182F" w:rsidP="00D95DC0">
            <w:pPr>
              <w:tabs>
                <w:tab w:val="left" w:pos="720"/>
              </w:tabs>
              <w:autoSpaceDE w:val="0"/>
              <w:autoSpaceDN w:val="0"/>
              <w:adjustRightInd w:val="0"/>
              <w:jc w:val="center"/>
              <w:rPr>
                <w:lang w:val="pt-BR"/>
              </w:rPr>
            </w:pPr>
            <w:r w:rsidRPr="00B5130D">
              <w:rPr>
                <w:color w:val="000000"/>
              </w:rPr>
              <w:t>(0</w:t>
            </w:r>
            <w:r w:rsidR="00823874" w:rsidRPr="00B5130D">
              <w:rPr>
                <w:color w:val="000000"/>
              </w:rPr>
              <w:t>,</w:t>
            </w:r>
            <w:r w:rsidRPr="00B5130D">
              <w:rPr>
                <w:color w:val="000000"/>
              </w:rPr>
              <w:t>1254)</w:t>
            </w:r>
          </w:p>
        </w:tc>
        <w:tc>
          <w:tcPr>
            <w:tcW w:w="993" w:type="dxa"/>
          </w:tcPr>
          <w:p w:rsidR="00B3182F" w:rsidRPr="00B5130D" w:rsidRDefault="00B74037" w:rsidP="00D95DC0">
            <w:pPr>
              <w:tabs>
                <w:tab w:val="left" w:pos="720"/>
              </w:tabs>
              <w:autoSpaceDE w:val="0"/>
              <w:autoSpaceDN w:val="0"/>
              <w:adjustRightInd w:val="0"/>
              <w:jc w:val="center"/>
              <w:rPr>
                <w:color w:val="000000"/>
              </w:rPr>
            </w:pPr>
            <w:r w:rsidRPr="00B5130D">
              <w:rPr>
                <w:color w:val="000000"/>
              </w:rPr>
              <w:t> 0</w:t>
            </w:r>
            <w:r w:rsidR="00823874" w:rsidRPr="00B5130D">
              <w:rPr>
                <w:color w:val="000000"/>
              </w:rPr>
              <w:t>,</w:t>
            </w:r>
            <w:r w:rsidRPr="00B5130D">
              <w:rPr>
                <w:color w:val="000000"/>
              </w:rPr>
              <w:t>14957</w:t>
            </w:r>
          </w:p>
          <w:p w:rsidR="00B74037" w:rsidRPr="00B5130D" w:rsidRDefault="001471BC" w:rsidP="00D95DC0">
            <w:pPr>
              <w:tabs>
                <w:tab w:val="left" w:pos="720"/>
              </w:tabs>
              <w:autoSpaceDE w:val="0"/>
              <w:autoSpaceDN w:val="0"/>
              <w:adjustRightInd w:val="0"/>
              <w:jc w:val="center"/>
              <w:rPr>
                <w:lang w:val="pt-BR"/>
              </w:rPr>
            </w:pPr>
            <w:r w:rsidRPr="00B5130D">
              <w:rPr>
                <w:color w:val="000000"/>
              </w:rPr>
              <w:t>(</w:t>
            </w:r>
            <w:r w:rsidR="00B74037" w:rsidRPr="00B5130D">
              <w:rPr>
                <w:color w:val="000000"/>
              </w:rPr>
              <w:t>0</w:t>
            </w:r>
            <w:r w:rsidR="00823874" w:rsidRPr="00B5130D">
              <w:rPr>
                <w:color w:val="000000"/>
              </w:rPr>
              <w:t>,</w:t>
            </w:r>
            <w:r w:rsidR="00B74037" w:rsidRPr="00B5130D">
              <w:rPr>
                <w:color w:val="000000"/>
              </w:rPr>
              <w:t>5594</w:t>
            </w:r>
            <w:r w:rsidRPr="00B5130D">
              <w:rPr>
                <w:color w:val="000000"/>
              </w:rPr>
              <w:t>)</w:t>
            </w:r>
          </w:p>
        </w:tc>
        <w:tc>
          <w:tcPr>
            <w:tcW w:w="1526" w:type="dxa"/>
          </w:tcPr>
          <w:p w:rsidR="00B3182F" w:rsidRPr="00B5130D" w:rsidRDefault="001471BC" w:rsidP="00D95DC0">
            <w:pPr>
              <w:tabs>
                <w:tab w:val="left" w:pos="720"/>
              </w:tabs>
              <w:autoSpaceDE w:val="0"/>
              <w:autoSpaceDN w:val="0"/>
              <w:adjustRightInd w:val="0"/>
              <w:jc w:val="center"/>
              <w:rPr>
                <w:color w:val="000000"/>
              </w:rPr>
            </w:pPr>
            <w:r w:rsidRPr="00B5130D">
              <w:rPr>
                <w:color w:val="000000"/>
              </w:rPr>
              <w:t> 2</w:t>
            </w:r>
            <w:r w:rsidR="00823874" w:rsidRPr="00B5130D">
              <w:rPr>
                <w:color w:val="000000"/>
              </w:rPr>
              <w:t>,</w:t>
            </w:r>
            <w:r w:rsidRPr="00B5130D">
              <w:rPr>
                <w:color w:val="000000"/>
              </w:rPr>
              <w:t>75325</w:t>
            </w:r>
          </w:p>
          <w:p w:rsidR="001471BC" w:rsidRPr="00B5130D" w:rsidRDefault="001471BC" w:rsidP="00D95DC0">
            <w:pPr>
              <w:tabs>
                <w:tab w:val="left" w:pos="720"/>
              </w:tabs>
              <w:autoSpaceDE w:val="0"/>
              <w:autoSpaceDN w:val="0"/>
              <w:adjustRightInd w:val="0"/>
              <w:jc w:val="center"/>
              <w:rPr>
                <w:lang w:val="pt-BR"/>
              </w:rPr>
            </w:pPr>
            <w:r w:rsidRPr="00B5130D">
              <w:rPr>
                <w:color w:val="000000"/>
              </w:rPr>
              <w:t>(0</w:t>
            </w:r>
            <w:r w:rsidR="00823874" w:rsidRPr="00B5130D">
              <w:rPr>
                <w:color w:val="000000"/>
              </w:rPr>
              <w:t>,</w:t>
            </w:r>
            <w:r w:rsidRPr="00B5130D">
              <w:rPr>
                <w:color w:val="000000"/>
              </w:rPr>
              <w:t>9970)</w:t>
            </w:r>
          </w:p>
        </w:tc>
        <w:tc>
          <w:tcPr>
            <w:tcW w:w="1921" w:type="dxa"/>
          </w:tcPr>
          <w:p w:rsidR="00B3182F" w:rsidRPr="00B5130D" w:rsidRDefault="001471BC" w:rsidP="00D95DC0">
            <w:pPr>
              <w:tabs>
                <w:tab w:val="left" w:pos="720"/>
              </w:tabs>
              <w:autoSpaceDE w:val="0"/>
              <w:autoSpaceDN w:val="0"/>
              <w:adjustRightInd w:val="0"/>
              <w:jc w:val="center"/>
              <w:rPr>
                <w:color w:val="000000"/>
              </w:rPr>
            </w:pPr>
            <w:r w:rsidRPr="00B5130D">
              <w:rPr>
                <w:color w:val="000000"/>
              </w:rPr>
              <w:t>-2</w:t>
            </w:r>
            <w:r w:rsidR="00823874" w:rsidRPr="00B5130D">
              <w:rPr>
                <w:color w:val="000000"/>
              </w:rPr>
              <w:t>,</w:t>
            </w:r>
            <w:r w:rsidRPr="00B5130D">
              <w:rPr>
                <w:color w:val="000000"/>
              </w:rPr>
              <w:t>32547</w:t>
            </w:r>
          </w:p>
          <w:p w:rsidR="001471BC" w:rsidRPr="00B5130D" w:rsidRDefault="001471BC" w:rsidP="00D95DC0">
            <w:pPr>
              <w:tabs>
                <w:tab w:val="left" w:pos="720"/>
              </w:tabs>
              <w:autoSpaceDE w:val="0"/>
              <w:autoSpaceDN w:val="0"/>
              <w:adjustRightInd w:val="0"/>
              <w:jc w:val="center"/>
              <w:rPr>
                <w:lang w:val="pt-BR"/>
              </w:rPr>
            </w:pPr>
            <w:r w:rsidRPr="00B5130D">
              <w:rPr>
                <w:color w:val="000000"/>
              </w:rPr>
              <w:t> (0</w:t>
            </w:r>
            <w:r w:rsidR="00823874" w:rsidRPr="00B5130D">
              <w:rPr>
                <w:color w:val="000000"/>
              </w:rPr>
              <w:t>,</w:t>
            </w:r>
            <w:r w:rsidRPr="00B5130D">
              <w:rPr>
                <w:color w:val="000000"/>
              </w:rPr>
              <w:t>0100)</w:t>
            </w:r>
          </w:p>
        </w:tc>
      </w:tr>
      <w:tr w:rsidR="00B3182F" w:rsidRPr="00B5130D" w:rsidTr="00B3182F">
        <w:trPr>
          <w:trHeight w:val="468"/>
        </w:trPr>
        <w:tc>
          <w:tcPr>
            <w:tcW w:w="3604" w:type="dxa"/>
          </w:tcPr>
          <w:p w:rsidR="00B3182F" w:rsidRPr="00B5130D" w:rsidRDefault="00B3182F" w:rsidP="00D95DC0">
            <w:pPr>
              <w:tabs>
                <w:tab w:val="left" w:pos="720"/>
              </w:tabs>
              <w:autoSpaceDE w:val="0"/>
              <w:autoSpaceDN w:val="0"/>
              <w:adjustRightInd w:val="0"/>
              <w:rPr>
                <w:lang w:val="pt-BR"/>
              </w:rPr>
            </w:pPr>
            <w:r w:rsidRPr="00B5130D">
              <w:rPr>
                <w:lang w:val="pt-BR"/>
              </w:rPr>
              <w:t>Breitung t-stat</w:t>
            </w:r>
          </w:p>
        </w:tc>
        <w:tc>
          <w:tcPr>
            <w:tcW w:w="1558" w:type="dxa"/>
          </w:tcPr>
          <w:p w:rsidR="00B3182F" w:rsidRPr="00B5130D" w:rsidRDefault="00B3182F" w:rsidP="00D95DC0">
            <w:pPr>
              <w:tabs>
                <w:tab w:val="left" w:pos="720"/>
              </w:tabs>
              <w:autoSpaceDE w:val="0"/>
              <w:autoSpaceDN w:val="0"/>
              <w:adjustRightInd w:val="0"/>
              <w:jc w:val="center"/>
              <w:rPr>
                <w:color w:val="000000"/>
              </w:rPr>
            </w:pPr>
            <w:r w:rsidRPr="00B5130D">
              <w:rPr>
                <w:color w:val="000000"/>
              </w:rPr>
              <w:t>-1</w:t>
            </w:r>
            <w:r w:rsidR="00823874" w:rsidRPr="00B5130D">
              <w:rPr>
                <w:color w:val="000000"/>
              </w:rPr>
              <w:t>,</w:t>
            </w:r>
            <w:r w:rsidRPr="00B5130D">
              <w:rPr>
                <w:color w:val="000000"/>
              </w:rPr>
              <w:t>14163</w:t>
            </w:r>
          </w:p>
          <w:p w:rsidR="00B3182F" w:rsidRPr="00B5130D" w:rsidRDefault="00B3182F" w:rsidP="00D95DC0">
            <w:pPr>
              <w:tabs>
                <w:tab w:val="left" w:pos="720"/>
              </w:tabs>
              <w:autoSpaceDE w:val="0"/>
              <w:autoSpaceDN w:val="0"/>
              <w:adjustRightInd w:val="0"/>
              <w:jc w:val="center"/>
              <w:rPr>
                <w:lang w:val="pt-BR"/>
              </w:rPr>
            </w:pPr>
            <w:r w:rsidRPr="00B5130D">
              <w:rPr>
                <w:color w:val="000000"/>
              </w:rPr>
              <w:t> (0</w:t>
            </w:r>
            <w:r w:rsidR="00823874" w:rsidRPr="00B5130D">
              <w:rPr>
                <w:color w:val="000000"/>
              </w:rPr>
              <w:t>,</w:t>
            </w:r>
            <w:r w:rsidRPr="00B5130D">
              <w:rPr>
                <w:color w:val="000000"/>
              </w:rPr>
              <w:t>1268)</w:t>
            </w:r>
          </w:p>
        </w:tc>
        <w:tc>
          <w:tcPr>
            <w:tcW w:w="993" w:type="dxa"/>
          </w:tcPr>
          <w:p w:rsidR="00B3182F" w:rsidRPr="00B5130D" w:rsidRDefault="00B74037" w:rsidP="00D95DC0">
            <w:pPr>
              <w:tabs>
                <w:tab w:val="left" w:pos="720"/>
              </w:tabs>
              <w:autoSpaceDE w:val="0"/>
              <w:autoSpaceDN w:val="0"/>
              <w:adjustRightInd w:val="0"/>
              <w:jc w:val="center"/>
              <w:rPr>
                <w:color w:val="000000"/>
              </w:rPr>
            </w:pPr>
            <w:r w:rsidRPr="00B5130D">
              <w:rPr>
                <w:color w:val="000000"/>
              </w:rPr>
              <w:t> 5</w:t>
            </w:r>
            <w:r w:rsidR="00823874" w:rsidRPr="00B5130D">
              <w:rPr>
                <w:color w:val="000000"/>
              </w:rPr>
              <w:t>,</w:t>
            </w:r>
            <w:r w:rsidRPr="00B5130D">
              <w:rPr>
                <w:color w:val="000000"/>
              </w:rPr>
              <w:t>43283</w:t>
            </w:r>
          </w:p>
          <w:p w:rsidR="00B74037" w:rsidRPr="00B5130D" w:rsidRDefault="00B74037" w:rsidP="00D95DC0">
            <w:pPr>
              <w:tabs>
                <w:tab w:val="left" w:pos="720"/>
              </w:tabs>
              <w:autoSpaceDE w:val="0"/>
              <w:autoSpaceDN w:val="0"/>
              <w:adjustRightInd w:val="0"/>
              <w:jc w:val="center"/>
              <w:rPr>
                <w:lang w:val="pt-BR"/>
              </w:rPr>
            </w:pPr>
            <w:r w:rsidRPr="00B5130D">
              <w:rPr>
                <w:color w:val="000000"/>
              </w:rPr>
              <w:t> </w:t>
            </w:r>
            <w:r w:rsidR="001471BC" w:rsidRPr="00B5130D">
              <w:rPr>
                <w:color w:val="000000"/>
              </w:rPr>
              <w:t>(</w:t>
            </w:r>
            <w:r w:rsidRPr="00B5130D">
              <w:rPr>
                <w:color w:val="000000"/>
              </w:rPr>
              <w:t>1</w:t>
            </w:r>
            <w:r w:rsidR="00823874" w:rsidRPr="00B5130D">
              <w:rPr>
                <w:color w:val="000000"/>
              </w:rPr>
              <w:t>,</w:t>
            </w:r>
            <w:r w:rsidRPr="00B5130D">
              <w:rPr>
                <w:color w:val="000000"/>
              </w:rPr>
              <w:t>0000</w:t>
            </w:r>
            <w:r w:rsidR="001471BC" w:rsidRPr="00B5130D">
              <w:rPr>
                <w:color w:val="000000"/>
              </w:rPr>
              <w:t>)</w:t>
            </w:r>
          </w:p>
        </w:tc>
        <w:tc>
          <w:tcPr>
            <w:tcW w:w="1526" w:type="dxa"/>
          </w:tcPr>
          <w:p w:rsidR="00B3182F" w:rsidRPr="00B5130D" w:rsidRDefault="001471BC" w:rsidP="00D95DC0">
            <w:pPr>
              <w:tabs>
                <w:tab w:val="left" w:pos="720"/>
              </w:tabs>
              <w:autoSpaceDE w:val="0"/>
              <w:autoSpaceDN w:val="0"/>
              <w:adjustRightInd w:val="0"/>
              <w:jc w:val="center"/>
              <w:rPr>
                <w:color w:val="000000"/>
              </w:rPr>
            </w:pPr>
            <w:r w:rsidRPr="00B5130D">
              <w:rPr>
                <w:color w:val="000000"/>
              </w:rPr>
              <w:t>  8</w:t>
            </w:r>
            <w:r w:rsidR="00823874" w:rsidRPr="00B5130D">
              <w:rPr>
                <w:color w:val="000000"/>
              </w:rPr>
              <w:t>,</w:t>
            </w:r>
            <w:r w:rsidRPr="00B5130D">
              <w:rPr>
                <w:color w:val="000000"/>
              </w:rPr>
              <w:t>25170</w:t>
            </w:r>
          </w:p>
          <w:p w:rsidR="001471BC" w:rsidRPr="00B5130D" w:rsidRDefault="001471BC" w:rsidP="00D95DC0">
            <w:pPr>
              <w:tabs>
                <w:tab w:val="left" w:pos="720"/>
              </w:tabs>
              <w:autoSpaceDE w:val="0"/>
              <w:autoSpaceDN w:val="0"/>
              <w:adjustRightInd w:val="0"/>
              <w:jc w:val="center"/>
              <w:rPr>
                <w:lang w:val="pt-BR"/>
              </w:rPr>
            </w:pPr>
            <w:r w:rsidRPr="00B5130D">
              <w:rPr>
                <w:color w:val="000000"/>
              </w:rPr>
              <w:t>(1</w:t>
            </w:r>
            <w:r w:rsidR="00823874" w:rsidRPr="00B5130D">
              <w:rPr>
                <w:color w:val="000000"/>
              </w:rPr>
              <w:t>,</w:t>
            </w:r>
            <w:r w:rsidRPr="00B5130D">
              <w:rPr>
                <w:color w:val="000000"/>
              </w:rPr>
              <w:t>0000)</w:t>
            </w:r>
          </w:p>
        </w:tc>
        <w:tc>
          <w:tcPr>
            <w:tcW w:w="1921" w:type="dxa"/>
          </w:tcPr>
          <w:p w:rsidR="00B3182F" w:rsidRPr="00B5130D" w:rsidRDefault="001471BC" w:rsidP="00D95DC0">
            <w:pPr>
              <w:tabs>
                <w:tab w:val="left" w:pos="720"/>
              </w:tabs>
              <w:autoSpaceDE w:val="0"/>
              <w:autoSpaceDN w:val="0"/>
              <w:adjustRightInd w:val="0"/>
              <w:jc w:val="center"/>
              <w:rPr>
                <w:color w:val="000000"/>
              </w:rPr>
            </w:pPr>
            <w:r w:rsidRPr="00B5130D">
              <w:rPr>
                <w:color w:val="000000"/>
              </w:rPr>
              <w:t> 8</w:t>
            </w:r>
            <w:r w:rsidR="00823874" w:rsidRPr="00B5130D">
              <w:rPr>
                <w:color w:val="000000"/>
              </w:rPr>
              <w:t>,</w:t>
            </w:r>
            <w:r w:rsidRPr="00B5130D">
              <w:rPr>
                <w:color w:val="000000"/>
              </w:rPr>
              <w:t>32312</w:t>
            </w:r>
          </w:p>
          <w:p w:rsidR="001471BC" w:rsidRPr="00B5130D" w:rsidRDefault="001471BC" w:rsidP="00D95DC0">
            <w:pPr>
              <w:tabs>
                <w:tab w:val="left" w:pos="720"/>
              </w:tabs>
              <w:autoSpaceDE w:val="0"/>
              <w:autoSpaceDN w:val="0"/>
              <w:adjustRightInd w:val="0"/>
              <w:jc w:val="center"/>
              <w:rPr>
                <w:lang w:val="pt-BR"/>
              </w:rPr>
            </w:pPr>
            <w:r w:rsidRPr="00B5130D">
              <w:rPr>
                <w:color w:val="000000"/>
              </w:rPr>
              <w:t>(1</w:t>
            </w:r>
            <w:r w:rsidR="00823874" w:rsidRPr="00B5130D">
              <w:rPr>
                <w:color w:val="000000"/>
              </w:rPr>
              <w:t>,</w:t>
            </w:r>
            <w:r w:rsidRPr="00B5130D">
              <w:rPr>
                <w:color w:val="000000"/>
              </w:rPr>
              <w:t>0000)</w:t>
            </w:r>
          </w:p>
        </w:tc>
      </w:tr>
      <w:tr w:rsidR="00B3182F" w:rsidRPr="00B5130D" w:rsidTr="00B3182F">
        <w:trPr>
          <w:trHeight w:val="468"/>
        </w:trPr>
        <w:tc>
          <w:tcPr>
            <w:tcW w:w="3604" w:type="dxa"/>
          </w:tcPr>
          <w:p w:rsidR="00B3182F" w:rsidRPr="00B5130D" w:rsidRDefault="00B3182F" w:rsidP="00D95DC0">
            <w:pPr>
              <w:tabs>
                <w:tab w:val="left" w:pos="720"/>
              </w:tabs>
              <w:autoSpaceDE w:val="0"/>
              <w:autoSpaceDN w:val="0"/>
              <w:adjustRightInd w:val="0"/>
              <w:rPr>
                <w:lang w:val="pt-BR"/>
              </w:rPr>
            </w:pPr>
            <w:r w:rsidRPr="00B5130D">
              <w:rPr>
                <w:lang w:val="pt-BR"/>
              </w:rPr>
              <w:t>Im, Pesaran e Shin W-stat</w:t>
            </w:r>
          </w:p>
        </w:tc>
        <w:tc>
          <w:tcPr>
            <w:tcW w:w="1558" w:type="dxa"/>
          </w:tcPr>
          <w:p w:rsidR="00B3182F" w:rsidRPr="00B5130D" w:rsidRDefault="00B3182F" w:rsidP="00D95DC0">
            <w:pPr>
              <w:tabs>
                <w:tab w:val="left" w:pos="720"/>
              </w:tabs>
              <w:autoSpaceDE w:val="0"/>
              <w:autoSpaceDN w:val="0"/>
              <w:adjustRightInd w:val="0"/>
              <w:jc w:val="center"/>
              <w:rPr>
                <w:color w:val="000000"/>
              </w:rPr>
            </w:pPr>
            <w:r w:rsidRPr="00B5130D">
              <w:rPr>
                <w:color w:val="000000"/>
              </w:rPr>
              <w:t>-0</w:t>
            </w:r>
            <w:r w:rsidR="00823874" w:rsidRPr="00B5130D">
              <w:rPr>
                <w:color w:val="000000"/>
              </w:rPr>
              <w:t>,</w:t>
            </w:r>
            <w:r w:rsidRPr="00B5130D">
              <w:rPr>
                <w:color w:val="000000"/>
              </w:rPr>
              <w:t>85091</w:t>
            </w:r>
          </w:p>
          <w:p w:rsidR="00B3182F" w:rsidRPr="00B5130D" w:rsidRDefault="00B3182F" w:rsidP="00D95DC0">
            <w:pPr>
              <w:tabs>
                <w:tab w:val="left" w:pos="720"/>
              </w:tabs>
              <w:autoSpaceDE w:val="0"/>
              <w:autoSpaceDN w:val="0"/>
              <w:adjustRightInd w:val="0"/>
              <w:jc w:val="center"/>
              <w:rPr>
                <w:lang w:val="pt-BR"/>
              </w:rPr>
            </w:pPr>
            <w:r w:rsidRPr="00B5130D">
              <w:rPr>
                <w:color w:val="000000"/>
              </w:rPr>
              <w:t> (0</w:t>
            </w:r>
            <w:r w:rsidR="00823874" w:rsidRPr="00B5130D">
              <w:rPr>
                <w:color w:val="000000"/>
              </w:rPr>
              <w:t>,</w:t>
            </w:r>
            <w:r w:rsidRPr="00B5130D">
              <w:rPr>
                <w:color w:val="000000"/>
              </w:rPr>
              <w:t>1974)</w:t>
            </w:r>
          </w:p>
        </w:tc>
        <w:tc>
          <w:tcPr>
            <w:tcW w:w="993" w:type="dxa"/>
          </w:tcPr>
          <w:p w:rsidR="00B3182F" w:rsidRPr="00B5130D" w:rsidRDefault="009E432B" w:rsidP="00D95DC0">
            <w:pPr>
              <w:tabs>
                <w:tab w:val="left" w:pos="720"/>
              </w:tabs>
              <w:autoSpaceDE w:val="0"/>
              <w:autoSpaceDN w:val="0"/>
              <w:adjustRightInd w:val="0"/>
              <w:jc w:val="center"/>
              <w:rPr>
                <w:color w:val="000000"/>
              </w:rPr>
            </w:pPr>
            <w:r w:rsidRPr="00B5130D">
              <w:rPr>
                <w:color w:val="000000"/>
              </w:rPr>
              <w:t>1</w:t>
            </w:r>
            <w:r w:rsidR="00823874" w:rsidRPr="00B5130D">
              <w:rPr>
                <w:color w:val="000000"/>
              </w:rPr>
              <w:t>,</w:t>
            </w:r>
            <w:r w:rsidRPr="00B5130D">
              <w:rPr>
                <w:color w:val="000000"/>
              </w:rPr>
              <w:t>55362</w:t>
            </w:r>
          </w:p>
          <w:p w:rsidR="009E432B" w:rsidRPr="00B5130D" w:rsidRDefault="001471BC" w:rsidP="00D95DC0">
            <w:pPr>
              <w:tabs>
                <w:tab w:val="left" w:pos="720"/>
              </w:tabs>
              <w:autoSpaceDE w:val="0"/>
              <w:autoSpaceDN w:val="0"/>
              <w:adjustRightInd w:val="0"/>
              <w:jc w:val="center"/>
              <w:rPr>
                <w:lang w:val="pt-BR"/>
              </w:rPr>
            </w:pPr>
            <w:r w:rsidRPr="00B5130D">
              <w:rPr>
                <w:color w:val="000000"/>
              </w:rPr>
              <w:t>(</w:t>
            </w:r>
            <w:r w:rsidR="009E432B" w:rsidRPr="00B5130D">
              <w:rPr>
                <w:color w:val="000000"/>
              </w:rPr>
              <w:t>0</w:t>
            </w:r>
            <w:r w:rsidR="00823874" w:rsidRPr="00B5130D">
              <w:rPr>
                <w:color w:val="000000"/>
              </w:rPr>
              <w:t>,</w:t>
            </w:r>
            <w:r w:rsidR="009E432B" w:rsidRPr="00B5130D">
              <w:rPr>
                <w:color w:val="000000"/>
              </w:rPr>
              <w:t>9399</w:t>
            </w:r>
            <w:r w:rsidRPr="00B5130D">
              <w:rPr>
                <w:color w:val="000000"/>
              </w:rPr>
              <w:t>)</w:t>
            </w:r>
          </w:p>
        </w:tc>
        <w:tc>
          <w:tcPr>
            <w:tcW w:w="1526" w:type="dxa"/>
          </w:tcPr>
          <w:p w:rsidR="00B3182F" w:rsidRPr="00B5130D" w:rsidRDefault="001471BC" w:rsidP="00D95DC0">
            <w:pPr>
              <w:tabs>
                <w:tab w:val="left" w:pos="720"/>
              </w:tabs>
              <w:autoSpaceDE w:val="0"/>
              <w:autoSpaceDN w:val="0"/>
              <w:adjustRightInd w:val="0"/>
              <w:jc w:val="center"/>
              <w:rPr>
                <w:color w:val="000000"/>
              </w:rPr>
            </w:pPr>
            <w:r w:rsidRPr="00B5130D">
              <w:rPr>
                <w:color w:val="000000"/>
              </w:rPr>
              <w:t>0</w:t>
            </w:r>
            <w:r w:rsidR="00823874" w:rsidRPr="00B5130D">
              <w:rPr>
                <w:color w:val="000000"/>
              </w:rPr>
              <w:t>,</w:t>
            </w:r>
            <w:r w:rsidRPr="00B5130D">
              <w:rPr>
                <w:color w:val="000000"/>
              </w:rPr>
              <w:t>20736</w:t>
            </w:r>
          </w:p>
          <w:p w:rsidR="001471BC" w:rsidRPr="00B5130D" w:rsidRDefault="001471BC" w:rsidP="00D95DC0">
            <w:pPr>
              <w:tabs>
                <w:tab w:val="left" w:pos="720"/>
              </w:tabs>
              <w:autoSpaceDE w:val="0"/>
              <w:autoSpaceDN w:val="0"/>
              <w:adjustRightInd w:val="0"/>
              <w:jc w:val="center"/>
              <w:rPr>
                <w:lang w:val="pt-BR"/>
              </w:rPr>
            </w:pPr>
            <w:r w:rsidRPr="00B5130D">
              <w:rPr>
                <w:color w:val="000000"/>
              </w:rPr>
              <w:t>(0</w:t>
            </w:r>
            <w:r w:rsidR="00823874" w:rsidRPr="00B5130D">
              <w:rPr>
                <w:color w:val="000000"/>
              </w:rPr>
              <w:t>,</w:t>
            </w:r>
            <w:r w:rsidRPr="00B5130D">
              <w:rPr>
                <w:color w:val="000000"/>
              </w:rPr>
              <w:t>5821)</w:t>
            </w:r>
          </w:p>
        </w:tc>
        <w:tc>
          <w:tcPr>
            <w:tcW w:w="1921" w:type="dxa"/>
          </w:tcPr>
          <w:p w:rsidR="00B3182F" w:rsidRPr="00B5130D" w:rsidRDefault="001471BC" w:rsidP="00D95DC0">
            <w:pPr>
              <w:tabs>
                <w:tab w:val="left" w:pos="720"/>
              </w:tabs>
              <w:autoSpaceDE w:val="0"/>
              <w:autoSpaceDN w:val="0"/>
              <w:adjustRightInd w:val="0"/>
              <w:jc w:val="center"/>
              <w:rPr>
                <w:color w:val="000000"/>
              </w:rPr>
            </w:pPr>
            <w:r w:rsidRPr="00B5130D">
              <w:rPr>
                <w:color w:val="000000"/>
              </w:rPr>
              <w:t> 1</w:t>
            </w:r>
            <w:r w:rsidR="00823874" w:rsidRPr="00B5130D">
              <w:rPr>
                <w:color w:val="000000"/>
              </w:rPr>
              <w:t>,</w:t>
            </w:r>
            <w:r w:rsidRPr="00B5130D">
              <w:rPr>
                <w:color w:val="000000"/>
              </w:rPr>
              <w:t>27991</w:t>
            </w:r>
          </w:p>
          <w:p w:rsidR="001471BC" w:rsidRPr="00B5130D" w:rsidRDefault="001471BC" w:rsidP="00D95DC0">
            <w:pPr>
              <w:tabs>
                <w:tab w:val="left" w:pos="720"/>
              </w:tabs>
              <w:autoSpaceDE w:val="0"/>
              <w:autoSpaceDN w:val="0"/>
              <w:adjustRightInd w:val="0"/>
              <w:jc w:val="center"/>
              <w:rPr>
                <w:lang w:val="pt-BR"/>
              </w:rPr>
            </w:pPr>
            <w:r w:rsidRPr="00B5130D">
              <w:rPr>
                <w:color w:val="000000"/>
              </w:rPr>
              <w:t> (0</w:t>
            </w:r>
            <w:r w:rsidR="00823874" w:rsidRPr="00B5130D">
              <w:rPr>
                <w:color w:val="000000"/>
              </w:rPr>
              <w:t>,</w:t>
            </w:r>
            <w:r w:rsidRPr="00B5130D">
              <w:rPr>
                <w:color w:val="000000"/>
              </w:rPr>
              <w:t>8997)</w:t>
            </w:r>
          </w:p>
        </w:tc>
      </w:tr>
      <w:tr w:rsidR="00B3182F" w:rsidRPr="00B5130D" w:rsidTr="00B3182F">
        <w:trPr>
          <w:trHeight w:val="468"/>
        </w:trPr>
        <w:tc>
          <w:tcPr>
            <w:tcW w:w="3604" w:type="dxa"/>
          </w:tcPr>
          <w:p w:rsidR="00B3182F" w:rsidRPr="00B5130D" w:rsidRDefault="00B3182F" w:rsidP="00D95DC0">
            <w:pPr>
              <w:tabs>
                <w:tab w:val="left" w:pos="720"/>
              </w:tabs>
              <w:autoSpaceDE w:val="0"/>
              <w:autoSpaceDN w:val="0"/>
              <w:adjustRightInd w:val="0"/>
              <w:rPr>
                <w:lang w:val="pt-BR"/>
              </w:rPr>
            </w:pPr>
            <w:r w:rsidRPr="00B5130D">
              <w:rPr>
                <w:lang w:val="pt-BR"/>
              </w:rPr>
              <w:t>ADF – Fisher Qui-Quadrado</w:t>
            </w:r>
          </w:p>
        </w:tc>
        <w:tc>
          <w:tcPr>
            <w:tcW w:w="1558" w:type="dxa"/>
          </w:tcPr>
          <w:p w:rsidR="00B3182F" w:rsidRPr="00B5130D" w:rsidRDefault="00B3182F" w:rsidP="00D95DC0">
            <w:pPr>
              <w:tabs>
                <w:tab w:val="left" w:pos="720"/>
              </w:tabs>
              <w:autoSpaceDE w:val="0"/>
              <w:autoSpaceDN w:val="0"/>
              <w:adjustRightInd w:val="0"/>
              <w:jc w:val="center"/>
              <w:rPr>
                <w:color w:val="000000"/>
              </w:rPr>
            </w:pPr>
            <w:r w:rsidRPr="00B5130D">
              <w:rPr>
                <w:color w:val="000000"/>
              </w:rPr>
              <w:t>278</w:t>
            </w:r>
            <w:r w:rsidR="00823874" w:rsidRPr="00B5130D">
              <w:rPr>
                <w:color w:val="000000"/>
              </w:rPr>
              <w:t>,</w:t>
            </w:r>
            <w:r w:rsidRPr="00B5130D">
              <w:rPr>
                <w:color w:val="000000"/>
              </w:rPr>
              <w:t>591</w:t>
            </w:r>
          </w:p>
          <w:p w:rsidR="00B3182F" w:rsidRPr="00B5130D" w:rsidRDefault="00B3182F" w:rsidP="00D95DC0">
            <w:pPr>
              <w:tabs>
                <w:tab w:val="left" w:pos="720"/>
              </w:tabs>
              <w:autoSpaceDE w:val="0"/>
              <w:autoSpaceDN w:val="0"/>
              <w:adjustRightInd w:val="0"/>
              <w:jc w:val="center"/>
              <w:rPr>
                <w:lang w:val="pt-BR"/>
              </w:rPr>
            </w:pPr>
            <w:r w:rsidRPr="00B5130D">
              <w:rPr>
                <w:color w:val="000000"/>
              </w:rPr>
              <w:t>(0</w:t>
            </w:r>
            <w:r w:rsidR="00823874" w:rsidRPr="00B5130D">
              <w:rPr>
                <w:color w:val="000000"/>
              </w:rPr>
              <w:t>,</w:t>
            </w:r>
            <w:r w:rsidRPr="00B5130D">
              <w:rPr>
                <w:color w:val="000000"/>
              </w:rPr>
              <w:t>1807)</w:t>
            </w:r>
          </w:p>
        </w:tc>
        <w:tc>
          <w:tcPr>
            <w:tcW w:w="993" w:type="dxa"/>
          </w:tcPr>
          <w:p w:rsidR="00B3182F" w:rsidRPr="00B5130D" w:rsidRDefault="009E432B" w:rsidP="00D95DC0">
            <w:pPr>
              <w:tabs>
                <w:tab w:val="left" w:pos="720"/>
              </w:tabs>
              <w:autoSpaceDE w:val="0"/>
              <w:autoSpaceDN w:val="0"/>
              <w:adjustRightInd w:val="0"/>
              <w:jc w:val="center"/>
              <w:rPr>
                <w:color w:val="000000"/>
              </w:rPr>
            </w:pPr>
            <w:r w:rsidRPr="00B5130D">
              <w:rPr>
                <w:color w:val="000000"/>
              </w:rPr>
              <w:t> 415</w:t>
            </w:r>
            <w:r w:rsidR="00823874" w:rsidRPr="00B5130D">
              <w:rPr>
                <w:color w:val="000000"/>
              </w:rPr>
              <w:t>,</w:t>
            </w:r>
            <w:r w:rsidRPr="00B5130D">
              <w:rPr>
                <w:color w:val="000000"/>
              </w:rPr>
              <w:t>913</w:t>
            </w:r>
          </w:p>
          <w:p w:rsidR="009E432B" w:rsidRPr="00B5130D" w:rsidRDefault="009E432B" w:rsidP="00D95DC0">
            <w:pPr>
              <w:tabs>
                <w:tab w:val="left" w:pos="720"/>
              </w:tabs>
              <w:autoSpaceDE w:val="0"/>
              <w:autoSpaceDN w:val="0"/>
              <w:adjustRightInd w:val="0"/>
              <w:jc w:val="center"/>
              <w:rPr>
                <w:lang w:val="pt-BR"/>
              </w:rPr>
            </w:pPr>
            <w:r w:rsidRPr="00B5130D">
              <w:rPr>
                <w:color w:val="000000"/>
              </w:rPr>
              <w:t> </w:t>
            </w:r>
            <w:r w:rsidR="001471BC" w:rsidRPr="00B5130D">
              <w:rPr>
                <w:color w:val="000000"/>
              </w:rPr>
              <w:t>(</w:t>
            </w:r>
            <w:r w:rsidRPr="00B5130D">
              <w:rPr>
                <w:color w:val="000000"/>
              </w:rPr>
              <w:t>0</w:t>
            </w:r>
            <w:r w:rsidR="00823874" w:rsidRPr="00B5130D">
              <w:rPr>
                <w:color w:val="000000"/>
              </w:rPr>
              <w:t>,</w:t>
            </w:r>
            <w:r w:rsidRPr="00B5130D">
              <w:rPr>
                <w:color w:val="000000"/>
              </w:rPr>
              <w:t>0000</w:t>
            </w:r>
            <w:r w:rsidR="001471BC" w:rsidRPr="00B5130D">
              <w:rPr>
                <w:color w:val="000000"/>
              </w:rPr>
              <w:t>)</w:t>
            </w:r>
          </w:p>
        </w:tc>
        <w:tc>
          <w:tcPr>
            <w:tcW w:w="1526" w:type="dxa"/>
          </w:tcPr>
          <w:p w:rsidR="00B3182F" w:rsidRPr="00B5130D" w:rsidRDefault="001471BC" w:rsidP="00D95DC0">
            <w:pPr>
              <w:tabs>
                <w:tab w:val="left" w:pos="720"/>
              </w:tabs>
              <w:autoSpaceDE w:val="0"/>
              <w:autoSpaceDN w:val="0"/>
              <w:adjustRightInd w:val="0"/>
              <w:jc w:val="center"/>
              <w:rPr>
                <w:color w:val="000000"/>
              </w:rPr>
            </w:pPr>
            <w:r w:rsidRPr="00B5130D">
              <w:rPr>
                <w:color w:val="000000"/>
              </w:rPr>
              <w:t> 532</w:t>
            </w:r>
            <w:r w:rsidR="00823874" w:rsidRPr="00B5130D">
              <w:rPr>
                <w:color w:val="000000"/>
              </w:rPr>
              <w:t>,</w:t>
            </w:r>
            <w:r w:rsidRPr="00B5130D">
              <w:rPr>
                <w:color w:val="000000"/>
              </w:rPr>
              <w:t>060</w:t>
            </w:r>
          </w:p>
          <w:p w:rsidR="001471BC" w:rsidRPr="00B5130D" w:rsidRDefault="001471BC" w:rsidP="00D95DC0">
            <w:pPr>
              <w:tabs>
                <w:tab w:val="left" w:pos="720"/>
              </w:tabs>
              <w:autoSpaceDE w:val="0"/>
              <w:autoSpaceDN w:val="0"/>
              <w:adjustRightInd w:val="0"/>
              <w:jc w:val="center"/>
              <w:rPr>
                <w:lang w:val="pt-BR"/>
              </w:rPr>
            </w:pPr>
            <w:r w:rsidRPr="00B5130D">
              <w:rPr>
                <w:color w:val="000000"/>
              </w:rPr>
              <w:t>(0</w:t>
            </w:r>
            <w:r w:rsidR="00823874" w:rsidRPr="00B5130D">
              <w:rPr>
                <w:color w:val="000000"/>
              </w:rPr>
              <w:t>,</w:t>
            </w:r>
            <w:r w:rsidRPr="00B5130D">
              <w:rPr>
                <w:color w:val="000000"/>
              </w:rPr>
              <w:t>0000)</w:t>
            </w:r>
          </w:p>
        </w:tc>
        <w:tc>
          <w:tcPr>
            <w:tcW w:w="1921" w:type="dxa"/>
          </w:tcPr>
          <w:p w:rsidR="00B3182F" w:rsidRPr="00B5130D" w:rsidRDefault="001471BC" w:rsidP="00D95DC0">
            <w:pPr>
              <w:tabs>
                <w:tab w:val="left" w:pos="720"/>
              </w:tabs>
              <w:autoSpaceDE w:val="0"/>
              <w:autoSpaceDN w:val="0"/>
              <w:adjustRightInd w:val="0"/>
              <w:jc w:val="center"/>
              <w:rPr>
                <w:color w:val="000000"/>
              </w:rPr>
            </w:pPr>
            <w:r w:rsidRPr="00B5130D">
              <w:rPr>
                <w:color w:val="000000"/>
              </w:rPr>
              <w:t>389</w:t>
            </w:r>
            <w:r w:rsidR="00823874" w:rsidRPr="00B5130D">
              <w:rPr>
                <w:color w:val="000000"/>
              </w:rPr>
              <w:t>,</w:t>
            </w:r>
            <w:r w:rsidRPr="00B5130D">
              <w:rPr>
                <w:color w:val="000000"/>
              </w:rPr>
              <w:t>692</w:t>
            </w:r>
          </w:p>
          <w:p w:rsidR="001471BC" w:rsidRPr="00B5130D" w:rsidRDefault="001471BC" w:rsidP="00D95DC0">
            <w:pPr>
              <w:tabs>
                <w:tab w:val="left" w:pos="720"/>
              </w:tabs>
              <w:autoSpaceDE w:val="0"/>
              <w:autoSpaceDN w:val="0"/>
              <w:adjustRightInd w:val="0"/>
              <w:jc w:val="center"/>
              <w:rPr>
                <w:lang w:val="pt-BR"/>
              </w:rPr>
            </w:pPr>
            <w:r w:rsidRPr="00B5130D">
              <w:rPr>
                <w:color w:val="000000"/>
              </w:rPr>
              <w:t> (0</w:t>
            </w:r>
            <w:r w:rsidR="00823874" w:rsidRPr="00B5130D">
              <w:rPr>
                <w:color w:val="000000"/>
              </w:rPr>
              <w:t>,</w:t>
            </w:r>
            <w:r w:rsidRPr="00B5130D">
              <w:rPr>
                <w:color w:val="000000"/>
              </w:rPr>
              <w:t>2537)</w:t>
            </w:r>
          </w:p>
        </w:tc>
      </w:tr>
      <w:tr w:rsidR="00B3182F" w:rsidRPr="00B5130D" w:rsidTr="00B3182F">
        <w:trPr>
          <w:trHeight w:val="468"/>
        </w:trPr>
        <w:tc>
          <w:tcPr>
            <w:tcW w:w="3604" w:type="dxa"/>
          </w:tcPr>
          <w:p w:rsidR="00B3182F" w:rsidRPr="00B5130D" w:rsidRDefault="00B3182F" w:rsidP="00D95DC0">
            <w:pPr>
              <w:tabs>
                <w:tab w:val="left" w:pos="720"/>
              </w:tabs>
              <w:autoSpaceDE w:val="0"/>
              <w:autoSpaceDN w:val="0"/>
              <w:adjustRightInd w:val="0"/>
              <w:rPr>
                <w:lang w:val="pt-BR"/>
              </w:rPr>
            </w:pPr>
            <w:r w:rsidRPr="00B5130D">
              <w:rPr>
                <w:lang w:val="pt-BR"/>
              </w:rPr>
              <w:t>PP – Fisher Qui-Quadrado</w:t>
            </w:r>
          </w:p>
        </w:tc>
        <w:tc>
          <w:tcPr>
            <w:tcW w:w="1558" w:type="dxa"/>
          </w:tcPr>
          <w:p w:rsidR="00B3182F" w:rsidRPr="00B5130D" w:rsidRDefault="00B3182F" w:rsidP="00D95DC0">
            <w:pPr>
              <w:tabs>
                <w:tab w:val="left" w:pos="720"/>
              </w:tabs>
              <w:autoSpaceDE w:val="0"/>
              <w:autoSpaceDN w:val="0"/>
              <w:adjustRightInd w:val="0"/>
              <w:jc w:val="center"/>
              <w:rPr>
                <w:color w:val="000000"/>
              </w:rPr>
            </w:pPr>
            <w:r w:rsidRPr="00B5130D">
              <w:rPr>
                <w:color w:val="000000"/>
              </w:rPr>
              <w:t> 297</w:t>
            </w:r>
            <w:r w:rsidR="00823874" w:rsidRPr="00B5130D">
              <w:rPr>
                <w:color w:val="000000"/>
              </w:rPr>
              <w:t>,</w:t>
            </w:r>
            <w:r w:rsidRPr="00B5130D">
              <w:rPr>
                <w:color w:val="000000"/>
              </w:rPr>
              <w:t>870</w:t>
            </w:r>
          </w:p>
          <w:p w:rsidR="00B3182F" w:rsidRPr="00B5130D" w:rsidRDefault="00B3182F" w:rsidP="00D95DC0">
            <w:pPr>
              <w:tabs>
                <w:tab w:val="left" w:pos="720"/>
              </w:tabs>
              <w:autoSpaceDE w:val="0"/>
              <w:autoSpaceDN w:val="0"/>
              <w:adjustRightInd w:val="0"/>
              <w:jc w:val="center"/>
              <w:rPr>
                <w:lang w:val="pt-BR"/>
              </w:rPr>
            </w:pPr>
            <w:r w:rsidRPr="00B5130D">
              <w:rPr>
                <w:color w:val="000000"/>
              </w:rPr>
              <w:t> (0</w:t>
            </w:r>
            <w:r w:rsidR="00823874" w:rsidRPr="00B5130D">
              <w:rPr>
                <w:color w:val="000000"/>
              </w:rPr>
              <w:t>,</w:t>
            </w:r>
            <w:r w:rsidRPr="00B5130D">
              <w:rPr>
                <w:color w:val="000000"/>
              </w:rPr>
              <w:t>0445)</w:t>
            </w:r>
          </w:p>
        </w:tc>
        <w:tc>
          <w:tcPr>
            <w:tcW w:w="993" w:type="dxa"/>
          </w:tcPr>
          <w:p w:rsidR="00B3182F" w:rsidRPr="00B5130D" w:rsidRDefault="009E432B" w:rsidP="00D95DC0">
            <w:pPr>
              <w:tabs>
                <w:tab w:val="left" w:pos="720"/>
              </w:tabs>
              <w:autoSpaceDE w:val="0"/>
              <w:autoSpaceDN w:val="0"/>
              <w:adjustRightInd w:val="0"/>
              <w:jc w:val="center"/>
              <w:rPr>
                <w:color w:val="000000"/>
              </w:rPr>
            </w:pPr>
            <w:r w:rsidRPr="00B5130D">
              <w:rPr>
                <w:color w:val="000000"/>
              </w:rPr>
              <w:t>257</w:t>
            </w:r>
            <w:r w:rsidR="00823874" w:rsidRPr="00B5130D">
              <w:rPr>
                <w:color w:val="000000"/>
              </w:rPr>
              <w:t>,</w:t>
            </w:r>
            <w:r w:rsidRPr="00B5130D">
              <w:rPr>
                <w:color w:val="000000"/>
              </w:rPr>
              <w:t>208</w:t>
            </w:r>
          </w:p>
          <w:p w:rsidR="009E432B" w:rsidRPr="00B5130D" w:rsidRDefault="009E432B" w:rsidP="00D95DC0">
            <w:pPr>
              <w:tabs>
                <w:tab w:val="left" w:pos="720"/>
              </w:tabs>
              <w:autoSpaceDE w:val="0"/>
              <w:autoSpaceDN w:val="0"/>
              <w:adjustRightInd w:val="0"/>
              <w:jc w:val="center"/>
              <w:rPr>
                <w:lang w:val="pt-BR"/>
              </w:rPr>
            </w:pPr>
            <w:r w:rsidRPr="00B5130D">
              <w:rPr>
                <w:color w:val="000000"/>
              </w:rPr>
              <w:t> </w:t>
            </w:r>
            <w:r w:rsidR="001471BC" w:rsidRPr="00B5130D">
              <w:rPr>
                <w:color w:val="000000"/>
              </w:rPr>
              <w:t>(</w:t>
            </w:r>
            <w:r w:rsidRPr="00B5130D">
              <w:rPr>
                <w:color w:val="000000"/>
              </w:rPr>
              <w:t>0</w:t>
            </w:r>
            <w:r w:rsidR="00823874" w:rsidRPr="00B5130D">
              <w:rPr>
                <w:color w:val="000000"/>
              </w:rPr>
              <w:t>,</w:t>
            </w:r>
            <w:r w:rsidRPr="00B5130D">
              <w:rPr>
                <w:color w:val="000000"/>
              </w:rPr>
              <w:t>8715</w:t>
            </w:r>
            <w:r w:rsidR="001471BC" w:rsidRPr="00B5130D">
              <w:rPr>
                <w:color w:val="000000"/>
              </w:rPr>
              <w:t>)</w:t>
            </w:r>
          </w:p>
        </w:tc>
        <w:tc>
          <w:tcPr>
            <w:tcW w:w="1526" w:type="dxa"/>
          </w:tcPr>
          <w:p w:rsidR="00B3182F" w:rsidRPr="00B5130D" w:rsidRDefault="001471BC" w:rsidP="00D95DC0">
            <w:pPr>
              <w:tabs>
                <w:tab w:val="left" w:pos="720"/>
              </w:tabs>
              <w:autoSpaceDE w:val="0"/>
              <w:autoSpaceDN w:val="0"/>
              <w:adjustRightInd w:val="0"/>
              <w:jc w:val="center"/>
              <w:rPr>
                <w:color w:val="000000"/>
              </w:rPr>
            </w:pPr>
            <w:r w:rsidRPr="00B5130D">
              <w:rPr>
                <w:color w:val="000000"/>
              </w:rPr>
              <w:t>503</w:t>
            </w:r>
            <w:r w:rsidR="00823874" w:rsidRPr="00B5130D">
              <w:rPr>
                <w:color w:val="000000"/>
              </w:rPr>
              <w:t>,</w:t>
            </w:r>
            <w:r w:rsidRPr="00B5130D">
              <w:rPr>
                <w:color w:val="000000"/>
              </w:rPr>
              <w:t>799</w:t>
            </w:r>
          </w:p>
          <w:p w:rsidR="001471BC" w:rsidRPr="00B5130D" w:rsidRDefault="001471BC" w:rsidP="00D95DC0">
            <w:pPr>
              <w:tabs>
                <w:tab w:val="left" w:pos="720"/>
              </w:tabs>
              <w:autoSpaceDE w:val="0"/>
              <w:autoSpaceDN w:val="0"/>
              <w:adjustRightInd w:val="0"/>
              <w:jc w:val="center"/>
              <w:rPr>
                <w:lang w:val="pt-BR"/>
              </w:rPr>
            </w:pPr>
            <w:r w:rsidRPr="00B5130D">
              <w:rPr>
                <w:color w:val="000000"/>
              </w:rPr>
              <w:t>(0</w:t>
            </w:r>
            <w:r w:rsidR="00823874" w:rsidRPr="00B5130D">
              <w:rPr>
                <w:color w:val="000000"/>
              </w:rPr>
              <w:t>,</w:t>
            </w:r>
            <w:r w:rsidRPr="00B5130D">
              <w:rPr>
                <w:color w:val="000000"/>
              </w:rPr>
              <w:t>0000)</w:t>
            </w:r>
          </w:p>
        </w:tc>
        <w:tc>
          <w:tcPr>
            <w:tcW w:w="1921" w:type="dxa"/>
          </w:tcPr>
          <w:p w:rsidR="00B3182F" w:rsidRPr="00B5130D" w:rsidRDefault="001471BC" w:rsidP="00D95DC0">
            <w:pPr>
              <w:tabs>
                <w:tab w:val="left" w:pos="720"/>
              </w:tabs>
              <w:autoSpaceDE w:val="0"/>
              <w:autoSpaceDN w:val="0"/>
              <w:adjustRightInd w:val="0"/>
              <w:jc w:val="center"/>
              <w:rPr>
                <w:color w:val="000000"/>
              </w:rPr>
            </w:pPr>
            <w:r w:rsidRPr="00B5130D">
              <w:rPr>
                <w:color w:val="000000"/>
              </w:rPr>
              <w:t>501</w:t>
            </w:r>
            <w:r w:rsidR="00823874" w:rsidRPr="00B5130D">
              <w:rPr>
                <w:color w:val="000000"/>
              </w:rPr>
              <w:t>,</w:t>
            </w:r>
            <w:r w:rsidRPr="00B5130D">
              <w:rPr>
                <w:color w:val="000000"/>
              </w:rPr>
              <w:t>084</w:t>
            </w:r>
          </w:p>
          <w:p w:rsidR="001471BC" w:rsidRPr="00B5130D" w:rsidRDefault="001471BC" w:rsidP="00D95DC0">
            <w:pPr>
              <w:tabs>
                <w:tab w:val="left" w:pos="720"/>
              </w:tabs>
              <w:autoSpaceDE w:val="0"/>
              <w:autoSpaceDN w:val="0"/>
              <w:adjustRightInd w:val="0"/>
              <w:jc w:val="center"/>
              <w:rPr>
                <w:lang w:val="pt-BR"/>
              </w:rPr>
            </w:pPr>
            <w:r w:rsidRPr="00B5130D">
              <w:rPr>
                <w:color w:val="000000"/>
              </w:rPr>
              <w:t>(0</w:t>
            </w:r>
            <w:r w:rsidR="00823874" w:rsidRPr="00B5130D">
              <w:rPr>
                <w:color w:val="000000"/>
              </w:rPr>
              <w:t>,</w:t>
            </w:r>
            <w:r w:rsidRPr="00B5130D">
              <w:rPr>
                <w:color w:val="000000"/>
              </w:rPr>
              <w:t>0000)</w:t>
            </w:r>
          </w:p>
        </w:tc>
      </w:tr>
    </w:tbl>
    <w:p w:rsidR="00B3182F" w:rsidRPr="00B74037" w:rsidRDefault="00B3182F" w:rsidP="00D95DC0">
      <w:pPr>
        <w:tabs>
          <w:tab w:val="left" w:pos="720"/>
        </w:tabs>
        <w:autoSpaceDE w:val="0"/>
        <w:autoSpaceDN w:val="0"/>
        <w:adjustRightInd w:val="0"/>
        <w:spacing w:after="0" w:line="240" w:lineRule="auto"/>
        <w:jc w:val="center"/>
        <w:rPr>
          <w:rFonts w:ascii="Times New Roman" w:hAnsi="Times New Roman" w:cs="Times New Roman"/>
          <w:b/>
          <w:sz w:val="24"/>
          <w:szCs w:val="24"/>
          <w:lang w:val="pt-BR"/>
        </w:rPr>
      </w:pPr>
    </w:p>
    <w:p w:rsidR="004F7009" w:rsidRPr="00E37A77" w:rsidRDefault="00B74037" w:rsidP="00725358">
      <w:pPr>
        <w:tabs>
          <w:tab w:val="left" w:pos="720"/>
        </w:tabs>
        <w:autoSpaceDE w:val="0"/>
        <w:autoSpaceDN w:val="0"/>
        <w:adjustRightInd w:val="0"/>
        <w:spacing w:after="0" w:line="240" w:lineRule="auto"/>
        <w:jc w:val="center"/>
        <w:rPr>
          <w:rFonts w:ascii="Arial" w:hAnsi="Arial" w:cs="Arial"/>
          <w:sz w:val="18"/>
          <w:szCs w:val="18"/>
          <w:lang w:val="pt-BR"/>
        </w:rPr>
      </w:pPr>
      <w:r>
        <w:rPr>
          <w:rFonts w:ascii="Times New Roman" w:hAnsi="Times New Roman" w:cs="Times New Roman"/>
          <w:sz w:val="20"/>
          <w:szCs w:val="20"/>
          <w:lang w:val="pt-BR"/>
        </w:rPr>
        <w:t>*</w:t>
      </w:r>
      <w:r w:rsidRPr="00B74037">
        <w:rPr>
          <w:rFonts w:ascii="Times New Roman" w:hAnsi="Times New Roman" w:cs="Times New Roman"/>
          <w:sz w:val="20"/>
          <w:szCs w:val="20"/>
          <w:lang w:val="pt-BR"/>
        </w:rPr>
        <w:t>Com a inclusão de tendências individuais lineares e interceptos. As defasagens foram selecionadas de acordo com o critério BIC. Entre parênteses, o p-valor das estatísticas. Diferenciações d</w:t>
      </w:r>
      <w:r w:rsidR="0035618A">
        <w:rPr>
          <w:rFonts w:ascii="Times New Roman" w:hAnsi="Times New Roman" w:cs="Times New Roman"/>
          <w:sz w:val="20"/>
          <w:szCs w:val="20"/>
          <w:lang w:val="pt-BR"/>
        </w:rPr>
        <w:t>a variável indicaram as variáveis</w:t>
      </w:r>
      <w:r w:rsidRPr="00B74037">
        <w:rPr>
          <w:rFonts w:ascii="Times New Roman" w:hAnsi="Times New Roman" w:cs="Times New Roman"/>
          <w:sz w:val="20"/>
          <w:szCs w:val="20"/>
          <w:lang w:val="pt-BR"/>
        </w:rPr>
        <w:t xml:space="preserve"> como I(0) e foram omitidas por conveniência.</w:t>
      </w:r>
    </w:p>
    <w:p w:rsidR="004F7009" w:rsidRPr="00E37A77" w:rsidRDefault="004F7009" w:rsidP="00D95DC0">
      <w:pPr>
        <w:tabs>
          <w:tab w:val="left" w:pos="720"/>
        </w:tabs>
        <w:spacing w:after="0" w:line="240" w:lineRule="auto"/>
        <w:ind w:firstLine="720"/>
        <w:rPr>
          <w:rFonts w:ascii="Arial" w:hAnsi="Arial" w:cs="Arial"/>
          <w:sz w:val="18"/>
          <w:szCs w:val="18"/>
          <w:lang w:val="pt-BR"/>
        </w:rPr>
      </w:pPr>
    </w:p>
    <w:p w:rsidR="00DA67F6" w:rsidRPr="00D5781F" w:rsidRDefault="00DA67F6" w:rsidP="00B5130D">
      <w:pPr>
        <w:tabs>
          <w:tab w:val="left" w:pos="720"/>
        </w:tabs>
        <w:spacing w:after="0" w:line="240" w:lineRule="auto"/>
        <w:ind w:firstLine="720"/>
        <w:jc w:val="center"/>
        <w:rPr>
          <w:rFonts w:ascii="Times New Roman" w:eastAsiaTheme="minorEastAsia" w:hAnsi="Times New Roman" w:cs="Times New Roman"/>
          <w:sz w:val="24"/>
          <w:szCs w:val="24"/>
          <w:lang w:val="pt-BR"/>
        </w:rPr>
      </w:pPr>
      <w:r>
        <w:rPr>
          <w:rFonts w:ascii="Times New Roman" w:hAnsi="Times New Roman" w:cs="Times New Roman"/>
          <w:b/>
          <w:sz w:val="24"/>
          <w:szCs w:val="24"/>
          <w:lang w:val="pt-BR"/>
        </w:rPr>
        <w:t xml:space="preserve">Quadro 1 : </w:t>
      </w:r>
      <w:r w:rsidRPr="000E3EB0">
        <w:rPr>
          <w:rFonts w:ascii="Times New Roman" w:hAnsi="Times New Roman" w:cs="Times New Roman"/>
          <w:b/>
          <w:sz w:val="24"/>
          <w:szCs w:val="24"/>
          <w:lang w:val="pt-BR"/>
        </w:rPr>
        <w:t xml:space="preserve">Teste de Cointegração das Variáveis de </w:t>
      </w:r>
      <w:r>
        <w:rPr>
          <w:rFonts w:ascii="Times New Roman" w:hAnsi="Times New Roman" w:cs="Times New Roman"/>
          <w:b/>
          <w:sz w:val="24"/>
          <w:szCs w:val="24"/>
          <w:lang w:val="pt-BR"/>
        </w:rPr>
        <w:t>Determinação do Câmbio: Pedroni</w:t>
      </w:r>
    </w:p>
    <w:tbl>
      <w:tblPr>
        <w:tblStyle w:val="Tabelacomgrade"/>
        <w:tblW w:w="0" w:type="auto"/>
        <w:tblLook w:val="04A0"/>
      </w:tblPr>
      <w:tblGrid>
        <w:gridCol w:w="3138"/>
        <w:gridCol w:w="3275"/>
        <w:gridCol w:w="3163"/>
      </w:tblGrid>
      <w:tr w:rsidR="00CE320A" w:rsidRPr="00DB1F12" w:rsidTr="00CE320A">
        <w:tc>
          <w:tcPr>
            <w:tcW w:w="9576" w:type="dxa"/>
            <w:gridSpan w:val="3"/>
          </w:tcPr>
          <w:p w:rsidR="00CE320A" w:rsidRPr="00B5130D" w:rsidRDefault="00CE320A" w:rsidP="00D95DC0">
            <w:pPr>
              <w:tabs>
                <w:tab w:val="left" w:pos="720"/>
              </w:tabs>
              <w:jc w:val="center"/>
              <w:rPr>
                <w:b/>
                <w:lang w:val="pt-BR"/>
              </w:rPr>
            </w:pPr>
            <w:r w:rsidRPr="00B5130D">
              <w:rPr>
                <w:b/>
                <w:lang w:val="pt-BR"/>
              </w:rPr>
              <w:t>Testes de Cointegração em Painel</w:t>
            </w:r>
          </w:p>
        </w:tc>
      </w:tr>
      <w:tr w:rsidR="00CE320A" w:rsidRPr="00B5130D" w:rsidTr="00CE320A">
        <w:tc>
          <w:tcPr>
            <w:tcW w:w="3138" w:type="dxa"/>
          </w:tcPr>
          <w:p w:rsidR="00CE320A" w:rsidRPr="00B5130D" w:rsidRDefault="00CE320A" w:rsidP="00D95DC0">
            <w:pPr>
              <w:tabs>
                <w:tab w:val="left" w:pos="720"/>
              </w:tabs>
              <w:jc w:val="center"/>
              <w:rPr>
                <w:b/>
                <w:lang w:val="pt-BR"/>
              </w:rPr>
            </w:pPr>
          </w:p>
        </w:tc>
        <w:tc>
          <w:tcPr>
            <w:tcW w:w="3275" w:type="dxa"/>
          </w:tcPr>
          <w:p w:rsidR="00CE320A" w:rsidRPr="00B5130D" w:rsidRDefault="00CE320A" w:rsidP="00D95DC0">
            <w:pPr>
              <w:tabs>
                <w:tab w:val="left" w:pos="720"/>
              </w:tabs>
              <w:jc w:val="center"/>
              <w:rPr>
                <w:b/>
                <w:lang w:val="pt-BR"/>
              </w:rPr>
            </w:pPr>
          </w:p>
        </w:tc>
        <w:tc>
          <w:tcPr>
            <w:tcW w:w="3163" w:type="dxa"/>
          </w:tcPr>
          <w:p w:rsidR="00CE320A" w:rsidRPr="00B5130D" w:rsidRDefault="00CE320A" w:rsidP="00D95DC0">
            <w:pPr>
              <w:tabs>
                <w:tab w:val="left" w:pos="720"/>
              </w:tabs>
              <w:jc w:val="center"/>
              <w:rPr>
                <w:b/>
                <w:lang w:val="pt-BR"/>
              </w:rPr>
            </w:pPr>
            <w:r w:rsidRPr="00B5130D">
              <w:rPr>
                <w:b/>
                <w:lang w:val="pt-BR"/>
              </w:rPr>
              <w:t>p-valor</w:t>
            </w:r>
          </w:p>
        </w:tc>
      </w:tr>
      <w:tr w:rsidR="00CE320A" w:rsidRPr="00B5130D" w:rsidTr="00CE320A">
        <w:tc>
          <w:tcPr>
            <w:tcW w:w="3138" w:type="dxa"/>
          </w:tcPr>
          <w:p w:rsidR="00CE320A" w:rsidRPr="00B5130D" w:rsidRDefault="00CE320A" w:rsidP="00D95DC0">
            <w:pPr>
              <w:tabs>
                <w:tab w:val="left" w:pos="720"/>
              </w:tabs>
              <w:jc w:val="center"/>
              <w:rPr>
                <w:b/>
                <w:lang w:val="pt-BR"/>
              </w:rPr>
            </w:pPr>
            <w:r w:rsidRPr="00B5130D">
              <w:rPr>
                <w:b/>
                <w:lang w:val="pt-BR"/>
              </w:rPr>
              <w:t>Estatística v</w:t>
            </w:r>
          </w:p>
        </w:tc>
        <w:tc>
          <w:tcPr>
            <w:tcW w:w="3275" w:type="dxa"/>
          </w:tcPr>
          <w:p w:rsidR="00CE320A" w:rsidRPr="00B5130D" w:rsidRDefault="00CE320A" w:rsidP="00D95DC0">
            <w:pPr>
              <w:tabs>
                <w:tab w:val="left" w:pos="720"/>
              </w:tabs>
              <w:jc w:val="center"/>
              <w:rPr>
                <w:b/>
                <w:lang w:val="pt-BR"/>
              </w:rPr>
            </w:pPr>
            <w:r w:rsidRPr="00B5130D">
              <w:rPr>
                <w:color w:val="000000"/>
              </w:rPr>
              <w:t> 1</w:t>
            </w:r>
            <w:r w:rsidR="00823874" w:rsidRPr="00B5130D">
              <w:rPr>
                <w:color w:val="000000"/>
              </w:rPr>
              <w:t>,</w:t>
            </w:r>
            <w:r w:rsidRPr="00B5130D">
              <w:rPr>
                <w:color w:val="000000"/>
              </w:rPr>
              <w:t>775097</w:t>
            </w:r>
          </w:p>
        </w:tc>
        <w:tc>
          <w:tcPr>
            <w:tcW w:w="3163" w:type="dxa"/>
          </w:tcPr>
          <w:p w:rsidR="00CE320A" w:rsidRPr="00B5130D" w:rsidRDefault="00CE320A" w:rsidP="00D95DC0">
            <w:pPr>
              <w:tabs>
                <w:tab w:val="left" w:pos="720"/>
              </w:tabs>
              <w:jc w:val="center"/>
              <w:rPr>
                <w:b/>
                <w:lang w:val="pt-BR"/>
              </w:rPr>
            </w:pPr>
            <w:r w:rsidRPr="00B5130D">
              <w:rPr>
                <w:color w:val="000000"/>
              </w:rPr>
              <w:t> 0</w:t>
            </w:r>
            <w:r w:rsidR="00823874" w:rsidRPr="00B5130D">
              <w:rPr>
                <w:color w:val="000000"/>
              </w:rPr>
              <w:t>,</w:t>
            </w:r>
            <w:r w:rsidRPr="00B5130D">
              <w:rPr>
                <w:color w:val="000000"/>
              </w:rPr>
              <w:t>1265</w:t>
            </w:r>
          </w:p>
        </w:tc>
      </w:tr>
      <w:tr w:rsidR="00CE320A" w:rsidRPr="00B5130D" w:rsidTr="00CE320A">
        <w:tc>
          <w:tcPr>
            <w:tcW w:w="3138" w:type="dxa"/>
          </w:tcPr>
          <w:p w:rsidR="00CE320A" w:rsidRPr="00B5130D" w:rsidRDefault="00CE320A" w:rsidP="00D95DC0">
            <w:pPr>
              <w:tabs>
                <w:tab w:val="left" w:pos="720"/>
              </w:tabs>
              <w:jc w:val="center"/>
              <w:rPr>
                <w:b/>
                <w:lang w:val="pt-BR"/>
              </w:rPr>
            </w:pPr>
            <w:r w:rsidRPr="00B5130D">
              <w:rPr>
                <w:b/>
                <w:lang w:val="pt-BR"/>
              </w:rPr>
              <w:t>Estatística rho</w:t>
            </w:r>
          </w:p>
        </w:tc>
        <w:tc>
          <w:tcPr>
            <w:tcW w:w="3275" w:type="dxa"/>
          </w:tcPr>
          <w:p w:rsidR="00CE320A" w:rsidRPr="00B5130D" w:rsidRDefault="00CE320A" w:rsidP="00D95DC0">
            <w:pPr>
              <w:tabs>
                <w:tab w:val="left" w:pos="720"/>
              </w:tabs>
              <w:jc w:val="center"/>
              <w:rPr>
                <w:b/>
                <w:lang w:val="pt-BR"/>
              </w:rPr>
            </w:pPr>
            <w:r w:rsidRPr="00B5130D">
              <w:rPr>
                <w:color w:val="000000"/>
              </w:rPr>
              <w:t>18</w:t>
            </w:r>
            <w:r w:rsidR="00823874" w:rsidRPr="00B5130D">
              <w:rPr>
                <w:color w:val="000000"/>
              </w:rPr>
              <w:t>,</w:t>
            </w:r>
            <w:r w:rsidRPr="00B5130D">
              <w:rPr>
                <w:color w:val="000000"/>
              </w:rPr>
              <w:t>72751</w:t>
            </w:r>
            <w:r w:rsidR="002907E5" w:rsidRPr="00B5130D">
              <w:rPr>
                <w:color w:val="000000"/>
              </w:rPr>
              <w:t>*</w:t>
            </w:r>
          </w:p>
        </w:tc>
        <w:tc>
          <w:tcPr>
            <w:tcW w:w="3163" w:type="dxa"/>
          </w:tcPr>
          <w:p w:rsidR="00CE320A" w:rsidRPr="00B5130D" w:rsidRDefault="00CE320A" w:rsidP="00D95DC0">
            <w:pPr>
              <w:tabs>
                <w:tab w:val="left" w:pos="720"/>
              </w:tabs>
              <w:jc w:val="center"/>
              <w:rPr>
                <w:b/>
                <w:lang w:val="pt-BR"/>
              </w:rPr>
            </w:pPr>
            <w:r w:rsidRPr="00B5130D">
              <w:rPr>
                <w:color w:val="000000"/>
              </w:rPr>
              <w:t> 0</w:t>
            </w:r>
            <w:r w:rsidR="00823874" w:rsidRPr="00B5130D">
              <w:rPr>
                <w:color w:val="000000"/>
              </w:rPr>
              <w:t>,</w:t>
            </w:r>
            <w:r w:rsidRPr="00B5130D">
              <w:rPr>
                <w:color w:val="000000"/>
              </w:rPr>
              <w:t>0000</w:t>
            </w:r>
          </w:p>
        </w:tc>
      </w:tr>
      <w:tr w:rsidR="00CE320A" w:rsidRPr="00B5130D" w:rsidTr="00CE320A">
        <w:tc>
          <w:tcPr>
            <w:tcW w:w="3138" w:type="dxa"/>
          </w:tcPr>
          <w:p w:rsidR="00CE320A" w:rsidRPr="00B5130D" w:rsidRDefault="00CE320A" w:rsidP="00D95DC0">
            <w:pPr>
              <w:tabs>
                <w:tab w:val="left" w:pos="720"/>
              </w:tabs>
              <w:jc w:val="center"/>
              <w:rPr>
                <w:b/>
                <w:lang w:val="pt-BR"/>
              </w:rPr>
            </w:pPr>
            <w:r w:rsidRPr="00B5130D">
              <w:rPr>
                <w:b/>
                <w:lang w:val="pt-BR"/>
              </w:rPr>
              <w:t>Estatística PP</w:t>
            </w:r>
          </w:p>
        </w:tc>
        <w:tc>
          <w:tcPr>
            <w:tcW w:w="3275" w:type="dxa"/>
          </w:tcPr>
          <w:p w:rsidR="00CE320A" w:rsidRPr="00B5130D" w:rsidRDefault="00CE320A" w:rsidP="00D95DC0">
            <w:pPr>
              <w:tabs>
                <w:tab w:val="left" w:pos="720"/>
              </w:tabs>
              <w:jc w:val="center"/>
              <w:rPr>
                <w:b/>
                <w:lang w:val="pt-BR"/>
              </w:rPr>
            </w:pPr>
            <w:r w:rsidRPr="00B5130D">
              <w:rPr>
                <w:color w:val="000000"/>
              </w:rPr>
              <w:t>-7</w:t>
            </w:r>
            <w:r w:rsidR="00823874" w:rsidRPr="00B5130D">
              <w:rPr>
                <w:color w:val="000000"/>
              </w:rPr>
              <w:t>,</w:t>
            </w:r>
            <w:r w:rsidRPr="00B5130D">
              <w:rPr>
                <w:color w:val="000000"/>
              </w:rPr>
              <w:t>686589</w:t>
            </w:r>
            <w:r w:rsidR="002907E5" w:rsidRPr="00B5130D">
              <w:rPr>
                <w:color w:val="000000"/>
              </w:rPr>
              <w:t>*</w:t>
            </w:r>
          </w:p>
        </w:tc>
        <w:tc>
          <w:tcPr>
            <w:tcW w:w="3163" w:type="dxa"/>
          </w:tcPr>
          <w:p w:rsidR="00CE320A" w:rsidRPr="00B5130D" w:rsidRDefault="00CE320A" w:rsidP="00D95DC0">
            <w:pPr>
              <w:tabs>
                <w:tab w:val="left" w:pos="720"/>
              </w:tabs>
              <w:jc w:val="center"/>
              <w:rPr>
                <w:b/>
                <w:lang w:val="pt-BR"/>
              </w:rPr>
            </w:pPr>
            <w:r w:rsidRPr="00B5130D">
              <w:rPr>
                <w:color w:val="000000"/>
              </w:rPr>
              <w:t>0</w:t>
            </w:r>
            <w:r w:rsidR="00823874" w:rsidRPr="00B5130D">
              <w:rPr>
                <w:color w:val="000000"/>
              </w:rPr>
              <w:t>,</w:t>
            </w:r>
            <w:r w:rsidRPr="00B5130D">
              <w:rPr>
                <w:color w:val="000000"/>
              </w:rPr>
              <w:t>0000</w:t>
            </w:r>
          </w:p>
        </w:tc>
      </w:tr>
      <w:tr w:rsidR="00CE320A" w:rsidRPr="00B5130D" w:rsidTr="00CE320A">
        <w:tc>
          <w:tcPr>
            <w:tcW w:w="3138" w:type="dxa"/>
          </w:tcPr>
          <w:p w:rsidR="00CE320A" w:rsidRPr="00B5130D" w:rsidRDefault="00CE320A" w:rsidP="00D95DC0">
            <w:pPr>
              <w:tabs>
                <w:tab w:val="left" w:pos="720"/>
              </w:tabs>
              <w:jc w:val="center"/>
              <w:rPr>
                <w:b/>
                <w:lang w:val="pt-BR"/>
              </w:rPr>
            </w:pPr>
            <w:r w:rsidRPr="00B5130D">
              <w:rPr>
                <w:b/>
                <w:lang w:val="pt-BR"/>
              </w:rPr>
              <w:t>Estatística ADF</w:t>
            </w:r>
          </w:p>
        </w:tc>
        <w:tc>
          <w:tcPr>
            <w:tcW w:w="3275" w:type="dxa"/>
          </w:tcPr>
          <w:p w:rsidR="00CE320A" w:rsidRPr="00B5130D" w:rsidRDefault="00CE320A" w:rsidP="00D95DC0">
            <w:pPr>
              <w:tabs>
                <w:tab w:val="left" w:pos="720"/>
              </w:tabs>
              <w:jc w:val="center"/>
              <w:rPr>
                <w:b/>
                <w:lang w:val="pt-BR"/>
              </w:rPr>
            </w:pPr>
            <w:r w:rsidRPr="00B5130D">
              <w:rPr>
                <w:color w:val="000000"/>
              </w:rPr>
              <w:t>-8.556698</w:t>
            </w:r>
            <w:r w:rsidR="002907E5" w:rsidRPr="00B5130D">
              <w:rPr>
                <w:color w:val="000000"/>
              </w:rPr>
              <w:t>*</w:t>
            </w:r>
          </w:p>
        </w:tc>
        <w:tc>
          <w:tcPr>
            <w:tcW w:w="3163" w:type="dxa"/>
          </w:tcPr>
          <w:p w:rsidR="00CE320A" w:rsidRPr="00B5130D" w:rsidRDefault="000C0E22" w:rsidP="00D95DC0">
            <w:pPr>
              <w:tabs>
                <w:tab w:val="left" w:pos="720"/>
              </w:tabs>
              <w:jc w:val="center"/>
              <w:rPr>
                <w:b/>
                <w:lang w:val="pt-BR"/>
              </w:rPr>
            </w:pPr>
            <w:r w:rsidRPr="00B5130D">
              <w:rPr>
                <w:color w:val="000000"/>
              </w:rPr>
              <w:t>0,</w:t>
            </w:r>
            <w:r w:rsidR="00CE320A" w:rsidRPr="00B5130D">
              <w:rPr>
                <w:color w:val="000000"/>
              </w:rPr>
              <w:t>0000</w:t>
            </w:r>
          </w:p>
        </w:tc>
      </w:tr>
      <w:tr w:rsidR="00CE320A" w:rsidRPr="00DB1F12" w:rsidTr="00CE320A">
        <w:tc>
          <w:tcPr>
            <w:tcW w:w="9576" w:type="dxa"/>
            <w:gridSpan w:val="3"/>
          </w:tcPr>
          <w:p w:rsidR="00CE320A" w:rsidRPr="00B5130D" w:rsidRDefault="00CE320A" w:rsidP="00D95DC0">
            <w:pPr>
              <w:tabs>
                <w:tab w:val="left" w:pos="720"/>
              </w:tabs>
              <w:jc w:val="center"/>
              <w:rPr>
                <w:b/>
                <w:lang w:val="pt-BR"/>
              </w:rPr>
            </w:pPr>
            <w:r w:rsidRPr="00B5130D">
              <w:rPr>
                <w:b/>
                <w:lang w:val="pt-BR"/>
              </w:rPr>
              <w:t>Testes de Cointegração da Média em Grupo</w:t>
            </w:r>
          </w:p>
        </w:tc>
      </w:tr>
      <w:tr w:rsidR="00CE320A" w:rsidRPr="00B5130D" w:rsidTr="00CE320A">
        <w:tc>
          <w:tcPr>
            <w:tcW w:w="3138" w:type="dxa"/>
          </w:tcPr>
          <w:p w:rsidR="00CE320A" w:rsidRPr="00B5130D" w:rsidRDefault="00CE320A" w:rsidP="00D95DC0">
            <w:pPr>
              <w:tabs>
                <w:tab w:val="left" w:pos="720"/>
              </w:tabs>
              <w:jc w:val="center"/>
              <w:rPr>
                <w:b/>
                <w:lang w:val="pt-BR"/>
              </w:rPr>
            </w:pPr>
            <w:r w:rsidRPr="00B5130D">
              <w:rPr>
                <w:b/>
                <w:lang w:val="pt-BR"/>
              </w:rPr>
              <w:t>Estatística RHO</w:t>
            </w:r>
          </w:p>
        </w:tc>
        <w:tc>
          <w:tcPr>
            <w:tcW w:w="3275" w:type="dxa"/>
          </w:tcPr>
          <w:p w:rsidR="00CE320A" w:rsidRPr="00B5130D" w:rsidRDefault="00CE320A" w:rsidP="00D95DC0">
            <w:pPr>
              <w:tabs>
                <w:tab w:val="left" w:pos="720"/>
              </w:tabs>
              <w:jc w:val="center"/>
              <w:rPr>
                <w:b/>
                <w:lang w:val="pt-BR"/>
              </w:rPr>
            </w:pPr>
            <w:r w:rsidRPr="00B5130D">
              <w:rPr>
                <w:color w:val="000000"/>
              </w:rPr>
              <w:t>22</w:t>
            </w:r>
            <w:r w:rsidR="00823874" w:rsidRPr="00B5130D">
              <w:rPr>
                <w:color w:val="000000"/>
              </w:rPr>
              <w:t>,</w:t>
            </w:r>
            <w:r w:rsidRPr="00B5130D">
              <w:rPr>
                <w:color w:val="000000"/>
              </w:rPr>
              <w:t>74492</w:t>
            </w:r>
            <w:r w:rsidR="002907E5" w:rsidRPr="00B5130D">
              <w:rPr>
                <w:color w:val="000000"/>
              </w:rPr>
              <w:t>*</w:t>
            </w:r>
          </w:p>
        </w:tc>
        <w:tc>
          <w:tcPr>
            <w:tcW w:w="3163" w:type="dxa"/>
          </w:tcPr>
          <w:p w:rsidR="00CE320A" w:rsidRPr="00B5130D" w:rsidRDefault="00CE320A" w:rsidP="00D95DC0">
            <w:pPr>
              <w:tabs>
                <w:tab w:val="left" w:pos="720"/>
              </w:tabs>
              <w:jc w:val="center"/>
              <w:rPr>
                <w:b/>
                <w:lang w:val="pt-BR"/>
              </w:rPr>
            </w:pPr>
            <w:r w:rsidRPr="00B5130D">
              <w:rPr>
                <w:color w:val="000000"/>
              </w:rPr>
              <w:t> 0</w:t>
            </w:r>
            <w:r w:rsidR="00823874" w:rsidRPr="00B5130D">
              <w:rPr>
                <w:color w:val="000000"/>
              </w:rPr>
              <w:t>,</w:t>
            </w:r>
            <w:r w:rsidRPr="00B5130D">
              <w:rPr>
                <w:color w:val="000000"/>
              </w:rPr>
              <w:t>0000</w:t>
            </w:r>
          </w:p>
        </w:tc>
      </w:tr>
      <w:tr w:rsidR="00CE320A" w:rsidRPr="00B5130D" w:rsidTr="00CE320A">
        <w:tc>
          <w:tcPr>
            <w:tcW w:w="3138" w:type="dxa"/>
          </w:tcPr>
          <w:p w:rsidR="00CE320A" w:rsidRPr="00B5130D" w:rsidRDefault="00CE320A" w:rsidP="00D95DC0">
            <w:pPr>
              <w:tabs>
                <w:tab w:val="left" w:pos="720"/>
              </w:tabs>
              <w:jc w:val="center"/>
              <w:rPr>
                <w:b/>
                <w:lang w:val="pt-BR"/>
              </w:rPr>
            </w:pPr>
            <w:r w:rsidRPr="00B5130D">
              <w:rPr>
                <w:b/>
                <w:lang w:val="pt-BR"/>
              </w:rPr>
              <w:t>Estatística PP</w:t>
            </w:r>
          </w:p>
        </w:tc>
        <w:tc>
          <w:tcPr>
            <w:tcW w:w="3275" w:type="dxa"/>
          </w:tcPr>
          <w:p w:rsidR="00CE320A" w:rsidRPr="00B5130D" w:rsidRDefault="00CE320A" w:rsidP="00D95DC0">
            <w:pPr>
              <w:tabs>
                <w:tab w:val="left" w:pos="720"/>
              </w:tabs>
              <w:jc w:val="center"/>
              <w:rPr>
                <w:b/>
                <w:lang w:val="pt-BR"/>
              </w:rPr>
            </w:pPr>
            <w:r w:rsidRPr="00B5130D">
              <w:rPr>
                <w:color w:val="000000"/>
              </w:rPr>
              <w:t>-12</w:t>
            </w:r>
            <w:r w:rsidR="00823874" w:rsidRPr="00B5130D">
              <w:rPr>
                <w:color w:val="000000"/>
              </w:rPr>
              <w:t>,</w:t>
            </w:r>
            <w:r w:rsidRPr="00B5130D">
              <w:rPr>
                <w:color w:val="000000"/>
              </w:rPr>
              <w:t>87050</w:t>
            </w:r>
            <w:r w:rsidR="002907E5" w:rsidRPr="00B5130D">
              <w:rPr>
                <w:color w:val="000000"/>
              </w:rPr>
              <w:t>*</w:t>
            </w:r>
          </w:p>
        </w:tc>
        <w:tc>
          <w:tcPr>
            <w:tcW w:w="3163" w:type="dxa"/>
          </w:tcPr>
          <w:p w:rsidR="00CE320A" w:rsidRPr="00B5130D" w:rsidRDefault="00CE320A" w:rsidP="00D95DC0">
            <w:pPr>
              <w:tabs>
                <w:tab w:val="left" w:pos="720"/>
              </w:tabs>
              <w:jc w:val="center"/>
              <w:rPr>
                <w:b/>
                <w:lang w:val="pt-BR"/>
              </w:rPr>
            </w:pPr>
            <w:r w:rsidRPr="00B5130D">
              <w:rPr>
                <w:color w:val="000000"/>
              </w:rPr>
              <w:t> 0</w:t>
            </w:r>
            <w:r w:rsidR="00823874" w:rsidRPr="00B5130D">
              <w:rPr>
                <w:color w:val="000000"/>
              </w:rPr>
              <w:t>,</w:t>
            </w:r>
            <w:r w:rsidRPr="00B5130D">
              <w:rPr>
                <w:color w:val="000000"/>
              </w:rPr>
              <w:t>0000</w:t>
            </w:r>
          </w:p>
        </w:tc>
      </w:tr>
      <w:tr w:rsidR="00CE320A" w:rsidRPr="00B5130D" w:rsidTr="00CE320A">
        <w:tc>
          <w:tcPr>
            <w:tcW w:w="3138" w:type="dxa"/>
          </w:tcPr>
          <w:p w:rsidR="00CE320A" w:rsidRPr="00B5130D" w:rsidRDefault="00CE320A" w:rsidP="00D95DC0">
            <w:pPr>
              <w:tabs>
                <w:tab w:val="left" w:pos="720"/>
              </w:tabs>
              <w:jc w:val="center"/>
              <w:rPr>
                <w:b/>
                <w:lang w:val="pt-BR"/>
              </w:rPr>
            </w:pPr>
            <w:r w:rsidRPr="00B5130D">
              <w:rPr>
                <w:b/>
                <w:lang w:val="pt-BR"/>
              </w:rPr>
              <w:t>Estatística ADF</w:t>
            </w:r>
          </w:p>
        </w:tc>
        <w:tc>
          <w:tcPr>
            <w:tcW w:w="3275" w:type="dxa"/>
          </w:tcPr>
          <w:p w:rsidR="00CE320A" w:rsidRPr="00B5130D" w:rsidRDefault="00CE320A" w:rsidP="00D95DC0">
            <w:pPr>
              <w:tabs>
                <w:tab w:val="left" w:pos="720"/>
              </w:tabs>
              <w:jc w:val="center"/>
              <w:rPr>
                <w:b/>
                <w:lang w:val="pt-BR"/>
              </w:rPr>
            </w:pPr>
            <w:r w:rsidRPr="00B5130D">
              <w:rPr>
                <w:color w:val="000000"/>
              </w:rPr>
              <w:t>-8</w:t>
            </w:r>
            <w:r w:rsidR="00823874" w:rsidRPr="00B5130D">
              <w:rPr>
                <w:color w:val="000000"/>
              </w:rPr>
              <w:t>,</w:t>
            </w:r>
            <w:r w:rsidRPr="00B5130D">
              <w:rPr>
                <w:color w:val="000000"/>
              </w:rPr>
              <w:t>895765</w:t>
            </w:r>
            <w:r w:rsidR="002907E5" w:rsidRPr="00B5130D">
              <w:rPr>
                <w:color w:val="000000"/>
              </w:rPr>
              <w:t>*</w:t>
            </w:r>
          </w:p>
        </w:tc>
        <w:tc>
          <w:tcPr>
            <w:tcW w:w="3163" w:type="dxa"/>
          </w:tcPr>
          <w:p w:rsidR="00CE320A" w:rsidRPr="00B5130D" w:rsidRDefault="00CE320A" w:rsidP="00D95DC0">
            <w:pPr>
              <w:tabs>
                <w:tab w:val="left" w:pos="720"/>
              </w:tabs>
              <w:jc w:val="center"/>
              <w:rPr>
                <w:b/>
                <w:lang w:val="pt-BR"/>
              </w:rPr>
            </w:pPr>
            <w:r w:rsidRPr="00B5130D">
              <w:rPr>
                <w:color w:val="000000"/>
              </w:rPr>
              <w:t> 0</w:t>
            </w:r>
            <w:r w:rsidR="00823874" w:rsidRPr="00B5130D">
              <w:rPr>
                <w:color w:val="000000"/>
              </w:rPr>
              <w:t>,</w:t>
            </w:r>
            <w:r w:rsidRPr="00B5130D">
              <w:rPr>
                <w:color w:val="000000"/>
              </w:rPr>
              <w:t>0000</w:t>
            </w:r>
          </w:p>
        </w:tc>
      </w:tr>
    </w:tbl>
    <w:p w:rsidR="00823874" w:rsidRDefault="002907E5" w:rsidP="00D95DC0">
      <w:pPr>
        <w:tabs>
          <w:tab w:val="left" w:pos="720"/>
        </w:tabs>
        <w:spacing w:after="0" w:line="240" w:lineRule="auto"/>
        <w:rPr>
          <w:rFonts w:ascii="Times New Roman" w:hAnsi="Times New Roman" w:cs="Times New Roman"/>
          <w:sz w:val="20"/>
          <w:szCs w:val="20"/>
          <w:lang w:val="pt-BR"/>
        </w:rPr>
      </w:pPr>
      <w:r w:rsidRPr="002907E5">
        <w:rPr>
          <w:rFonts w:ascii="Times New Roman" w:hAnsi="Times New Roman" w:cs="Times New Roman"/>
          <w:sz w:val="20"/>
          <w:szCs w:val="20"/>
          <w:lang w:val="pt-BR"/>
        </w:rPr>
        <w:t xml:space="preserve">* </w:t>
      </w:r>
      <w:r>
        <w:rPr>
          <w:rFonts w:ascii="Times New Roman" w:hAnsi="Times New Roman" w:cs="Times New Roman"/>
          <w:sz w:val="20"/>
          <w:szCs w:val="20"/>
          <w:lang w:val="pt-BR"/>
        </w:rPr>
        <w:t>Rejeição da hipótese nula de não-cointegração a um nível de significância de 1% (conferir p-valor).</w:t>
      </w:r>
      <w:r w:rsidR="00823874">
        <w:rPr>
          <w:rFonts w:ascii="Times New Roman" w:hAnsi="Times New Roman" w:cs="Times New Roman"/>
          <w:sz w:val="20"/>
          <w:szCs w:val="20"/>
          <w:lang w:val="pt-BR"/>
        </w:rPr>
        <w:t xml:space="preserve"> </w:t>
      </w:r>
    </w:p>
    <w:p w:rsidR="000E3EB0" w:rsidRPr="009B5F82" w:rsidRDefault="00823874" w:rsidP="00D95DC0">
      <w:pPr>
        <w:tabs>
          <w:tab w:val="left" w:pos="720"/>
        </w:tabs>
        <w:spacing w:after="0" w:line="240" w:lineRule="auto"/>
        <w:jc w:val="center"/>
        <w:rPr>
          <w:rFonts w:ascii="Times New Roman" w:hAnsi="Times New Roman" w:cs="Times New Roman"/>
          <w:sz w:val="20"/>
          <w:szCs w:val="20"/>
          <w:lang w:val="pt-BR"/>
        </w:rPr>
      </w:pPr>
      <w:r>
        <w:rPr>
          <w:rFonts w:ascii="Times New Roman" w:hAnsi="Times New Roman" w:cs="Times New Roman"/>
          <w:sz w:val="20"/>
          <w:szCs w:val="20"/>
          <w:lang w:val="pt-BR"/>
        </w:rPr>
        <w:t xml:space="preserve">OBS:Defasagem automaticamente selecionada por SIC (Critério de Informação de Schwartz). </w:t>
      </w:r>
      <w:r w:rsidRPr="009B5F82">
        <w:rPr>
          <w:rFonts w:ascii="Times New Roman" w:hAnsi="Times New Roman" w:cs="Times New Roman"/>
          <w:sz w:val="20"/>
          <w:szCs w:val="20"/>
          <w:lang w:val="pt-BR"/>
        </w:rPr>
        <w:t>Seleção Newey-West Band-width usando Kernel Bartlett.</w:t>
      </w:r>
    </w:p>
    <w:p w:rsidR="00B5130D" w:rsidRDefault="00B5130D" w:rsidP="00D95DC0">
      <w:pPr>
        <w:tabs>
          <w:tab w:val="left" w:pos="720"/>
        </w:tabs>
        <w:spacing w:after="0" w:line="240" w:lineRule="auto"/>
        <w:ind w:firstLine="720"/>
        <w:jc w:val="center"/>
        <w:rPr>
          <w:rFonts w:ascii="Times New Roman" w:hAnsi="Times New Roman" w:cs="Times New Roman"/>
          <w:b/>
          <w:sz w:val="24"/>
          <w:szCs w:val="24"/>
          <w:lang w:val="pt-BR"/>
        </w:rPr>
      </w:pPr>
    </w:p>
    <w:p w:rsidR="00895B3E" w:rsidRDefault="00895B3E" w:rsidP="00895B3E">
      <w:pPr>
        <w:tabs>
          <w:tab w:val="left" w:pos="720"/>
        </w:tabs>
        <w:spacing w:after="0" w:line="240" w:lineRule="auto"/>
        <w:ind w:firstLine="720"/>
        <w:jc w:val="both"/>
        <w:rPr>
          <w:rFonts w:ascii="Times New Roman" w:eastAsiaTheme="minorEastAsia" w:hAnsi="Times New Roman" w:cs="Times New Roman"/>
          <w:sz w:val="24"/>
          <w:szCs w:val="24"/>
          <w:lang w:val="pt-BR"/>
        </w:rPr>
      </w:pPr>
      <w:r>
        <w:rPr>
          <w:rFonts w:ascii="Times New Roman" w:eastAsiaTheme="minorEastAsia" w:hAnsi="Times New Roman" w:cs="Times New Roman"/>
          <w:sz w:val="24"/>
          <w:szCs w:val="24"/>
          <w:lang w:val="pt-BR"/>
        </w:rPr>
        <w:t xml:space="preserve">O Quadro 1 e o Quadro 2 exibem os testes de cointegração de Painel de Pedroni e de Kao, respectivamente. Ambos confirmam a existência de cointegração para as séries integradas que formam a especificação do painel a ser estimado. </w:t>
      </w:r>
    </w:p>
    <w:p w:rsidR="00895B3E" w:rsidRDefault="00895B3E" w:rsidP="00895B3E">
      <w:pPr>
        <w:tabs>
          <w:tab w:val="left" w:pos="720"/>
        </w:tabs>
        <w:spacing w:after="0" w:line="240" w:lineRule="auto"/>
        <w:ind w:firstLine="720"/>
        <w:jc w:val="both"/>
        <w:rPr>
          <w:rFonts w:ascii="Times New Roman" w:eastAsiaTheme="minorEastAsia" w:hAnsi="Times New Roman" w:cs="Times New Roman"/>
          <w:sz w:val="24"/>
          <w:szCs w:val="24"/>
          <w:lang w:val="pt-BR"/>
        </w:rPr>
      </w:pPr>
    </w:p>
    <w:p w:rsidR="002C1296" w:rsidRPr="00FE0F50" w:rsidRDefault="00D95DC0" w:rsidP="00725358">
      <w:pPr>
        <w:tabs>
          <w:tab w:val="left" w:pos="720"/>
        </w:tabs>
        <w:spacing w:after="0" w:line="240" w:lineRule="auto"/>
        <w:ind w:firstLine="720"/>
        <w:jc w:val="center"/>
        <w:rPr>
          <w:rFonts w:ascii="Arial" w:hAnsi="Arial" w:cs="Arial"/>
          <w:b/>
          <w:sz w:val="18"/>
          <w:szCs w:val="18"/>
          <w:lang w:val="pt-BR"/>
        </w:rPr>
      </w:pPr>
      <w:r>
        <w:rPr>
          <w:rFonts w:ascii="Times New Roman" w:hAnsi="Times New Roman" w:cs="Times New Roman"/>
          <w:b/>
          <w:sz w:val="24"/>
          <w:szCs w:val="24"/>
          <w:lang w:val="pt-BR"/>
        </w:rPr>
        <w:t>Quadro 2</w:t>
      </w:r>
      <w:r w:rsidR="00FE0F50">
        <w:rPr>
          <w:rFonts w:ascii="Times New Roman" w:hAnsi="Times New Roman" w:cs="Times New Roman"/>
          <w:b/>
          <w:sz w:val="24"/>
          <w:szCs w:val="24"/>
          <w:lang w:val="pt-BR"/>
        </w:rPr>
        <w:t xml:space="preserve"> : </w:t>
      </w:r>
      <w:r w:rsidR="00FE0F50" w:rsidRPr="000E3EB0">
        <w:rPr>
          <w:rFonts w:ascii="Times New Roman" w:hAnsi="Times New Roman" w:cs="Times New Roman"/>
          <w:b/>
          <w:sz w:val="24"/>
          <w:szCs w:val="24"/>
          <w:lang w:val="pt-BR"/>
        </w:rPr>
        <w:t xml:space="preserve">Teste de Cointegração das Variáveis de </w:t>
      </w:r>
      <w:r w:rsidR="00FE0F50">
        <w:rPr>
          <w:rFonts w:ascii="Times New Roman" w:hAnsi="Times New Roman" w:cs="Times New Roman"/>
          <w:b/>
          <w:sz w:val="24"/>
          <w:szCs w:val="24"/>
          <w:lang w:val="pt-BR"/>
        </w:rPr>
        <w:t>Determinação do Câmbio: Teste de Kao</w:t>
      </w:r>
    </w:p>
    <w:p w:rsidR="002C1296" w:rsidRPr="00FE0F50" w:rsidRDefault="002C1296" w:rsidP="00D95DC0">
      <w:pPr>
        <w:tabs>
          <w:tab w:val="left" w:pos="720"/>
        </w:tabs>
        <w:autoSpaceDE w:val="0"/>
        <w:autoSpaceDN w:val="0"/>
        <w:adjustRightInd w:val="0"/>
        <w:spacing w:after="0" w:line="240" w:lineRule="auto"/>
        <w:jc w:val="center"/>
        <w:rPr>
          <w:rFonts w:ascii="Arial" w:hAnsi="Arial" w:cs="Arial"/>
          <w:b/>
          <w:sz w:val="18"/>
          <w:szCs w:val="18"/>
          <w:lang w:val="pt-BR"/>
        </w:rPr>
      </w:pPr>
    </w:p>
    <w:tbl>
      <w:tblPr>
        <w:tblStyle w:val="Tabelacomgrade"/>
        <w:tblW w:w="0" w:type="auto"/>
        <w:tblLook w:val="04A0"/>
      </w:tblPr>
      <w:tblGrid>
        <w:gridCol w:w="3416"/>
        <w:gridCol w:w="3080"/>
        <w:gridCol w:w="3080"/>
      </w:tblGrid>
      <w:tr w:rsidR="002C1296" w:rsidRPr="00B5130D" w:rsidTr="002C1296">
        <w:tc>
          <w:tcPr>
            <w:tcW w:w="3416" w:type="dxa"/>
          </w:tcPr>
          <w:p w:rsidR="002C1296" w:rsidRPr="00B5130D" w:rsidRDefault="002C1296" w:rsidP="00D95DC0">
            <w:pPr>
              <w:tabs>
                <w:tab w:val="left" w:pos="720"/>
              </w:tabs>
              <w:autoSpaceDE w:val="0"/>
              <w:autoSpaceDN w:val="0"/>
              <w:adjustRightInd w:val="0"/>
              <w:jc w:val="center"/>
              <w:rPr>
                <w:b/>
                <w:lang w:val="pt-BR"/>
              </w:rPr>
            </w:pPr>
          </w:p>
        </w:tc>
        <w:tc>
          <w:tcPr>
            <w:tcW w:w="3080" w:type="dxa"/>
          </w:tcPr>
          <w:p w:rsidR="002C1296" w:rsidRPr="00B5130D" w:rsidRDefault="002C1296" w:rsidP="00D95DC0">
            <w:pPr>
              <w:tabs>
                <w:tab w:val="left" w:pos="720"/>
              </w:tabs>
              <w:autoSpaceDE w:val="0"/>
              <w:autoSpaceDN w:val="0"/>
              <w:adjustRightInd w:val="0"/>
              <w:jc w:val="center"/>
              <w:rPr>
                <w:b/>
              </w:rPr>
            </w:pPr>
            <w:r w:rsidRPr="00B5130D">
              <w:rPr>
                <w:b/>
              </w:rPr>
              <w:t>Estatísticas</w:t>
            </w:r>
          </w:p>
        </w:tc>
        <w:tc>
          <w:tcPr>
            <w:tcW w:w="3080" w:type="dxa"/>
          </w:tcPr>
          <w:p w:rsidR="002C1296" w:rsidRPr="00B5130D" w:rsidRDefault="002C1296" w:rsidP="00D95DC0">
            <w:pPr>
              <w:tabs>
                <w:tab w:val="left" w:pos="720"/>
              </w:tabs>
              <w:autoSpaceDE w:val="0"/>
              <w:autoSpaceDN w:val="0"/>
              <w:adjustRightInd w:val="0"/>
              <w:jc w:val="center"/>
              <w:rPr>
                <w:b/>
              </w:rPr>
            </w:pPr>
            <w:r w:rsidRPr="00B5130D">
              <w:rPr>
                <w:b/>
              </w:rPr>
              <w:t>p-valor</w:t>
            </w:r>
          </w:p>
        </w:tc>
      </w:tr>
      <w:tr w:rsidR="002C1296" w:rsidRPr="00B5130D" w:rsidTr="002C1296">
        <w:tc>
          <w:tcPr>
            <w:tcW w:w="3416" w:type="dxa"/>
          </w:tcPr>
          <w:p w:rsidR="002C1296" w:rsidRPr="00B5130D" w:rsidRDefault="002C1296" w:rsidP="00D95DC0">
            <w:pPr>
              <w:tabs>
                <w:tab w:val="left" w:pos="720"/>
              </w:tabs>
              <w:autoSpaceDE w:val="0"/>
              <w:autoSpaceDN w:val="0"/>
              <w:adjustRightInd w:val="0"/>
              <w:jc w:val="center"/>
              <w:rPr>
                <w:b/>
              </w:rPr>
            </w:pPr>
            <w:r w:rsidRPr="00B5130D">
              <w:rPr>
                <w:b/>
              </w:rPr>
              <w:t>Estatística ADF</w:t>
            </w:r>
          </w:p>
        </w:tc>
        <w:tc>
          <w:tcPr>
            <w:tcW w:w="3080" w:type="dxa"/>
          </w:tcPr>
          <w:p w:rsidR="002C1296" w:rsidRPr="00B5130D" w:rsidRDefault="002C1296" w:rsidP="00D95DC0">
            <w:pPr>
              <w:tabs>
                <w:tab w:val="left" w:pos="720"/>
              </w:tabs>
              <w:autoSpaceDE w:val="0"/>
              <w:autoSpaceDN w:val="0"/>
              <w:adjustRightInd w:val="0"/>
              <w:jc w:val="center"/>
              <w:rPr>
                <w:b/>
              </w:rPr>
            </w:pPr>
            <w:r w:rsidRPr="00B5130D">
              <w:rPr>
                <w:color w:val="000000"/>
              </w:rPr>
              <w:t> 4,443729*</w:t>
            </w:r>
          </w:p>
        </w:tc>
        <w:tc>
          <w:tcPr>
            <w:tcW w:w="3080" w:type="dxa"/>
          </w:tcPr>
          <w:p w:rsidR="002C1296" w:rsidRPr="00B5130D" w:rsidRDefault="002C1296" w:rsidP="00D95DC0">
            <w:pPr>
              <w:tabs>
                <w:tab w:val="left" w:pos="720"/>
              </w:tabs>
              <w:autoSpaceDE w:val="0"/>
              <w:autoSpaceDN w:val="0"/>
              <w:adjustRightInd w:val="0"/>
              <w:jc w:val="center"/>
              <w:rPr>
                <w:b/>
              </w:rPr>
            </w:pPr>
            <w:r w:rsidRPr="00B5130D">
              <w:rPr>
                <w:color w:val="000000"/>
              </w:rPr>
              <w:t> 0,0000</w:t>
            </w:r>
          </w:p>
        </w:tc>
      </w:tr>
      <w:tr w:rsidR="002C1296" w:rsidRPr="00B5130D" w:rsidTr="002C1296">
        <w:tc>
          <w:tcPr>
            <w:tcW w:w="3416" w:type="dxa"/>
          </w:tcPr>
          <w:p w:rsidR="002C1296" w:rsidRPr="00B5130D" w:rsidRDefault="002C1296" w:rsidP="00D95DC0">
            <w:pPr>
              <w:tabs>
                <w:tab w:val="left" w:pos="720"/>
              </w:tabs>
              <w:autoSpaceDE w:val="0"/>
              <w:autoSpaceDN w:val="0"/>
              <w:adjustRightInd w:val="0"/>
              <w:jc w:val="center"/>
              <w:rPr>
                <w:b/>
              </w:rPr>
            </w:pPr>
            <w:r w:rsidRPr="00B5130D">
              <w:rPr>
                <w:b/>
              </w:rPr>
              <w:t>Variância Residual</w:t>
            </w:r>
          </w:p>
        </w:tc>
        <w:tc>
          <w:tcPr>
            <w:tcW w:w="3080" w:type="dxa"/>
          </w:tcPr>
          <w:p w:rsidR="002C1296" w:rsidRPr="00B5130D" w:rsidRDefault="002C1296" w:rsidP="00D95DC0">
            <w:pPr>
              <w:tabs>
                <w:tab w:val="left" w:pos="720"/>
              </w:tabs>
              <w:autoSpaceDE w:val="0"/>
              <w:autoSpaceDN w:val="0"/>
              <w:adjustRightInd w:val="0"/>
              <w:jc w:val="center"/>
              <w:rPr>
                <w:b/>
              </w:rPr>
            </w:pPr>
            <w:r w:rsidRPr="00B5130D">
              <w:rPr>
                <w:color w:val="000000"/>
              </w:rPr>
              <w:t>0,011197</w:t>
            </w:r>
          </w:p>
        </w:tc>
        <w:tc>
          <w:tcPr>
            <w:tcW w:w="3080" w:type="dxa"/>
          </w:tcPr>
          <w:p w:rsidR="002C1296" w:rsidRPr="00B5130D" w:rsidRDefault="002C1296" w:rsidP="00D95DC0">
            <w:pPr>
              <w:tabs>
                <w:tab w:val="left" w:pos="720"/>
              </w:tabs>
              <w:autoSpaceDE w:val="0"/>
              <w:autoSpaceDN w:val="0"/>
              <w:adjustRightInd w:val="0"/>
              <w:jc w:val="center"/>
              <w:rPr>
                <w:b/>
              </w:rPr>
            </w:pPr>
          </w:p>
        </w:tc>
      </w:tr>
      <w:tr w:rsidR="002C1296" w:rsidRPr="00B5130D" w:rsidTr="002C1296">
        <w:tc>
          <w:tcPr>
            <w:tcW w:w="3416" w:type="dxa"/>
          </w:tcPr>
          <w:p w:rsidR="002C1296" w:rsidRPr="00B5130D" w:rsidRDefault="002C1296" w:rsidP="00D95DC0">
            <w:pPr>
              <w:tabs>
                <w:tab w:val="left" w:pos="720"/>
              </w:tabs>
              <w:autoSpaceDE w:val="0"/>
              <w:autoSpaceDN w:val="0"/>
              <w:adjustRightInd w:val="0"/>
              <w:jc w:val="center"/>
              <w:rPr>
                <w:b/>
              </w:rPr>
            </w:pPr>
            <w:r w:rsidRPr="00B5130D">
              <w:rPr>
                <w:b/>
              </w:rPr>
              <w:t>Variância HAC</w:t>
            </w:r>
          </w:p>
        </w:tc>
        <w:tc>
          <w:tcPr>
            <w:tcW w:w="3080" w:type="dxa"/>
          </w:tcPr>
          <w:p w:rsidR="002C1296" w:rsidRPr="00B5130D" w:rsidRDefault="002C1296" w:rsidP="00D95DC0">
            <w:pPr>
              <w:tabs>
                <w:tab w:val="left" w:pos="720"/>
              </w:tabs>
              <w:autoSpaceDE w:val="0"/>
              <w:autoSpaceDN w:val="0"/>
              <w:adjustRightInd w:val="0"/>
              <w:jc w:val="center"/>
              <w:rPr>
                <w:b/>
              </w:rPr>
            </w:pPr>
            <w:r w:rsidRPr="00B5130D">
              <w:rPr>
                <w:color w:val="000000"/>
              </w:rPr>
              <w:t> 0,012224</w:t>
            </w:r>
          </w:p>
        </w:tc>
        <w:tc>
          <w:tcPr>
            <w:tcW w:w="3080" w:type="dxa"/>
          </w:tcPr>
          <w:p w:rsidR="002C1296" w:rsidRPr="00B5130D" w:rsidRDefault="002C1296" w:rsidP="00D95DC0">
            <w:pPr>
              <w:tabs>
                <w:tab w:val="left" w:pos="720"/>
              </w:tabs>
              <w:autoSpaceDE w:val="0"/>
              <w:autoSpaceDN w:val="0"/>
              <w:adjustRightInd w:val="0"/>
              <w:jc w:val="center"/>
              <w:rPr>
                <w:b/>
              </w:rPr>
            </w:pPr>
          </w:p>
        </w:tc>
      </w:tr>
      <w:tr w:rsidR="002C1296" w:rsidRPr="00B5130D" w:rsidTr="002C1296">
        <w:tc>
          <w:tcPr>
            <w:tcW w:w="3416" w:type="dxa"/>
          </w:tcPr>
          <w:p w:rsidR="002C1296" w:rsidRPr="00B5130D" w:rsidRDefault="002C1296" w:rsidP="00D95DC0">
            <w:pPr>
              <w:tabs>
                <w:tab w:val="left" w:pos="720"/>
              </w:tabs>
              <w:autoSpaceDE w:val="0"/>
              <w:autoSpaceDN w:val="0"/>
              <w:adjustRightInd w:val="0"/>
              <w:jc w:val="center"/>
              <w:rPr>
                <w:b/>
              </w:rPr>
            </w:pPr>
          </w:p>
        </w:tc>
        <w:tc>
          <w:tcPr>
            <w:tcW w:w="3080" w:type="dxa"/>
          </w:tcPr>
          <w:p w:rsidR="002C1296" w:rsidRPr="00B5130D" w:rsidRDefault="002C1296" w:rsidP="00D95DC0">
            <w:pPr>
              <w:tabs>
                <w:tab w:val="left" w:pos="720"/>
              </w:tabs>
              <w:autoSpaceDE w:val="0"/>
              <w:autoSpaceDN w:val="0"/>
              <w:adjustRightInd w:val="0"/>
              <w:jc w:val="center"/>
              <w:rPr>
                <w:b/>
              </w:rPr>
            </w:pPr>
          </w:p>
        </w:tc>
        <w:tc>
          <w:tcPr>
            <w:tcW w:w="3080" w:type="dxa"/>
          </w:tcPr>
          <w:p w:rsidR="002C1296" w:rsidRPr="00B5130D" w:rsidRDefault="002C1296" w:rsidP="00D95DC0">
            <w:pPr>
              <w:tabs>
                <w:tab w:val="left" w:pos="720"/>
              </w:tabs>
              <w:autoSpaceDE w:val="0"/>
              <w:autoSpaceDN w:val="0"/>
              <w:adjustRightInd w:val="0"/>
              <w:jc w:val="center"/>
              <w:rPr>
                <w:b/>
              </w:rPr>
            </w:pPr>
          </w:p>
        </w:tc>
      </w:tr>
    </w:tbl>
    <w:p w:rsidR="002C1296" w:rsidRDefault="002C1296" w:rsidP="00D95DC0">
      <w:pPr>
        <w:tabs>
          <w:tab w:val="left" w:pos="720"/>
        </w:tabs>
        <w:spacing w:after="0" w:line="240" w:lineRule="auto"/>
        <w:rPr>
          <w:rFonts w:ascii="Times New Roman" w:hAnsi="Times New Roman" w:cs="Times New Roman"/>
          <w:sz w:val="20"/>
          <w:szCs w:val="20"/>
          <w:lang w:val="pt-BR"/>
        </w:rPr>
      </w:pPr>
      <w:r w:rsidRPr="002907E5">
        <w:rPr>
          <w:rFonts w:ascii="Times New Roman" w:hAnsi="Times New Roman" w:cs="Times New Roman"/>
          <w:sz w:val="20"/>
          <w:szCs w:val="20"/>
          <w:lang w:val="pt-BR"/>
        </w:rPr>
        <w:t xml:space="preserve">* </w:t>
      </w:r>
      <w:r>
        <w:rPr>
          <w:rFonts w:ascii="Times New Roman" w:hAnsi="Times New Roman" w:cs="Times New Roman"/>
          <w:sz w:val="20"/>
          <w:szCs w:val="20"/>
          <w:lang w:val="pt-BR"/>
        </w:rPr>
        <w:t xml:space="preserve">Rejeição da hipótese nula de não-cointegração a um nível de significância de 1% (conferir p-valor). </w:t>
      </w:r>
    </w:p>
    <w:p w:rsidR="002C1296" w:rsidRPr="008F2076" w:rsidRDefault="002C1296" w:rsidP="00D95DC0">
      <w:pPr>
        <w:tabs>
          <w:tab w:val="left" w:pos="720"/>
        </w:tabs>
        <w:spacing w:after="0" w:line="240" w:lineRule="auto"/>
        <w:jc w:val="center"/>
        <w:rPr>
          <w:rFonts w:ascii="Times New Roman" w:hAnsi="Times New Roman" w:cs="Times New Roman"/>
          <w:sz w:val="20"/>
          <w:szCs w:val="20"/>
          <w:lang w:val="pt-BR"/>
        </w:rPr>
      </w:pPr>
      <w:r>
        <w:rPr>
          <w:rFonts w:ascii="Times New Roman" w:hAnsi="Times New Roman" w:cs="Times New Roman"/>
          <w:sz w:val="20"/>
          <w:szCs w:val="20"/>
          <w:lang w:val="pt-BR"/>
        </w:rPr>
        <w:t xml:space="preserve">OBS:Defasagem automaticamente selecionada por SIC (Critério de Informação de Schwartz). </w:t>
      </w:r>
      <w:r w:rsidRPr="008F2076">
        <w:rPr>
          <w:rFonts w:ascii="Times New Roman" w:hAnsi="Times New Roman" w:cs="Times New Roman"/>
          <w:sz w:val="20"/>
          <w:szCs w:val="20"/>
          <w:lang w:val="pt-BR"/>
        </w:rPr>
        <w:t>Seleção Newey-West Band-width usando Kernel Bartlett.</w:t>
      </w:r>
    </w:p>
    <w:p w:rsidR="00B22224" w:rsidRPr="004B4DF0" w:rsidRDefault="00B22224" w:rsidP="000F5E58">
      <w:pPr>
        <w:autoSpaceDE w:val="0"/>
        <w:autoSpaceDN w:val="0"/>
        <w:adjustRightInd w:val="0"/>
        <w:spacing w:after="0" w:line="240" w:lineRule="auto"/>
        <w:ind w:firstLine="720"/>
        <w:jc w:val="both"/>
        <w:rPr>
          <w:rFonts w:ascii="Times New Roman" w:hAnsi="Times New Roman" w:cs="Times New Roman"/>
          <w:sz w:val="24"/>
          <w:szCs w:val="24"/>
          <w:lang w:val="pt-BR"/>
        </w:rPr>
      </w:pPr>
      <w:r w:rsidRPr="004B4DF0">
        <w:rPr>
          <w:rFonts w:ascii="Times New Roman" w:hAnsi="Times New Roman" w:cs="Times New Roman"/>
          <w:sz w:val="24"/>
          <w:szCs w:val="24"/>
          <w:lang w:val="pt-BR"/>
        </w:rPr>
        <w:t>Uma vez estabelecido que a relação de cointegração realmente existe, os parâmetros de longo prazo podem ser estimados de forma eficiente usando técnicas similares a de modelos de séries temporais. Neste trabalho, foi utilizado o estimador DOLS (</w:t>
      </w:r>
      <w:r w:rsidRPr="004B4DF0">
        <w:rPr>
          <w:rFonts w:ascii="Times New Roman" w:hAnsi="Times New Roman" w:cs="Times New Roman"/>
          <w:i/>
          <w:sz w:val="24"/>
          <w:szCs w:val="24"/>
          <w:lang w:val="pt-BR"/>
        </w:rPr>
        <w:t>Dynamic Ordinary Least Squares</w:t>
      </w:r>
      <w:r w:rsidRPr="004B4DF0">
        <w:rPr>
          <w:rFonts w:ascii="Times New Roman" w:hAnsi="Times New Roman" w:cs="Times New Roman"/>
          <w:sz w:val="24"/>
          <w:szCs w:val="24"/>
          <w:lang w:val="pt-BR"/>
        </w:rPr>
        <w:t>). Considere-se, por exemplo, a seguinte regressão</w:t>
      </w:r>
      <w:r w:rsidR="0035618A">
        <w:rPr>
          <w:rFonts w:ascii="Times New Roman" w:hAnsi="Times New Roman" w:cs="Times New Roman"/>
          <w:sz w:val="24"/>
          <w:szCs w:val="24"/>
          <w:lang w:val="pt-BR"/>
        </w:rPr>
        <w:t xml:space="preserve"> </w:t>
      </w:r>
      <w:r w:rsidRPr="004B4DF0">
        <w:rPr>
          <w:rFonts w:ascii="Times New Roman" w:hAnsi="Times New Roman" w:cs="Times New Roman"/>
          <w:sz w:val="24"/>
          <w:szCs w:val="24"/>
          <w:lang w:val="pt-BR"/>
        </w:rPr>
        <w:t>em painel com efeitos fixos:</w:t>
      </w:r>
    </w:p>
    <w:p w:rsidR="00B22224" w:rsidRDefault="00B22224" w:rsidP="00B22224">
      <w:pPr>
        <w:autoSpaceDE w:val="0"/>
        <w:autoSpaceDN w:val="0"/>
        <w:adjustRightInd w:val="0"/>
        <w:spacing w:after="0" w:line="240" w:lineRule="auto"/>
        <w:rPr>
          <w:rFonts w:ascii="TTdcr10" w:hAnsi="TTdcr10" w:cs="TTdcr10"/>
          <w:sz w:val="24"/>
          <w:szCs w:val="24"/>
          <w:lang w:val="pt-BR"/>
        </w:rPr>
      </w:pPr>
    </w:p>
    <w:p w:rsidR="00B22224" w:rsidRDefault="006E1488" w:rsidP="00B22224">
      <w:pPr>
        <w:autoSpaceDE w:val="0"/>
        <w:autoSpaceDN w:val="0"/>
        <w:adjustRightInd w:val="0"/>
        <w:spacing w:after="0" w:line="240" w:lineRule="auto"/>
        <w:jc w:val="center"/>
        <w:rPr>
          <w:rFonts w:ascii="TTdcr10" w:hAnsi="TTdcr10" w:cs="TTdcr10"/>
          <w:sz w:val="20"/>
          <w:szCs w:val="20"/>
          <w:lang w:val="pt-BR"/>
        </w:rPr>
      </w:pPr>
      <m:oMath>
        <m:sSub>
          <m:sSubPr>
            <m:ctrlPr>
              <w:rPr>
                <w:rFonts w:ascii="Cambria Math" w:hAnsi="Cambria Math" w:cs="TTdcr10"/>
                <w:i/>
                <w:sz w:val="24"/>
                <w:szCs w:val="24"/>
                <w:lang w:val="pt-BR"/>
              </w:rPr>
            </m:ctrlPr>
          </m:sSubPr>
          <m:e>
            <m:r>
              <w:rPr>
                <w:rFonts w:ascii="Cambria Math" w:hAnsi="Cambria Math" w:cs="TTdcr10"/>
                <w:sz w:val="24"/>
                <w:szCs w:val="24"/>
                <w:lang w:val="pt-BR"/>
              </w:rPr>
              <m:t>y</m:t>
            </m:r>
          </m:e>
          <m:sub>
            <m:r>
              <w:rPr>
                <w:rFonts w:ascii="Cambria Math" w:hAnsi="Cambria Math" w:cs="TTdcr10"/>
                <w:sz w:val="24"/>
                <w:szCs w:val="24"/>
                <w:lang w:val="pt-BR"/>
              </w:rPr>
              <m:t>i,t</m:t>
            </m:r>
          </m:sub>
        </m:sSub>
        <m:r>
          <w:rPr>
            <w:rFonts w:ascii="Cambria Math" w:hAnsi="Cambria Math" w:cs="TTdcr10"/>
            <w:sz w:val="24"/>
            <w:szCs w:val="24"/>
            <w:lang w:val="pt-BR"/>
          </w:rPr>
          <m:t>=</m:t>
        </m:r>
        <m:sSub>
          <m:sSubPr>
            <m:ctrlPr>
              <w:rPr>
                <w:rFonts w:ascii="Cambria Math" w:hAnsi="Cambria Math" w:cs="TTdcr10"/>
                <w:i/>
                <w:sz w:val="24"/>
                <w:szCs w:val="24"/>
                <w:lang w:val="pt-BR"/>
              </w:rPr>
            </m:ctrlPr>
          </m:sSubPr>
          <m:e>
            <m:r>
              <w:rPr>
                <w:rFonts w:ascii="Cambria Math" w:hAnsi="Cambria Math" w:cs="TTdcr10"/>
                <w:sz w:val="24"/>
                <w:szCs w:val="24"/>
                <w:lang w:val="pt-BR"/>
              </w:rPr>
              <m:t>α</m:t>
            </m:r>
          </m:e>
          <m:sub>
            <m:r>
              <w:rPr>
                <w:rFonts w:ascii="Cambria Math" w:hAnsi="Cambria Math" w:cs="TTdcr10"/>
                <w:sz w:val="24"/>
                <w:szCs w:val="24"/>
                <w:lang w:val="pt-BR"/>
              </w:rPr>
              <m:t>i</m:t>
            </m:r>
          </m:sub>
        </m:sSub>
        <m:r>
          <w:rPr>
            <w:rFonts w:ascii="Cambria Math" w:hAnsi="Cambria Math" w:cs="TTdcr10"/>
            <w:sz w:val="24"/>
            <w:szCs w:val="24"/>
            <w:lang w:val="pt-BR"/>
          </w:rPr>
          <m:t>+</m:t>
        </m:r>
        <m:sSubSup>
          <m:sSubSupPr>
            <m:ctrlPr>
              <w:rPr>
                <w:rFonts w:ascii="Cambria Math" w:hAnsi="Cambria Math" w:cs="TTdcr10"/>
                <w:i/>
                <w:sz w:val="24"/>
                <w:szCs w:val="24"/>
                <w:lang w:val="pt-BR"/>
              </w:rPr>
            </m:ctrlPr>
          </m:sSubSupPr>
          <m:e>
            <m:r>
              <w:rPr>
                <w:rFonts w:ascii="Cambria Math" w:hAnsi="Cambria Math" w:cs="TTdcr10"/>
                <w:sz w:val="24"/>
                <w:szCs w:val="24"/>
                <w:lang w:val="pt-BR"/>
              </w:rPr>
              <m:t>x</m:t>
            </m:r>
          </m:e>
          <m:sub>
            <m:r>
              <w:rPr>
                <w:rFonts w:ascii="Cambria Math" w:hAnsi="Cambria Math" w:cs="TTdcr10"/>
                <w:sz w:val="24"/>
                <w:szCs w:val="24"/>
                <w:lang w:val="pt-BR"/>
              </w:rPr>
              <m:t>i,t</m:t>
            </m:r>
          </m:sub>
          <m:sup>
            <m:r>
              <w:rPr>
                <w:rFonts w:ascii="Cambria Math" w:hAnsi="Cambria Math" w:cs="TTdcr10"/>
                <w:sz w:val="24"/>
                <w:szCs w:val="24"/>
                <w:lang w:val="pt-BR"/>
              </w:rPr>
              <m:t>'</m:t>
            </m:r>
          </m:sup>
        </m:sSubSup>
        <m:r>
          <w:rPr>
            <w:rFonts w:ascii="Cambria Math" w:hAnsi="Cambria Math" w:cs="TTdcr10"/>
            <w:sz w:val="24"/>
            <w:szCs w:val="24"/>
            <w:lang w:val="pt-BR"/>
          </w:rPr>
          <m:t>β+</m:t>
        </m:r>
        <m:sSub>
          <m:sSubPr>
            <m:ctrlPr>
              <w:rPr>
                <w:rFonts w:ascii="Cambria Math" w:hAnsi="Cambria Math" w:cs="TTdcr10"/>
                <w:i/>
                <w:sz w:val="24"/>
                <w:szCs w:val="24"/>
                <w:lang w:val="pt-BR"/>
              </w:rPr>
            </m:ctrlPr>
          </m:sSubPr>
          <m:e>
            <m:r>
              <w:rPr>
                <w:rFonts w:ascii="Cambria Math" w:hAnsi="Cambria Math" w:cs="TTdcr10"/>
                <w:sz w:val="24"/>
                <w:szCs w:val="24"/>
                <w:lang w:val="pt-BR"/>
              </w:rPr>
              <m:t>u</m:t>
            </m:r>
          </m:e>
          <m:sub>
            <m:r>
              <w:rPr>
                <w:rFonts w:ascii="Cambria Math" w:hAnsi="Cambria Math" w:cs="TTdcr10"/>
                <w:sz w:val="24"/>
                <w:szCs w:val="24"/>
                <w:lang w:val="pt-BR"/>
              </w:rPr>
              <m:t>i,t</m:t>
            </m:r>
          </m:sub>
        </m:sSub>
      </m:oMath>
      <w:r w:rsidR="00B22224">
        <w:rPr>
          <w:rFonts w:ascii="TTdcr10" w:hAnsi="TTdcr10" w:cs="TTdcr10"/>
          <w:sz w:val="24"/>
          <w:szCs w:val="24"/>
          <w:lang w:val="pt-BR"/>
        </w:rPr>
        <w:t xml:space="preserve"> ,</w:t>
      </w:r>
      <w:r w:rsidR="00B22224" w:rsidRPr="004B4DF0">
        <w:rPr>
          <w:rFonts w:ascii="Times New Roman" w:hAnsi="Times New Roman" w:cs="Times New Roman"/>
          <w:sz w:val="20"/>
          <w:szCs w:val="20"/>
          <w:lang w:val="pt-BR"/>
        </w:rPr>
        <w:t xml:space="preserve"> </w:t>
      </w:r>
      <w:r w:rsidR="00B22224">
        <w:rPr>
          <w:rFonts w:ascii="cmmi10" w:hAnsi="cmmi10" w:cs="cmmi10"/>
          <w:sz w:val="20"/>
          <w:szCs w:val="20"/>
        </w:rPr>
        <w:t></w:t>
      </w:r>
      <w:r w:rsidR="00B22224">
        <w:rPr>
          <w:rFonts w:ascii="cmmi10" w:hAnsi="cmmi10" w:cs="cmmi10"/>
          <w:sz w:val="20"/>
          <w:szCs w:val="20"/>
        </w:rPr>
        <w:t></w:t>
      </w:r>
      <w:r w:rsidR="00B22224" w:rsidRPr="00310BAF">
        <w:rPr>
          <w:rFonts w:ascii="cmr10" w:hAnsi="cmr10" w:cs="cmr10"/>
          <w:sz w:val="20"/>
          <w:szCs w:val="20"/>
          <w:lang w:val="pt-BR"/>
        </w:rPr>
        <w:t>= 1</w:t>
      </w:r>
      <w:r w:rsidR="00B22224">
        <w:rPr>
          <w:rFonts w:ascii="cmmi10" w:hAnsi="cmmi10" w:cs="cmmi10"/>
          <w:sz w:val="20"/>
          <w:szCs w:val="20"/>
        </w:rPr>
        <w:t></w:t>
      </w:r>
      <w:r w:rsidR="00B22224">
        <w:rPr>
          <w:rFonts w:ascii="cmmi10" w:hAnsi="cmmi10" w:cs="cmmi10"/>
          <w:sz w:val="20"/>
          <w:szCs w:val="20"/>
        </w:rPr>
        <w:t></w:t>
      </w:r>
      <w:r w:rsidR="00B22224">
        <w:rPr>
          <w:rFonts w:ascii="cmmi10" w:hAnsi="cmmi10" w:cs="cmmi10"/>
          <w:sz w:val="20"/>
          <w:szCs w:val="20"/>
        </w:rPr>
        <w:t></w:t>
      </w:r>
      <w:r w:rsidR="00B22224">
        <w:rPr>
          <w:rFonts w:ascii="cmmi10" w:hAnsi="cmmi10" w:cs="cmmi10"/>
          <w:sz w:val="20"/>
          <w:szCs w:val="20"/>
        </w:rPr>
        <w:t></w:t>
      </w:r>
      <w:r w:rsidR="00B22224">
        <w:rPr>
          <w:rFonts w:ascii="cmmi10" w:hAnsi="cmmi10" w:cs="cmmi10"/>
          <w:sz w:val="20"/>
          <w:szCs w:val="20"/>
        </w:rPr>
        <w:t></w:t>
      </w:r>
      <w:r w:rsidR="00B22224">
        <w:rPr>
          <w:rFonts w:ascii="cmmi10" w:hAnsi="cmmi10" w:cs="cmmi10"/>
          <w:sz w:val="20"/>
          <w:szCs w:val="20"/>
        </w:rPr>
        <w:t></w:t>
      </w:r>
      <w:r w:rsidR="00B22224">
        <w:rPr>
          <w:rFonts w:ascii="cmmi10" w:hAnsi="cmmi10" w:cs="cmmi10"/>
          <w:sz w:val="20"/>
          <w:szCs w:val="20"/>
        </w:rPr>
        <w:t></w:t>
      </w:r>
      <w:r w:rsidR="00B22224" w:rsidRPr="00310BAF">
        <w:rPr>
          <w:rFonts w:ascii="cmr10" w:hAnsi="cmr10" w:cs="cmr10"/>
          <w:sz w:val="20"/>
          <w:szCs w:val="20"/>
          <w:lang w:val="pt-BR"/>
        </w:rPr>
        <w:t xml:space="preserve">; </w:t>
      </w:r>
      <w:r w:rsidR="00B22224">
        <w:rPr>
          <w:rFonts w:ascii="cmmi10" w:hAnsi="cmmi10" w:cs="cmmi10"/>
          <w:sz w:val="20"/>
          <w:szCs w:val="20"/>
        </w:rPr>
        <w:t></w:t>
      </w:r>
      <w:r w:rsidR="00B22224">
        <w:rPr>
          <w:rFonts w:ascii="cmmi10" w:hAnsi="cmmi10" w:cs="cmmi10"/>
          <w:sz w:val="20"/>
          <w:szCs w:val="20"/>
        </w:rPr>
        <w:t></w:t>
      </w:r>
      <w:r w:rsidR="00B22224" w:rsidRPr="00310BAF">
        <w:rPr>
          <w:rFonts w:ascii="cmr10" w:hAnsi="cmr10" w:cs="cmr10"/>
          <w:sz w:val="20"/>
          <w:szCs w:val="20"/>
          <w:lang w:val="pt-BR"/>
        </w:rPr>
        <w:t>= 1</w:t>
      </w:r>
      <w:r w:rsidR="00B22224">
        <w:rPr>
          <w:rFonts w:ascii="cmmi10" w:hAnsi="cmmi10" w:cs="cmmi10"/>
          <w:sz w:val="20"/>
          <w:szCs w:val="20"/>
        </w:rPr>
        <w:t></w:t>
      </w:r>
      <w:r w:rsidR="00B22224">
        <w:rPr>
          <w:rFonts w:ascii="cmmi10" w:hAnsi="cmmi10" w:cs="cmmi10"/>
          <w:sz w:val="20"/>
          <w:szCs w:val="20"/>
        </w:rPr>
        <w:t></w:t>
      </w:r>
      <w:r w:rsidR="00B22224">
        <w:rPr>
          <w:rFonts w:ascii="cmmi10" w:hAnsi="cmmi10" w:cs="cmmi10"/>
          <w:sz w:val="20"/>
          <w:szCs w:val="20"/>
        </w:rPr>
        <w:t></w:t>
      </w:r>
      <w:r w:rsidR="00B22224">
        <w:rPr>
          <w:rFonts w:ascii="cmmi10" w:hAnsi="cmmi10" w:cs="cmmi10"/>
          <w:sz w:val="20"/>
          <w:szCs w:val="20"/>
        </w:rPr>
        <w:t></w:t>
      </w:r>
      <w:r w:rsidR="00B22224">
        <w:rPr>
          <w:rFonts w:ascii="cmmi10" w:hAnsi="cmmi10" w:cs="cmmi10"/>
          <w:sz w:val="20"/>
          <w:szCs w:val="20"/>
        </w:rPr>
        <w:t></w:t>
      </w:r>
      <w:r w:rsidR="00B22224">
        <w:rPr>
          <w:rFonts w:ascii="cmmi10" w:hAnsi="cmmi10" w:cs="cmmi10"/>
          <w:sz w:val="20"/>
          <w:szCs w:val="20"/>
        </w:rPr>
        <w:t></w:t>
      </w:r>
      <w:r w:rsidR="00B22224">
        <w:rPr>
          <w:rFonts w:ascii="cmmi10" w:hAnsi="cmmi10" w:cs="cmmi10"/>
          <w:sz w:val="20"/>
          <w:szCs w:val="20"/>
        </w:rPr>
        <w:t></w:t>
      </w:r>
      <w:r w:rsidR="00B22224">
        <w:rPr>
          <w:rFonts w:ascii="cmmi10" w:hAnsi="cmmi10" w:cs="cmmi10"/>
          <w:sz w:val="20"/>
          <w:szCs w:val="20"/>
        </w:rPr>
        <w:t></w:t>
      </w:r>
      <w:r w:rsidR="00B22224">
        <w:rPr>
          <w:rFonts w:ascii="cmmi10" w:hAnsi="cmmi10" w:cs="cmmi10"/>
          <w:sz w:val="20"/>
          <w:szCs w:val="20"/>
        </w:rPr>
        <w:t></w:t>
      </w:r>
      <w:r w:rsidR="00B22224">
        <w:rPr>
          <w:rFonts w:ascii="TTdcr10" w:hAnsi="TTdcr10" w:cs="TTdcr10"/>
          <w:sz w:val="20"/>
          <w:szCs w:val="20"/>
          <w:lang w:val="pt-BR"/>
        </w:rPr>
        <w:t>.</w:t>
      </w:r>
    </w:p>
    <w:p w:rsidR="00B22224" w:rsidRPr="004B4DF0" w:rsidRDefault="00B22224" w:rsidP="00B22224">
      <w:pPr>
        <w:autoSpaceDE w:val="0"/>
        <w:autoSpaceDN w:val="0"/>
        <w:adjustRightInd w:val="0"/>
        <w:spacing w:after="0" w:line="240" w:lineRule="auto"/>
        <w:jc w:val="center"/>
        <w:rPr>
          <w:rFonts w:ascii="TTdcr10" w:hAnsi="TTdcr10" w:cs="TTdcr10"/>
          <w:sz w:val="24"/>
          <w:szCs w:val="24"/>
          <w:lang w:val="pt-BR"/>
        </w:rPr>
      </w:pPr>
    </w:p>
    <w:p w:rsidR="00B22224" w:rsidRPr="004B4DF0" w:rsidRDefault="00B22224" w:rsidP="00B22224">
      <w:pPr>
        <w:autoSpaceDE w:val="0"/>
        <w:autoSpaceDN w:val="0"/>
        <w:adjustRightInd w:val="0"/>
        <w:spacing w:after="0" w:line="240" w:lineRule="auto"/>
        <w:jc w:val="both"/>
        <w:rPr>
          <w:rFonts w:ascii="Times New Roman" w:hAnsi="Times New Roman" w:cs="Times New Roman"/>
          <w:sz w:val="24"/>
          <w:szCs w:val="24"/>
          <w:lang w:val="pt-BR"/>
        </w:rPr>
      </w:pPr>
      <w:r w:rsidRPr="004B4DF0">
        <w:rPr>
          <w:rFonts w:ascii="Times New Roman" w:hAnsi="Times New Roman" w:cs="Times New Roman"/>
          <w:sz w:val="24"/>
          <w:szCs w:val="24"/>
          <w:lang w:val="pt-BR"/>
        </w:rPr>
        <w:t xml:space="preserve">onde </w:t>
      </w:r>
      <m:oMath>
        <m:sSub>
          <m:sSubPr>
            <m:ctrlPr>
              <w:rPr>
                <w:rFonts w:ascii="Cambria Math" w:hAnsi="Times New Roman" w:cs="Times New Roman"/>
                <w:i/>
                <w:sz w:val="24"/>
                <w:szCs w:val="24"/>
                <w:lang w:val="pt-BR"/>
              </w:rPr>
            </m:ctrlPr>
          </m:sSubPr>
          <m:e>
            <m:r>
              <w:rPr>
                <w:rFonts w:ascii="Cambria Math" w:hAnsi="Cambria Math" w:cs="Times New Roman"/>
                <w:sz w:val="24"/>
                <w:szCs w:val="24"/>
                <w:lang w:val="pt-BR"/>
              </w:rPr>
              <m:t>y</m:t>
            </m:r>
          </m:e>
          <m:sub>
            <m:r>
              <w:rPr>
                <w:rFonts w:ascii="Cambria Math" w:hAnsi="Cambria Math" w:cs="Times New Roman"/>
                <w:sz w:val="24"/>
                <w:szCs w:val="24"/>
                <w:lang w:val="pt-BR"/>
              </w:rPr>
              <m:t>i</m:t>
            </m:r>
            <m:r>
              <w:rPr>
                <w:rFonts w:ascii="Cambria Math" w:hAnsi="Times New Roman" w:cs="Times New Roman"/>
                <w:sz w:val="24"/>
                <w:szCs w:val="24"/>
                <w:lang w:val="pt-BR"/>
              </w:rPr>
              <m:t>,</m:t>
            </m:r>
            <m:r>
              <w:rPr>
                <w:rFonts w:ascii="Cambria Math" w:hAnsi="Cambria Math" w:cs="Times New Roman"/>
                <w:sz w:val="24"/>
                <w:szCs w:val="24"/>
                <w:lang w:val="pt-BR"/>
              </w:rPr>
              <m:t>t</m:t>
            </m:r>
          </m:sub>
        </m:sSub>
      </m:oMath>
      <w:r w:rsidRPr="00B22224">
        <w:rPr>
          <w:rFonts w:ascii="Times New Roman" w:hAnsi="Times New Roman" w:cs="Times New Roman"/>
          <w:sz w:val="14"/>
          <w:szCs w:val="14"/>
          <w:lang w:val="pt-BR"/>
        </w:rPr>
        <w:t xml:space="preserve"> </w:t>
      </w:r>
      <w:r w:rsidRPr="004B4DF0">
        <w:rPr>
          <w:rFonts w:ascii="Times New Roman" w:hAnsi="Times New Roman" w:cs="Times New Roman"/>
          <w:sz w:val="24"/>
          <w:szCs w:val="24"/>
          <w:lang w:val="pt-BR"/>
        </w:rPr>
        <w:t xml:space="preserve">representa a taxa de câmbio real efetiva, </w:t>
      </w:r>
      <m:oMath>
        <m:r>
          <w:rPr>
            <w:rFonts w:ascii="Cambria Math" w:hAnsi="Cambria Math" w:cs="Times New Roman"/>
            <w:sz w:val="24"/>
            <w:szCs w:val="24"/>
            <w:lang w:val="pt-BR"/>
          </w:rPr>
          <m:t>β</m:t>
        </m:r>
      </m:oMath>
      <w:r w:rsidRPr="00B22224">
        <w:rPr>
          <w:rFonts w:ascii="Times New Roman" w:hAnsi="Times New Roman" w:cs="Times New Roman"/>
          <w:sz w:val="20"/>
          <w:szCs w:val="20"/>
          <w:lang w:val="pt-BR"/>
        </w:rPr>
        <w:t xml:space="preserve"> </w:t>
      </w:r>
      <w:r w:rsidRPr="004B4DF0">
        <w:rPr>
          <w:rFonts w:ascii="Times New Roman" w:hAnsi="Times New Roman" w:cs="Times New Roman"/>
          <w:sz w:val="24"/>
          <w:szCs w:val="24"/>
          <w:lang w:val="pt-BR"/>
        </w:rPr>
        <w:t xml:space="preserve">é um vetor de parâmetros de parâmetros de inclinação, </w:t>
      </w:r>
      <m:oMath>
        <m:sSub>
          <m:sSubPr>
            <m:ctrlPr>
              <w:rPr>
                <w:rFonts w:ascii="Cambria Math" w:hAnsi="Times New Roman" w:cs="Times New Roman"/>
                <w:i/>
                <w:sz w:val="24"/>
                <w:szCs w:val="24"/>
                <w:lang w:val="pt-BR"/>
              </w:rPr>
            </m:ctrlPr>
          </m:sSubPr>
          <m:e>
            <m:r>
              <w:rPr>
                <w:rFonts w:ascii="Cambria Math" w:hAnsi="Cambria Math" w:cs="Times New Roman"/>
                <w:sz w:val="24"/>
                <w:szCs w:val="24"/>
                <w:lang w:val="pt-BR"/>
              </w:rPr>
              <m:t>α</m:t>
            </m:r>
          </m:e>
          <m:sub>
            <m:r>
              <w:rPr>
                <w:rFonts w:ascii="Cambria Math" w:hAnsi="Cambria Math" w:cs="Times New Roman"/>
                <w:sz w:val="24"/>
                <w:szCs w:val="24"/>
                <w:lang w:val="pt-BR"/>
              </w:rPr>
              <m:t>i</m:t>
            </m:r>
          </m:sub>
        </m:sSub>
        <m:r>
          <w:rPr>
            <w:rFonts w:ascii="Cambria Math" w:hAnsi="Times New Roman" w:cs="Times New Roman"/>
            <w:sz w:val="24"/>
            <w:szCs w:val="24"/>
            <w:lang w:val="pt-BR"/>
          </w:rPr>
          <m:t xml:space="preserve"> </m:t>
        </m:r>
      </m:oMath>
      <w:r w:rsidRPr="004B4DF0">
        <w:rPr>
          <w:rFonts w:ascii="Times New Roman" w:hAnsi="Times New Roman" w:cs="Times New Roman"/>
          <w:sz w:val="24"/>
          <w:szCs w:val="24"/>
          <w:lang w:val="pt-BR"/>
        </w:rPr>
        <w:t>representa os interceptos</w:t>
      </w:r>
      <w:r>
        <w:rPr>
          <w:rFonts w:ascii="Times New Roman" w:hAnsi="Times New Roman" w:cs="Times New Roman"/>
          <w:sz w:val="24"/>
          <w:szCs w:val="24"/>
          <w:lang w:val="pt-BR"/>
        </w:rPr>
        <w:t xml:space="preserve">, </w:t>
      </w:r>
      <m:oMath>
        <m:sSub>
          <m:sSubPr>
            <m:ctrlPr>
              <w:rPr>
                <w:rFonts w:ascii="Cambria Math" w:hAnsi="Times New Roman" w:cs="Times New Roman"/>
                <w:i/>
                <w:sz w:val="24"/>
                <w:szCs w:val="24"/>
                <w:lang w:val="pt-BR"/>
              </w:rPr>
            </m:ctrlPr>
          </m:sSubPr>
          <m:e>
            <m:r>
              <w:rPr>
                <w:rFonts w:ascii="Cambria Math" w:hAnsi="Cambria Math" w:cs="Times New Roman"/>
                <w:sz w:val="24"/>
                <w:szCs w:val="24"/>
                <w:lang w:val="pt-BR"/>
              </w:rPr>
              <m:t>u</m:t>
            </m:r>
          </m:e>
          <m:sub>
            <m:r>
              <w:rPr>
                <w:rFonts w:ascii="Cambria Math" w:hAnsi="Cambria Math" w:cs="Times New Roman"/>
                <w:sz w:val="24"/>
                <w:szCs w:val="24"/>
                <w:lang w:val="pt-BR"/>
              </w:rPr>
              <m:t>i</m:t>
            </m:r>
            <m:r>
              <w:rPr>
                <w:rFonts w:ascii="Cambria Math" w:hAnsi="Times New Roman" w:cs="Times New Roman"/>
                <w:sz w:val="24"/>
                <w:szCs w:val="24"/>
                <w:lang w:val="pt-BR"/>
              </w:rPr>
              <m:t>,</m:t>
            </m:r>
            <m:r>
              <w:rPr>
                <w:rFonts w:ascii="Cambria Math" w:hAnsi="Cambria Math" w:cs="Times New Roman"/>
                <w:sz w:val="24"/>
                <w:szCs w:val="24"/>
                <w:lang w:val="pt-BR"/>
              </w:rPr>
              <m:t>t</m:t>
            </m:r>
          </m:sub>
        </m:sSub>
        <m:r>
          <w:rPr>
            <w:rFonts w:ascii="Cambria Math" w:hAnsi="Times New Roman" w:cs="Times New Roman"/>
            <w:sz w:val="24"/>
            <w:szCs w:val="24"/>
            <w:lang w:val="pt-BR"/>
          </w:rPr>
          <m:t xml:space="preserve"> </m:t>
        </m:r>
      </m:oMath>
      <w:r>
        <w:rPr>
          <w:rFonts w:ascii="Times New Roman" w:eastAsiaTheme="minorEastAsia" w:hAnsi="Times New Roman" w:cs="Times New Roman"/>
          <w:sz w:val="24"/>
          <w:szCs w:val="24"/>
          <w:lang w:val="pt-BR"/>
        </w:rPr>
        <w:t xml:space="preserve"> </w:t>
      </w:r>
      <w:r w:rsidRPr="004B4DF0">
        <w:rPr>
          <w:rFonts w:ascii="Times New Roman" w:hAnsi="Times New Roman" w:cs="Times New Roman"/>
          <w:sz w:val="24"/>
          <w:szCs w:val="24"/>
          <w:lang w:val="pt-BR"/>
        </w:rPr>
        <w:t>são os termos residuais estacionários, e</w:t>
      </w:r>
      <m:oMath>
        <m:r>
          <w:rPr>
            <w:rFonts w:ascii="Cambria Math" w:hAnsi="Times New Roman" w:cs="Times New Roman"/>
            <w:sz w:val="24"/>
            <w:szCs w:val="24"/>
            <w:lang w:val="pt-BR"/>
          </w:rPr>
          <m:t xml:space="preserve"> </m:t>
        </m:r>
        <m:sSubSup>
          <m:sSubSupPr>
            <m:ctrlPr>
              <w:rPr>
                <w:rFonts w:ascii="Cambria Math" w:hAnsi="Times New Roman" w:cs="Times New Roman"/>
                <w:i/>
                <w:sz w:val="24"/>
                <w:szCs w:val="24"/>
                <w:lang w:val="pt-BR"/>
              </w:rPr>
            </m:ctrlPr>
          </m:sSubSupPr>
          <m:e>
            <m:r>
              <w:rPr>
                <w:rFonts w:ascii="Cambria Math" w:hAnsi="Cambria Math" w:cs="Times New Roman"/>
                <w:sz w:val="24"/>
                <w:szCs w:val="24"/>
                <w:lang w:val="pt-BR"/>
              </w:rPr>
              <m:t>x</m:t>
            </m:r>
          </m:e>
          <m:sub>
            <m:r>
              <w:rPr>
                <w:rFonts w:ascii="Cambria Math" w:hAnsi="Cambria Math" w:cs="Times New Roman"/>
                <w:sz w:val="24"/>
                <w:szCs w:val="24"/>
                <w:lang w:val="pt-BR"/>
              </w:rPr>
              <m:t>i</m:t>
            </m:r>
            <m:r>
              <w:rPr>
                <w:rFonts w:ascii="Cambria Math" w:hAnsi="Times New Roman" w:cs="Times New Roman"/>
                <w:sz w:val="24"/>
                <w:szCs w:val="24"/>
                <w:lang w:val="pt-BR"/>
              </w:rPr>
              <m:t>,</m:t>
            </m:r>
            <m:r>
              <w:rPr>
                <w:rFonts w:ascii="Cambria Math" w:hAnsi="Cambria Math" w:cs="Times New Roman"/>
                <w:sz w:val="24"/>
                <w:szCs w:val="24"/>
                <w:lang w:val="pt-BR"/>
              </w:rPr>
              <m:t>t</m:t>
            </m:r>
          </m:sub>
          <m:sup>
            <m:r>
              <w:rPr>
                <w:rFonts w:ascii="Cambria Math" w:hAnsi="Times New Roman" w:cs="Times New Roman"/>
                <w:sz w:val="24"/>
                <w:szCs w:val="24"/>
                <w:lang w:val="pt-BR"/>
              </w:rPr>
              <m:t>'</m:t>
            </m:r>
          </m:sup>
        </m:sSubSup>
      </m:oMath>
      <w:r w:rsidRPr="00B22224">
        <w:rPr>
          <w:rFonts w:ascii="Times New Roman" w:hAnsi="Times New Roman" w:cs="Times New Roman"/>
          <w:sz w:val="14"/>
          <w:szCs w:val="14"/>
          <w:lang w:val="pt-BR"/>
        </w:rPr>
        <w:t xml:space="preserve"> </w:t>
      </w:r>
      <w:r w:rsidRPr="004B4DF0">
        <w:rPr>
          <w:rFonts w:ascii="Times New Roman" w:hAnsi="Times New Roman" w:cs="Times New Roman"/>
          <w:sz w:val="24"/>
          <w:szCs w:val="24"/>
          <w:lang w:val="pt-BR"/>
        </w:rPr>
        <w:t>representa o vetor de fundamentos da TCRE (Ativos Estrangeiros Líquidos/GDP, Produtividade Relativa e Abertura Comercial)</w:t>
      </w:r>
      <w:r w:rsidRPr="004B4DF0">
        <w:rPr>
          <w:rFonts w:ascii="Times New Roman" w:hAnsi="Times New Roman" w:cs="Times New Roman"/>
          <w:sz w:val="16"/>
          <w:szCs w:val="16"/>
          <w:lang w:val="pt-BR"/>
        </w:rPr>
        <w:t xml:space="preserve">. </w:t>
      </w:r>
      <w:r w:rsidR="000E1572">
        <w:rPr>
          <w:rFonts w:ascii="Times New Roman" w:hAnsi="Times New Roman" w:cs="Times New Roman"/>
          <w:sz w:val="24"/>
          <w:szCs w:val="24"/>
          <w:lang w:val="pt-BR"/>
        </w:rPr>
        <w:t>O estimador DOLS</w:t>
      </w:r>
      <w:r w:rsidRPr="004B4DF0">
        <w:rPr>
          <w:rFonts w:ascii="Times New Roman" w:hAnsi="Times New Roman" w:cs="Times New Roman"/>
          <w:sz w:val="24"/>
          <w:szCs w:val="24"/>
          <w:lang w:val="pt-BR"/>
        </w:rPr>
        <w:t xml:space="preserve"> pode ser obtido rodando-se a seguinte equação:</w:t>
      </w:r>
    </w:p>
    <w:p w:rsidR="00B22224" w:rsidRPr="004B4DF0" w:rsidRDefault="00B22224" w:rsidP="00B22224">
      <w:pPr>
        <w:autoSpaceDE w:val="0"/>
        <w:autoSpaceDN w:val="0"/>
        <w:adjustRightInd w:val="0"/>
        <w:spacing w:after="0" w:line="240" w:lineRule="auto"/>
        <w:jc w:val="both"/>
        <w:rPr>
          <w:rFonts w:ascii="Times New Roman" w:hAnsi="Times New Roman" w:cs="Times New Roman"/>
          <w:sz w:val="24"/>
          <w:szCs w:val="24"/>
          <w:lang w:val="pt-BR"/>
        </w:rPr>
      </w:pPr>
    </w:p>
    <w:p w:rsidR="00B22224" w:rsidRPr="00310BAF" w:rsidRDefault="006E1488" w:rsidP="00B22224">
      <w:pPr>
        <w:autoSpaceDE w:val="0"/>
        <w:autoSpaceDN w:val="0"/>
        <w:adjustRightInd w:val="0"/>
        <w:spacing w:after="0" w:line="240" w:lineRule="auto"/>
        <w:jc w:val="both"/>
        <w:rPr>
          <w:rFonts w:ascii="TTdcr10" w:hAnsi="TTdcr10" w:cs="TTdcr10"/>
          <w:sz w:val="24"/>
          <w:szCs w:val="24"/>
          <w:lang w:val="pt-BR"/>
        </w:rPr>
      </w:pPr>
      <m:oMathPara>
        <m:oMath>
          <m:sSub>
            <m:sSubPr>
              <m:ctrlPr>
                <w:rPr>
                  <w:rFonts w:ascii="Cambria Math" w:hAnsi="Cambria Math" w:cs="TTdcr10"/>
                  <w:i/>
                  <w:sz w:val="24"/>
                  <w:szCs w:val="24"/>
                  <w:lang w:val="pt-BR"/>
                </w:rPr>
              </m:ctrlPr>
            </m:sSubPr>
            <m:e>
              <m:r>
                <w:rPr>
                  <w:rFonts w:ascii="Cambria Math" w:hAnsi="Cambria Math" w:cs="TTdcr10"/>
                  <w:sz w:val="24"/>
                  <w:szCs w:val="24"/>
                  <w:lang w:val="pt-BR"/>
                </w:rPr>
                <m:t>y</m:t>
              </m:r>
            </m:e>
            <m:sub>
              <m:r>
                <w:rPr>
                  <w:rFonts w:ascii="Cambria Math" w:hAnsi="Cambria Math" w:cs="TTdcr10"/>
                  <w:sz w:val="24"/>
                  <w:szCs w:val="24"/>
                  <w:lang w:val="pt-BR"/>
                </w:rPr>
                <m:t>i,t</m:t>
              </m:r>
            </m:sub>
          </m:sSub>
          <m:r>
            <w:rPr>
              <w:rFonts w:ascii="Cambria Math" w:hAnsi="Cambria Math" w:cs="TTdcr10"/>
              <w:sz w:val="24"/>
              <w:szCs w:val="24"/>
              <w:lang w:val="pt-BR"/>
            </w:rPr>
            <m:t>=</m:t>
          </m:r>
          <m:sSub>
            <m:sSubPr>
              <m:ctrlPr>
                <w:rPr>
                  <w:rFonts w:ascii="Cambria Math" w:hAnsi="Cambria Math" w:cs="TTdcr10"/>
                  <w:i/>
                  <w:sz w:val="24"/>
                  <w:szCs w:val="24"/>
                  <w:lang w:val="pt-BR"/>
                </w:rPr>
              </m:ctrlPr>
            </m:sSubPr>
            <m:e>
              <m:r>
                <w:rPr>
                  <w:rFonts w:ascii="Cambria Math" w:hAnsi="Cambria Math" w:cs="TTdcr10"/>
                  <w:sz w:val="24"/>
                  <w:szCs w:val="24"/>
                  <w:lang w:val="pt-BR"/>
                </w:rPr>
                <m:t>α</m:t>
              </m:r>
            </m:e>
            <m:sub>
              <m:r>
                <w:rPr>
                  <w:rFonts w:ascii="Cambria Math" w:hAnsi="Cambria Math" w:cs="TTdcr10"/>
                  <w:sz w:val="24"/>
                  <w:szCs w:val="24"/>
                  <w:lang w:val="pt-BR"/>
                </w:rPr>
                <m:t>i</m:t>
              </m:r>
            </m:sub>
          </m:sSub>
          <m:r>
            <w:rPr>
              <w:rFonts w:ascii="Cambria Math" w:hAnsi="Cambria Math" w:cs="TTdcr10"/>
              <w:sz w:val="24"/>
              <w:szCs w:val="24"/>
              <w:lang w:val="pt-BR"/>
            </w:rPr>
            <m:t>+</m:t>
          </m:r>
          <m:sSub>
            <m:sSubPr>
              <m:ctrlPr>
                <w:rPr>
                  <w:rFonts w:ascii="Cambria Math" w:hAnsi="Cambria Math" w:cs="TTdcr10"/>
                  <w:i/>
                  <w:sz w:val="24"/>
                  <w:szCs w:val="24"/>
                  <w:lang w:val="pt-BR"/>
                </w:rPr>
              </m:ctrlPr>
            </m:sSubPr>
            <m:e>
              <m:r>
                <w:rPr>
                  <w:rFonts w:ascii="Cambria Math" w:hAnsi="Cambria Math" w:cs="TTdcr10"/>
                  <w:sz w:val="24"/>
                  <w:szCs w:val="24"/>
                  <w:lang w:val="pt-BR"/>
                </w:rPr>
                <m:t>∑</m:t>
              </m:r>
            </m:e>
            <m:sub>
              <m:r>
                <w:rPr>
                  <w:rFonts w:ascii="Cambria Math" w:hAnsi="Cambria Math" w:cs="TTdcr10"/>
                  <w:sz w:val="24"/>
                  <w:szCs w:val="24"/>
                  <w:lang w:val="pt-BR"/>
                </w:rPr>
                <m:t>i</m:t>
              </m:r>
            </m:sub>
          </m:sSub>
          <m:sSub>
            <m:sSubPr>
              <m:ctrlPr>
                <w:rPr>
                  <w:rFonts w:ascii="Cambria Math" w:hAnsi="Cambria Math" w:cs="TTdcr10"/>
                  <w:i/>
                  <w:sz w:val="24"/>
                  <w:szCs w:val="24"/>
                  <w:lang w:val="pt-BR"/>
                </w:rPr>
              </m:ctrlPr>
            </m:sSubPr>
            <m:e>
              <m:r>
                <w:rPr>
                  <w:rFonts w:ascii="Cambria Math" w:hAnsi="Cambria Math" w:cs="TTdcr10"/>
                  <w:sz w:val="24"/>
                  <w:szCs w:val="24"/>
                  <w:lang w:val="pt-BR"/>
                </w:rPr>
                <m:t>c</m:t>
              </m:r>
            </m:e>
            <m:sub>
              <m:r>
                <w:rPr>
                  <w:rFonts w:ascii="Cambria Math" w:hAnsi="Cambria Math" w:cs="TTdcr10"/>
                  <w:sz w:val="24"/>
                  <w:szCs w:val="24"/>
                  <w:lang w:val="pt-BR"/>
                </w:rPr>
                <m:t>ij</m:t>
              </m:r>
            </m:sub>
          </m:sSub>
          <m:r>
            <w:rPr>
              <w:rFonts w:ascii="Cambria Math" w:hAnsi="Cambria Math" w:cs="TTdcr10"/>
              <w:sz w:val="24"/>
              <w:szCs w:val="24"/>
              <w:lang w:val="pt-BR"/>
            </w:rPr>
            <m:t>△</m:t>
          </m:r>
          <m:sSubSup>
            <m:sSubSupPr>
              <m:ctrlPr>
                <w:rPr>
                  <w:rFonts w:ascii="Cambria Math" w:hAnsi="Cambria Math" w:cs="TTdcr10"/>
                  <w:i/>
                  <w:sz w:val="24"/>
                  <w:szCs w:val="24"/>
                  <w:lang w:val="pt-BR"/>
                </w:rPr>
              </m:ctrlPr>
            </m:sSubSupPr>
            <m:e>
              <m:r>
                <w:rPr>
                  <w:rFonts w:ascii="Cambria Math" w:hAnsi="Cambria Math" w:cs="TTdcr10"/>
                  <w:sz w:val="24"/>
                  <w:szCs w:val="24"/>
                  <w:lang w:val="pt-BR"/>
                </w:rPr>
                <m:t>x</m:t>
              </m:r>
            </m:e>
            <m:sub>
              <m:r>
                <w:rPr>
                  <w:rFonts w:ascii="Cambria Math" w:hAnsi="Cambria Math" w:cs="TTdcr10"/>
                  <w:sz w:val="24"/>
                  <w:szCs w:val="24"/>
                  <w:lang w:val="pt-BR"/>
                </w:rPr>
                <m:t>i,t+j</m:t>
              </m:r>
            </m:sub>
            <m:sup>
              <m:r>
                <w:rPr>
                  <w:rFonts w:ascii="Cambria Math" w:hAnsi="Cambria Math" w:cs="TTdcr10"/>
                  <w:sz w:val="24"/>
                  <w:szCs w:val="24"/>
                  <w:lang w:val="pt-BR"/>
                </w:rPr>
                <m:t>k</m:t>
              </m:r>
            </m:sup>
          </m:sSubSup>
          <m:r>
            <w:rPr>
              <w:rFonts w:ascii="Cambria Math" w:hAnsi="Cambria Math" w:cs="TTdcr10"/>
              <w:sz w:val="24"/>
              <w:szCs w:val="24"/>
              <w:lang w:val="pt-BR"/>
            </w:rPr>
            <m:t>+v</m:t>
          </m:r>
        </m:oMath>
      </m:oMathPara>
    </w:p>
    <w:p w:rsidR="00B22224" w:rsidRPr="00310BAF" w:rsidRDefault="00B22224" w:rsidP="00B22224">
      <w:pPr>
        <w:autoSpaceDE w:val="0"/>
        <w:autoSpaceDN w:val="0"/>
        <w:adjustRightInd w:val="0"/>
        <w:spacing w:after="0" w:line="240" w:lineRule="auto"/>
        <w:jc w:val="both"/>
        <w:rPr>
          <w:rFonts w:ascii="TTdcr10" w:hAnsi="TTdcr10" w:cs="TTdcr10"/>
          <w:sz w:val="24"/>
          <w:szCs w:val="24"/>
          <w:lang w:val="pt-BR"/>
        </w:rPr>
      </w:pPr>
    </w:p>
    <w:p w:rsidR="00B5130D" w:rsidRDefault="00B22224" w:rsidP="000F5E58">
      <w:pPr>
        <w:autoSpaceDE w:val="0"/>
        <w:autoSpaceDN w:val="0"/>
        <w:adjustRightInd w:val="0"/>
        <w:spacing w:after="0" w:line="240" w:lineRule="auto"/>
        <w:ind w:firstLine="720"/>
        <w:jc w:val="both"/>
        <w:rPr>
          <w:rFonts w:ascii="Times New Roman" w:hAnsi="Times New Roman" w:cs="Times New Roman"/>
          <w:b/>
          <w:sz w:val="24"/>
          <w:szCs w:val="24"/>
          <w:lang w:val="pt-BR"/>
        </w:rPr>
      </w:pPr>
      <w:r w:rsidRPr="004B4DF0">
        <w:rPr>
          <w:rFonts w:ascii="Times New Roman" w:hAnsi="Times New Roman" w:cs="Times New Roman"/>
          <w:sz w:val="24"/>
          <w:szCs w:val="24"/>
          <w:lang w:val="pt-BR"/>
        </w:rPr>
        <w:t>Para conferir os detalhes a respeito das propriedades dos estimadores DOLS para séries não estacionárias, conferir Kao e Chiang (1999) e Phillip e Moon (1999). A Tabela 3 apresenta os resultados da estimação da TCRE de longo prazo DOLS (1,1). A seleção de especificação do modelo ARDL do DOLS foi obtida através do critério Bayesiano.</w:t>
      </w:r>
    </w:p>
    <w:p w:rsidR="00B5130D" w:rsidRDefault="00B5130D" w:rsidP="00B5130D">
      <w:pPr>
        <w:tabs>
          <w:tab w:val="left" w:pos="720"/>
        </w:tabs>
        <w:spacing w:after="0" w:line="240" w:lineRule="auto"/>
        <w:rPr>
          <w:rFonts w:ascii="Times New Roman" w:hAnsi="Times New Roman" w:cs="Times New Roman"/>
          <w:b/>
          <w:sz w:val="24"/>
          <w:szCs w:val="24"/>
          <w:lang w:val="pt-BR"/>
        </w:rPr>
      </w:pPr>
    </w:p>
    <w:p w:rsidR="00B5130D" w:rsidRDefault="00B5130D" w:rsidP="00B5130D">
      <w:pPr>
        <w:tabs>
          <w:tab w:val="left" w:pos="720"/>
        </w:tabs>
        <w:spacing w:after="0" w:line="240" w:lineRule="auto"/>
        <w:rPr>
          <w:rFonts w:ascii="Times New Roman" w:hAnsi="Times New Roman" w:cs="Times New Roman"/>
          <w:b/>
          <w:sz w:val="24"/>
          <w:szCs w:val="24"/>
          <w:lang w:val="pt-BR"/>
        </w:rPr>
      </w:pPr>
    </w:p>
    <w:p w:rsidR="00413ABC" w:rsidRDefault="003302D8" w:rsidP="00B5130D">
      <w:pPr>
        <w:tabs>
          <w:tab w:val="left" w:pos="720"/>
        </w:tabs>
        <w:spacing w:after="0" w:line="240" w:lineRule="auto"/>
        <w:rPr>
          <w:rFonts w:ascii="Times New Roman" w:hAnsi="Times New Roman" w:cs="Times New Roman"/>
          <w:b/>
          <w:sz w:val="24"/>
          <w:szCs w:val="24"/>
          <w:lang w:val="pt-BR"/>
        </w:rPr>
      </w:pPr>
      <w:r>
        <w:rPr>
          <w:rFonts w:ascii="Times New Roman" w:hAnsi="Times New Roman" w:cs="Times New Roman"/>
          <w:b/>
          <w:sz w:val="24"/>
          <w:szCs w:val="24"/>
          <w:lang w:val="pt-BR"/>
        </w:rPr>
        <w:t>4</w:t>
      </w:r>
      <w:r w:rsidR="00B5130D">
        <w:rPr>
          <w:rFonts w:ascii="Times New Roman" w:hAnsi="Times New Roman" w:cs="Times New Roman"/>
          <w:b/>
          <w:sz w:val="24"/>
          <w:szCs w:val="24"/>
          <w:lang w:val="pt-BR"/>
        </w:rPr>
        <w:t xml:space="preserve">. </w:t>
      </w:r>
      <w:r w:rsidR="00413ABC" w:rsidRPr="00B5130D">
        <w:rPr>
          <w:rFonts w:ascii="Times New Roman" w:hAnsi="Times New Roman" w:cs="Times New Roman"/>
          <w:b/>
          <w:sz w:val="24"/>
          <w:szCs w:val="24"/>
          <w:lang w:val="pt-BR"/>
        </w:rPr>
        <w:t xml:space="preserve">Estimação </w:t>
      </w:r>
      <w:r w:rsidR="00B5130D" w:rsidRPr="00B5130D">
        <w:rPr>
          <w:rFonts w:ascii="Times New Roman" w:hAnsi="Times New Roman" w:cs="Times New Roman"/>
          <w:b/>
          <w:sz w:val="24"/>
          <w:szCs w:val="24"/>
          <w:lang w:val="pt-BR"/>
        </w:rPr>
        <w:t>de uma equação de determinação da TCR de longo prazo</w:t>
      </w:r>
    </w:p>
    <w:p w:rsidR="00B5130D" w:rsidRPr="00B5130D" w:rsidRDefault="00B5130D" w:rsidP="00B5130D">
      <w:pPr>
        <w:tabs>
          <w:tab w:val="left" w:pos="720"/>
        </w:tabs>
        <w:spacing w:after="0" w:line="240" w:lineRule="auto"/>
        <w:rPr>
          <w:rFonts w:ascii="Times New Roman" w:hAnsi="Times New Roman" w:cs="Times New Roman"/>
          <w:b/>
          <w:sz w:val="24"/>
          <w:szCs w:val="24"/>
          <w:lang w:val="pt-BR"/>
        </w:rPr>
      </w:pPr>
    </w:p>
    <w:p w:rsidR="00895B3E" w:rsidRDefault="00413ABC" w:rsidP="005D361F">
      <w:pPr>
        <w:tabs>
          <w:tab w:val="left" w:pos="720"/>
        </w:tabs>
        <w:spacing w:after="0" w:line="240" w:lineRule="auto"/>
        <w:ind w:firstLine="720"/>
        <w:jc w:val="both"/>
        <w:rPr>
          <w:rFonts w:ascii="Times New Roman" w:hAnsi="Times New Roman" w:cs="Times New Roman"/>
          <w:b/>
          <w:sz w:val="24"/>
          <w:szCs w:val="24"/>
          <w:lang w:val="pt-BR"/>
        </w:rPr>
      </w:pPr>
      <w:r>
        <w:rPr>
          <w:rFonts w:ascii="Times New Roman" w:hAnsi="Times New Roman" w:cs="Times New Roman"/>
          <w:sz w:val="24"/>
          <w:szCs w:val="24"/>
          <w:lang w:val="pt-BR"/>
        </w:rPr>
        <w:t xml:space="preserve">A Tabela 1 exibe os coeficientes estimados para a equação da TCR de longo prazo. A estimação por </w:t>
      </w:r>
      <w:r>
        <w:rPr>
          <w:rFonts w:ascii="Times New Roman" w:hAnsi="Times New Roman" w:cs="Times New Roman"/>
          <w:i/>
          <w:sz w:val="24"/>
          <w:szCs w:val="24"/>
          <w:lang w:val="pt-BR"/>
        </w:rPr>
        <w:t>Least Squares Dummy Variable</w:t>
      </w:r>
      <w:r w:rsidR="00CF2103">
        <w:rPr>
          <w:rFonts w:ascii="Times New Roman" w:hAnsi="Times New Roman" w:cs="Times New Roman"/>
          <w:sz w:val="24"/>
          <w:szCs w:val="24"/>
          <w:lang w:val="pt-BR"/>
        </w:rPr>
        <w:t xml:space="preserve"> </w:t>
      </w:r>
      <w:r w:rsidR="00111334">
        <w:rPr>
          <w:rFonts w:ascii="Times New Roman" w:hAnsi="Times New Roman" w:cs="Times New Roman"/>
          <w:sz w:val="24"/>
          <w:szCs w:val="24"/>
          <w:lang w:val="pt-BR"/>
        </w:rPr>
        <w:t xml:space="preserve">(Efeitos Fixos) </w:t>
      </w:r>
      <w:r w:rsidR="00CF2103">
        <w:rPr>
          <w:rFonts w:ascii="Times New Roman" w:hAnsi="Times New Roman" w:cs="Times New Roman"/>
          <w:sz w:val="24"/>
          <w:szCs w:val="24"/>
          <w:lang w:val="pt-BR"/>
        </w:rPr>
        <w:t>exib</w:t>
      </w:r>
      <w:r>
        <w:rPr>
          <w:rFonts w:ascii="Times New Roman" w:hAnsi="Times New Roman" w:cs="Times New Roman"/>
          <w:sz w:val="24"/>
          <w:szCs w:val="24"/>
          <w:lang w:val="pt-BR"/>
        </w:rPr>
        <w:t xml:space="preserve">e apenas ativos externos líquidos como significante, dos fundamentos selecionados. Os resultados do painel </w:t>
      </w:r>
      <w:r>
        <w:rPr>
          <w:rFonts w:ascii="Times New Roman" w:hAnsi="Times New Roman" w:cs="Times New Roman"/>
          <w:i/>
          <w:sz w:val="24"/>
          <w:szCs w:val="24"/>
          <w:lang w:val="pt-BR"/>
        </w:rPr>
        <w:t>Pooled</w:t>
      </w:r>
      <w:r>
        <w:rPr>
          <w:rFonts w:ascii="Times New Roman" w:hAnsi="Times New Roman" w:cs="Times New Roman"/>
          <w:sz w:val="24"/>
          <w:szCs w:val="24"/>
          <w:lang w:val="pt-BR"/>
        </w:rPr>
        <w:t xml:space="preserve">, por sua vez, exigem significância estatística para todos os fundamentos. </w:t>
      </w:r>
    </w:p>
    <w:p w:rsidR="000010AC" w:rsidRDefault="000010AC" w:rsidP="007E4941">
      <w:pPr>
        <w:tabs>
          <w:tab w:val="left" w:pos="720"/>
        </w:tabs>
        <w:spacing w:after="0" w:line="240" w:lineRule="auto"/>
        <w:ind w:firstLine="720"/>
        <w:jc w:val="center"/>
        <w:rPr>
          <w:rFonts w:ascii="Times New Roman" w:hAnsi="Times New Roman" w:cs="Times New Roman"/>
          <w:b/>
          <w:sz w:val="24"/>
          <w:szCs w:val="24"/>
          <w:lang w:val="pt-BR"/>
        </w:rPr>
      </w:pPr>
    </w:p>
    <w:p w:rsidR="007B392F" w:rsidRDefault="00B44BC5" w:rsidP="007E4941">
      <w:pPr>
        <w:tabs>
          <w:tab w:val="left" w:pos="720"/>
        </w:tabs>
        <w:spacing w:after="0" w:line="240" w:lineRule="auto"/>
        <w:ind w:firstLine="720"/>
        <w:jc w:val="center"/>
        <w:rPr>
          <w:rFonts w:ascii="Times New Roman" w:hAnsi="Times New Roman" w:cs="Times New Roman"/>
          <w:b/>
          <w:sz w:val="24"/>
          <w:szCs w:val="24"/>
          <w:lang w:val="pt-BR"/>
        </w:rPr>
      </w:pPr>
      <w:r>
        <w:rPr>
          <w:rFonts w:ascii="Times New Roman" w:hAnsi="Times New Roman" w:cs="Times New Roman"/>
          <w:b/>
          <w:sz w:val="24"/>
          <w:szCs w:val="24"/>
          <w:lang w:val="pt-BR"/>
        </w:rPr>
        <w:t>Tabela 1- Determinação do câmbio real de longo prazo, 1970-2004</w:t>
      </w:r>
    </w:p>
    <w:p w:rsidR="00B44BC5" w:rsidRDefault="00B44BC5" w:rsidP="007E4941">
      <w:pPr>
        <w:tabs>
          <w:tab w:val="left" w:pos="720"/>
        </w:tabs>
        <w:spacing w:after="0" w:line="240" w:lineRule="auto"/>
        <w:ind w:firstLine="720"/>
        <w:rPr>
          <w:rFonts w:ascii="Times New Roman" w:hAnsi="Times New Roman" w:cs="Times New Roman"/>
          <w:b/>
          <w:sz w:val="24"/>
          <w:szCs w:val="24"/>
          <w:lang w:val="pt-BR"/>
        </w:rPr>
      </w:pPr>
    </w:p>
    <w:tbl>
      <w:tblPr>
        <w:tblW w:w="7781" w:type="dxa"/>
        <w:jc w:val="center"/>
        <w:tblInd w:w="95" w:type="dxa"/>
        <w:tblLook w:val="04A0"/>
      </w:tblPr>
      <w:tblGrid>
        <w:gridCol w:w="1200"/>
        <w:gridCol w:w="1201"/>
        <w:gridCol w:w="1200"/>
        <w:gridCol w:w="1439"/>
        <w:gridCol w:w="1439"/>
        <w:gridCol w:w="1302"/>
      </w:tblGrid>
      <w:tr w:rsidR="007B392F" w:rsidRPr="00B5130D" w:rsidTr="00725358">
        <w:trPr>
          <w:trHeight w:val="352"/>
          <w:jc w:val="center"/>
        </w:trPr>
        <w:tc>
          <w:tcPr>
            <w:tcW w:w="1200" w:type="dxa"/>
            <w:tcBorders>
              <w:top w:val="single" w:sz="4" w:space="0" w:color="auto"/>
              <w:left w:val="nil"/>
              <w:bottom w:val="single" w:sz="4" w:space="0" w:color="auto"/>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lang w:val="pt-BR"/>
              </w:rPr>
            </w:pPr>
          </w:p>
        </w:tc>
        <w:tc>
          <w:tcPr>
            <w:tcW w:w="1201" w:type="dxa"/>
            <w:tcBorders>
              <w:top w:val="single" w:sz="4" w:space="0" w:color="auto"/>
              <w:left w:val="nil"/>
              <w:bottom w:val="single" w:sz="4" w:space="0" w:color="auto"/>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lang w:val="pt-BR"/>
              </w:rPr>
            </w:pPr>
          </w:p>
        </w:tc>
        <w:tc>
          <w:tcPr>
            <w:tcW w:w="1200" w:type="dxa"/>
            <w:tcBorders>
              <w:top w:val="single" w:sz="4" w:space="0" w:color="auto"/>
              <w:left w:val="nil"/>
              <w:bottom w:val="single" w:sz="4" w:space="0" w:color="auto"/>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lang w:val="pt-BR"/>
              </w:rPr>
            </w:pPr>
          </w:p>
        </w:tc>
        <w:tc>
          <w:tcPr>
            <w:tcW w:w="1439" w:type="dxa"/>
            <w:tcBorders>
              <w:top w:val="single" w:sz="4" w:space="0" w:color="auto"/>
              <w:left w:val="nil"/>
              <w:bottom w:val="single" w:sz="4" w:space="0" w:color="auto"/>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LSDV</w:t>
            </w:r>
          </w:p>
        </w:tc>
        <w:tc>
          <w:tcPr>
            <w:tcW w:w="1439" w:type="dxa"/>
            <w:tcBorders>
              <w:top w:val="single" w:sz="4" w:space="0" w:color="auto"/>
              <w:left w:val="nil"/>
              <w:bottom w:val="single" w:sz="4" w:space="0" w:color="auto"/>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Pooled</w:t>
            </w:r>
          </w:p>
        </w:tc>
        <w:tc>
          <w:tcPr>
            <w:tcW w:w="1302" w:type="dxa"/>
            <w:tcBorders>
              <w:top w:val="single" w:sz="4" w:space="0" w:color="auto"/>
              <w:left w:val="nil"/>
              <w:bottom w:val="single" w:sz="4" w:space="0" w:color="auto"/>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DOLS</w:t>
            </w:r>
          </w:p>
        </w:tc>
      </w:tr>
      <w:tr w:rsidR="007B392F" w:rsidRPr="00B5130D" w:rsidTr="00725358">
        <w:trPr>
          <w:trHeight w:val="352"/>
          <w:jc w:val="center"/>
        </w:trPr>
        <w:tc>
          <w:tcPr>
            <w:tcW w:w="3600" w:type="dxa"/>
            <w:gridSpan w:val="3"/>
            <w:tcBorders>
              <w:top w:val="single" w:sz="4" w:space="0" w:color="auto"/>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lastRenderedPageBreak/>
              <w:t>Ativos Externos Líquidos</w:t>
            </w:r>
          </w:p>
        </w:tc>
        <w:tc>
          <w:tcPr>
            <w:tcW w:w="1439" w:type="dxa"/>
            <w:tcBorders>
              <w:top w:val="single" w:sz="4" w:space="0" w:color="auto"/>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Pr="00B5130D">
              <w:rPr>
                <w:rFonts w:ascii="Times New Roman" w:eastAsia="Times New Roman" w:hAnsi="Times New Roman" w:cs="Times New Roman"/>
                <w:color w:val="000000"/>
                <w:sz w:val="20"/>
                <w:szCs w:val="20"/>
              </w:rPr>
              <w:t>0940***</w:t>
            </w:r>
          </w:p>
        </w:tc>
        <w:tc>
          <w:tcPr>
            <w:tcW w:w="1439" w:type="dxa"/>
            <w:tcBorders>
              <w:top w:val="single" w:sz="4" w:space="0" w:color="auto"/>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Pr="00B5130D">
              <w:rPr>
                <w:rFonts w:ascii="Times New Roman" w:eastAsia="Times New Roman" w:hAnsi="Times New Roman" w:cs="Times New Roman"/>
                <w:color w:val="000000"/>
                <w:sz w:val="20"/>
                <w:szCs w:val="20"/>
              </w:rPr>
              <w:t>121***</w:t>
            </w:r>
          </w:p>
        </w:tc>
        <w:tc>
          <w:tcPr>
            <w:tcW w:w="1302" w:type="dxa"/>
            <w:tcBorders>
              <w:top w:val="single" w:sz="4" w:space="0" w:color="auto"/>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Pr="00B5130D">
              <w:rPr>
                <w:rFonts w:ascii="Times New Roman" w:eastAsia="Times New Roman" w:hAnsi="Times New Roman" w:cs="Times New Roman"/>
                <w:color w:val="000000"/>
                <w:sz w:val="20"/>
                <w:szCs w:val="20"/>
              </w:rPr>
              <w:t>191***</w:t>
            </w:r>
          </w:p>
        </w:tc>
      </w:tr>
      <w:tr w:rsidR="007B392F" w:rsidRPr="00B5130D" w:rsidTr="00725358">
        <w:trPr>
          <w:trHeight w:val="352"/>
          <w:jc w:val="center"/>
        </w:trPr>
        <w:tc>
          <w:tcPr>
            <w:tcW w:w="1200"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p>
        </w:tc>
        <w:tc>
          <w:tcPr>
            <w:tcW w:w="1201"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p>
        </w:tc>
        <w:tc>
          <w:tcPr>
            <w:tcW w:w="1200"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p>
        </w:tc>
        <w:tc>
          <w:tcPr>
            <w:tcW w:w="1439"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Pr="00B5130D">
              <w:rPr>
                <w:rFonts w:ascii="Times New Roman" w:eastAsia="Times New Roman" w:hAnsi="Times New Roman" w:cs="Times New Roman"/>
                <w:color w:val="000000"/>
                <w:sz w:val="20"/>
                <w:szCs w:val="20"/>
              </w:rPr>
              <w:t>0144)</w:t>
            </w:r>
          </w:p>
        </w:tc>
        <w:tc>
          <w:tcPr>
            <w:tcW w:w="1439"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Pr="00B5130D">
              <w:rPr>
                <w:rFonts w:ascii="Times New Roman" w:eastAsia="Times New Roman" w:hAnsi="Times New Roman" w:cs="Times New Roman"/>
                <w:color w:val="000000"/>
                <w:sz w:val="20"/>
                <w:szCs w:val="20"/>
              </w:rPr>
              <w:t>0164)</w:t>
            </w:r>
          </w:p>
        </w:tc>
        <w:tc>
          <w:tcPr>
            <w:tcW w:w="1302"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Pr="00B5130D">
              <w:rPr>
                <w:rFonts w:ascii="Times New Roman" w:eastAsia="Times New Roman" w:hAnsi="Times New Roman" w:cs="Times New Roman"/>
                <w:color w:val="000000"/>
                <w:sz w:val="20"/>
                <w:szCs w:val="20"/>
              </w:rPr>
              <w:t>0196)</w:t>
            </w:r>
          </w:p>
        </w:tc>
      </w:tr>
      <w:tr w:rsidR="007B392F" w:rsidRPr="00B5130D" w:rsidTr="00725358">
        <w:trPr>
          <w:trHeight w:val="352"/>
          <w:jc w:val="center"/>
        </w:trPr>
        <w:tc>
          <w:tcPr>
            <w:tcW w:w="3600" w:type="dxa"/>
            <w:gridSpan w:val="3"/>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Produtividade Relativa</w:t>
            </w:r>
          </w:p>
        </w:tc>
        <w:tc>
          <w:tcPr>
            <w:tcW w:w="1439" w:type="dxa"/>
            <w:tcBorders>
              <w:top w:val="nil"/>
              <w:left w:val="nil"/>
              <w:bottom w:val="nil"/>
              <w:right w:val="nil"/>
            </w:tcBorders>
            <w:shd w:val="clear" w:color="auto" w:fill="auto"/>
            <w:noWrap/>
            <w:vAlign w:val="bottom"/>
            <w:hideMark/>
          </w:tcPr>
          <w:p w:rsidR="007B392F" w:rsidRPr="00B5130D" w:rsidRDefault="001D7435" w:rsidP="007E4941">
            <w:pPr>
              <w:tabs>
                <w:tab w:val="left" w:pos="72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B392F"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007B392F" w:rsidRPr="00B5130D">
              <w:rPr>
                <w:rFonts w:ascii="Times New Roman" w:eastAsia="Times New Roman" w:hAnsi="Times New Roman" w:cs="Times New Roman"/>
                <w:color w:val="000000"/>
                <w:sz w:val="20"/>
                <w:szCs w:val="20"/>
              </w:rPr>
              <w:t>0407</w:t>
            </w:r>
          </w:p>
        </w:tc>
        <w:tc>
          <w:tcPr>
            <w:tcW w:w="1439" w:type="dxa"/>
            <w:tcBorders>
              <w:top w:val="nil"/>
              <w:left w:val="nil"/>
              <w:bottom w:val="nil"/>
              <w:right w:val="nil"/>
            </w:tcBorders>
            <w:shd w:val="clear" w:color="auto" w:fill="auto"/>
            <w:noWrap/>
            <w:vAlign w:val="bottom"/>
            <w:hideMark/>
          </w:tcPr>
          <w:p w:rsidR="007B392F" w:rsidRPr="00B5130D" w:rsidRDefault="001D7435" w:rsidP="007E4941">
            <w:pPr>
              <w:tabs>
                <w:tab w:val="left" w:pos="72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B392F"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007B392F" w:rsidRPr="00B5130D">
              <w:rPr>
                <w:rFonts w:ascii="Times New Roman" w:eastAsia="Times New Roman" w:hAnsi="Times New Roman" w:cs="Times New Roman"/>
                <w:color w:val="000000"/>
                <w:sz w:val="20"/>
                <w:szCs w:val="20"/>
              </w:rPr>
              <w:t>0681*</w:t>
            </w:r>
          </w:p>
        </w:tc>
        <w:tc>
          <w:tcPr>
            <w:tcW w:w="1302" w:type="dxa"/>
            <w:tcBorders>
              <w:top w:val="nil"/>
              <w:left w:val="nil"/>
              <w:bottom w:val="nil"/>
              <w:right w:val="nil"/>
            </w:tcBorders>
            <w:shd w:val="clear" w:color="auto" w:fill="auto"/>
            <w:noWrap/>
            <w:vAlign w:val="bottom"/>
            <w:hideMark/>
          </w:tcPr>
          <w:p w:rsidR="007B392F" w:rsidRPr="00B5130D" w:rsidRDefault="001D7435" w:rsidP="007E4941">
            <w:pPr>
              <w:tabs>
                <w:tab w:val="left" w:pos="72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B392F"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007B392F" w:rsidRPr="00B5130D">
              <w:rPr>
                <w:rFonts w:ascii="Times New Roman" w:eastAsia="Times New Roman" w:hAnsi="Times New Roman" w:cs="Times New Roman"/>
                <w:color w:val="000000"/>
                <w:sz w:val="20"/>
                <w:szCs w:val="20"/>
              </w:rPr>
              <w:t>159***</w:t>
            </w:r>
          </w:p>
        </w:tc>
      </w:tr>
      <w:tr w:rsidR="007B392F" w:rsidRPr="00B5130D" w:rsidTr="00725358">
        <w:trPr>
          <w:trHeight w:val="352"/>
          <w:jc w:val="center"/>
        </w:trPr>
        <w:tc>
          <w:tcPr>
            <w:tcW w:w="1200"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p>
        </w:tc>
        <w:tc>
          <w:tcPr>
            <w:tcW w:w="1201"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p>
        </w:tc>
        <w:tc>
          <w:tcPr>
            <w:tcW w:w="1200"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p>
        </w:tc>
        <w:tc>
          <w:tcPr>
            <w:tcW w:w="1439"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Pr="00B5130D">
              <w:rPr>
                <w:rFonts w:ascii="Times New Roman" w:eastAsia="Times New Roman" w:hAnsi="Times New Roman" w:cs="Times New Roman"/>
                <w:color w:val="000000"/>
                <w:sz w:val="20"/>
                <w:szCs w:val="20"/>
              </w:rPr>
              <w:t>03)</w:t>
            </w:r>
          </w:p>
        </w:tc>
        <w:tc>
          <w:tcPr>
            <w:tcW w:w="1439"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Pr="00B5130D">
              <w:rPr>
                <w:rFonts w:ascii="Times New Roman" w:eastAsia="Times New Roman" w:hAnsi="Times New Roman" w:cs="Times New Roman"/>
                <w:color w:val="000000"/>
                <w:sz w:val="20"/>
                <w:szCs w:val="20"/>
              </w:rPr>
              <w:t>0365)</w:t>
            </w:r>
          </w:p>
        </w:tc>
        <w:tc>
          <w:tcPr>
            <w:tcW w:w="1302"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Pr="00B5130D">
              <w:rPr>
                <w:rFonts w:ascii="Times New Roman" w:eastAsia="Times New Roman" w:hAnsi="Times New Roman" w:cs="Times New Roman"/>
                <w:color w:val="000000"/>
                <w:sz w:val="20"/>
                <w:szCs w:val="20"/>
              </w:rPr>
              <w:t>0396)</w:t>
            </w:r>
          </w:p>
        </w:tc>
      </w:tr>
      <w:tr w:rsidR="007B392F" w:rsidRPr="00B5130D" w:rsidTr="00725358">
        <w:trPr>
          <w:trHeight w:val="352"/>
          <w:jc w:val="center"/>
        </w:trPr>
        <w:tc>
          <w:tcPr>
            <w:tcW w:w="2400" w:type="dxa"/>
            <w:gridSpan w:val="2"/>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Abertura Comercial</w:t>
            </w:r>
          </w:p>
        </w:tc>
        <w:tc>
          <w:tcPr>
            <w:tcW w:w="1200"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p>
        </w:tc>
        <w:tc>
          <w:tcPr>
            <w:tcW w:w="1439"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Pr="00B5130D">
              <w:rPr>
                <w:rFonts w:ascii="Times New Roman" w:eastAsia="Times New Roman" w:hAnsi="Times New Roman" w:cs="Times New Roman"/>
                <w:color w:val="000000"/>
                <w:sz w:val="20"/>
                <w:szCs w:val="20"/>
              </w:rPr>
              <w:t>0322</w:t>
            </w:r>
          </w:p>
        </w:tc>
        <w:tc>
          <w:tcPr>
            <w:tcW w:w="1439" w:type="dxa"/>
            <w:tcBorders>
              <w:top w:val="nil"/>
              <w:left w:val="nil"/>
              <w:bottom w:val="nil"/>
              <w:right w:val="nil"/>
            </w:tcBorders>
            <w:shd w:val="clear" w:color="auto" w:fill="auto"/>
            <w:noWrap/>
            <w:vAlign w:val="bottom"/>
            <w:hideMark/>
          </w:tcPr>
          <w:p w:rsidR="007B392F" w:rsidRPr="00B5130D" w:rsidRDefault="00F80550"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w:t>
            </w:r>
            <w:r w:rsidR="007B392F"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007B392F" w:rsidRPr="00B5130D">
              <w:rPr>
                <w:rFonts w:ascii="Times New Roman" w:eastAsia="Times New Roman" w:hAnsi="Times New Roman" w:cs="Times New Roman"/>
                <w:color w:val="000000"/>
                <w:sz w:val="20"/>
                <w:szCs w:val="20"/>
              </w:rPr>
              <w:t>0756***</w:t>
            </w:r>
          </w:p>
        </w:tc>
        <w:tc>
          <w:tcPr>
            <w:tcW w:w="1302"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Pr="00B5130D">
              <w:rPr>
                <w:rFonts w:ascii="Times New Roman" w:eastAsia="Times New Roman" w:hAnsi="Times New Roman" w:cs="Times New Roman"/>
                <w:color w:val="000000"/>
                <w:sz w:val="20"/>
                <w:szCs w:val="20"/>
              </w:rPr>
              <w:t>0699**</w:t>
            </w:r>
          </w:p>
        </w:tc>
      </w:tr>
      <w:tr w:rsidR="007B392F" w:rsidRPr="00B5130D" w:rsidTr="00725358">
        <w:trPr>
          <w:trHeight w:val="352"/>
          <w:jc w:val="center"/>
        </w:trPr>
        <w:tc>
          <w:tcPr>
            <w:tcW w:w="1200"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p>
        </w:tc>
        <w:tc>
          <w:tcPr>
            <w:tcW w:w="1201"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p>
        </w:tc>
        <w:tc>
          <w:tcPr>
            <w:tcW w:w="1200"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p>
        </w:tc>
        <w:tc>
          <w:tcPr>
            <w:tcW w:w="1439"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Pr="00B5130D">
              <w:rPr>
                <w:rFonts w:ascii="Times New Roman" w:eastAsia="Times New Roman" w:hAnsi="Times New Roman" w:cs="Times New Roman"/>
                <w:color w:val="000000"/>
                <w:sz w:val="20"/>
                <w:szCs w:val="20"/>
              </w:rPr>
              <w:t>0221)</w:t>
            </w:r>
          </w:p>
        </w:tc>
        <w:tc>
          <w:tcPr>
            <w:tcW w:w="1439"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Pr="00B5130D">
              <w:rPr>
                <w:rFonts w:ascii="Times New Roman" w:eastAsia="Times New Roman" w:hAnsi="Times New Roman" w:cs="Times New Roman"/>
                <w:color w:val="000000"/>
                <w:sz w:val="20"/>
                <w:szCs w:val="20"/>
              </w:rPr>
              <w:t>0272)</w:t>
            </w:r>
          </w:p>
        </w:tc>
        <w:tc>
          <w:tcPr>
            <w:tcW w:w="1302"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Pr="00B5130D">
              <w:rPr>
                <w:rFonts w:ascii="Times New Roman" w:eastAsia="Times New Roman" w:hAnsi="Times New Roman" w:cs="Times New Roman"/>
                <w:color w:val="000000"/>
                <w:sz w:val="20"/>
                <w:szCs w:val="20"/>
              </w:rPr>
              <w:t>0305)</w:t>
            </w:r>
          </w:p>
        </w:tc>
      </w:tr>
      <w:tr w:rsidR="007B392F" w:rsidRPr="00B5130D" w:rsidTr="00725358">
        <w:trPr>
          <w:trHeight w:val="352"/>
          <w:jc w:val="center"/>
        </w:trPr>
        <w:tc>
          <w:tcPr>
            <w:tcW w:w="2400" w:type="dxa"/>
            <w:gridSpan w:val="2"/>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Intercepto</w:t>
            </w:r>
          </w:p>
        </w:tc>
        <w:tc>
          <w:tcPr>
            <w:tcW w:w="1200"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p>
        </w:tc>
        <w:tc>
          <w:tcPr>
            <w:tcW w:w="1439"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4</w:t>
            </w:r>
            <w:r w:rsidR="000C0E22" w:rsidRPr="00B5130D">
              <w:rPr>
                <w:rFonts w:ascii="Times New Roman" w:eastAsia="Times New Roman" w:hAnsi="Times New Roman" w:cs="Times New Roman"/>
                <w:color w:val="000000"/>
                <w:sz w:val="20"/>
                <w:szCs w:val="20"/>
              </w:rPr>
              <w:t>,</w:t>
            </w:r>
            <w:r w:rsidRPr="00B5130D">
              <w:rPr>
                <w:rFonts w:ascii="Times New Roman" w:eastAsia="Times New Roman" w:hAnsi="Times New Roman" w:cs="Times New Roman"/>
                <w:color w:val="000000"/>
                <w:sz w:val="20"/>
                <w:szCs w:val="20"/>
              </w:rPr>
              <w:t>734***</w:t>
            </w:r>
          </w:p>
        </w:tc>
        <w:tc>
          <w:tcPr>
            <w:tcW w:w="1439"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4</w:t>
            </w:r>
            <w:r w:rsidR="000C0E22" w:rsidRPr="00B5130D">
              <w:rPr>
                <w:rFonts w:ascii="Times New Roman" w:eastAsia="Times New Roman" w:hAnsi="Times New Roman" w:cs="Times New Roman"/>
                <w:color w:val="000000"/>
                <w:sz w:val="20"/>
                <w:szCs w:val="20"/>
              </w:rPr>
              <w:t>,</w:t>
            </w:r>
            <w:r w:rsidRPr="00B5130D">
              <w:rPr>
                <w:rFonts w:ascii="Times New Roman" w:eastAsia="Times New Roman" w:hAnsi="Times New Roman" w:cs="Times New Roman"/>
                <w:color w:val="000000"/>
                <w:sz w:val="20"/>
                <w:szCs w:val="20"/>
              </w:rPr>
              <w:t>648***</w:t>
            </w:r>
          </w:p>
        </w:tc>
        <w:tc>
          <w:tcPr>
            <w:tcW w:w="1302"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4</w:t>
            </w:r>
            <w:r w:rsidR="000C0E22" w:rsidRPr="00B5130D">
              <w:rPr>
                <w:rFonts w:ascii="Times New Roman" w:eastAsia="Times New Roman" w:hAnsi="Times New Roman" w:cs="Times New Roman"/>
                <w:color w:val="000000"/>
                <w:sz w:val="20"/>
                <w:szCs w:val="20"/>
              </w:rPr>
              <w:t>,</w:t>
            </w:r>
            <w:r w:rsidRPr="00B5130D">
              <w:rPr>
                <w:rFonts w:ascii="Times New Roman" w:eastAsia="Times New Roman" w:hAnsi="Times New Roman" w:cs="Times New Roman"/>
                <w:color w:val="000000"/>
                <w:sz w:val="20"/>
                <w:szCs w:val="20"/>
              </w:rPr>
              <w:t>745***</w:t>
            </w:r>
          </w:p>
        </w:tc>
      </w:tr>
      <w:tr w:rsidR="007B392F" w:rsidRPr="00B5130D" w:rsidTr="00725358">
        <w:trPr>
          <w:trHeight w:val="352"/>
          <w:jc w:val="center"/>
        </w:trPr>
        <w:tc>
          <w:tcPr>
            <w:tcW w:w="1200"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p>
        </w:tc>
        <w:tc>
          <w:tcPr>
            <w:tcW w:w="1201"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p>
        </w:tc>
        <w:tc>
          <w:tcPr>
            <w:tcW w:w="1200"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p>
        </w:tc>
        <w:tc>
          <w:tcPr>
            <w:tcW w:w="1439"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(0,0271)</w:t>
            </w:r>
          </w:p>
        </w:tc>
        <w:tc>
          <w:tcPr>
            <w:tcW w:w="1439"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Pr="00B5130D">
              <w:rPr>
                <w:rFonts w:ascii="Times New Roman" w:eastAsia="Times New Roman" w:hAnsi="Times New Roman" w:cs="Times New Roman"/>
                <w:color w:val="000000"/>
                <w:sz w:val="20"/>
                <w:szCs w:val="20"/>
              </w:rPr>
              <w:t>0255)</w:t>
            </w:r>
          </w:p>
        </w:tc>
        <w:tc>
          <w:tcPr>
            <w:tcW w:w="1302" w:type="dxa"/>
            <w:tcBorders>
              <w:top w:val="nil"/>
              <w:left w:val="nil"/>
              <w:bottom w:val="nil"/>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(0</w:t>
            </w:r>
            <w:r w:rsidR="000C0E22" w:rsidRPr="00B5130D">
              <w:rPr>
                <w:rFonts w:ascii="Times New Roman" w:eastAsia="Times New Roman" w:hAnsi="Times New Roman" w:cs="Times New Roman"/>
                <w:color w:val="000000"/>
                <w:sz w:val="20"/>
                <w:szCs w:val="20"/>
              </w:rPr>
              <w:t>,</w:t>
            </w:r>
            <w:r w:rsidRPr="00B5130D">
              <w:rPr>
                <w:rFonts w:ascii="Times New Roman" w:eastAsia="Times New Roman" w:hAnsi="Times New Roman" w:cs="Times New Roman"/>
                <w:color w:val="000000"/>
                <w:sz w:val="20"/>
                <w:szCs w:val="20"/>
              </w:rPr>
              <w:t>0256)</w:t>
            </w:r>
          </w:p>
        </w:tc>
      </w:tr>
      <w:tr w:rsidR="007B392F" w:rsidRPr="00B5130D" w:rsidTr="00725358">
        <w:trPr>
          <w:trHeight w:val="352"/>
          <w:jc w:val="center"/>
        </w:trPr>
        <w:tc>
          <w:tcPr>
            <w:tcW w:w="2400" w:type="dxa"/>
            <w:gridSpan w:val="2"/>
            <w:tcBorders>
              <w:top w:val="nil"/>
              <w:left w:val="nil"/>
              <w:bottom w:val="single" w:sz="4" w:space="0" w:color="auto"/>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Observações</w:t>
            </w:r>
          </w:p>
        </w:tc>
        <w:tc>
          <w:tcPr>
            <w:tcW w:w="1200" w:type="dxa"/>
            <w:tcBorders>
              <w:top w:val="nil"/>
              <w:left w:val="nil"/>
              <w:bottom w:val="single" w:sz="4" w:space="0" w:color="auto"/>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p>
        </w:tc>
        <w:tc>
          <w:tcPr>
            <w:tcW w:w="1439" w:type="dxa"/>
            <w:tcBorders>
              <w:top w:val="nil"/>
              <w:left w:val="nil"/>
              <w:bottom w:val="single" w:sz="4" w:space="0" w:color="auto"/>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2,706</w:t>
            </w:r>
          </w:p>
        </w:tc>
        <w:tc>
          <w:tcPr>
            <w:tcW w:w="1439" w:type="dxa"/>
            <w:tcBorders>
              <w:top w:val="nil"/>
              <w:left w:val="nil"/>
              <w:bottom w:val="single" w:sz="4" w:space="0" w:color="auto"/>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2,706</w:t>
            </w:r>
          </w:p>
        </w:tc>
        <w:tc>
          <w:tcPr>
            <w:tcW w:w="1302" w:type="dxa"/>
            <w:tcBorders>
              <w:top w:val="nil"/>
              <w:left w:val="nil"/>
              <w:bottom w:val="single" w:sz="4" w:space="0" w:color="auto"/>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2,489</w:t>
            </w:r>
          </w:p>
        </w:tc>
      </w:tr>
      <w:tr w:rsidR="007B392F" w:rsidRPr="00B5130D" w:rsidTr="00725358">
        <w:trPr>
          <w:trHeight w:val="352"/>
          <w:jc w:val="center"/>
        </w:trPr>
        <w:tc>
          <w:tcPr>
            <w:tcW w:w="2400" w:type="dxa"/>
            <w:gridSpan w:val="2"/>
            <w:tcBorders>
              <w:top w:val="single" w:sz="4" w:space="0" w:color="auto"/>
              <w:left w:val="nil"/>
              <w:bottom w:val="single" w:sz="4" w:space="0" w:color="auto"/>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N. de países</w:t>
            </w:r>
          </w:p>
        </w:tc>
        <w:tc>
          <w:tcPr>
            <w:tcW w:w="1200" w:type="dxa"/>
            <w:tcBorders>
              <w:top w:val="single" w:sz="4" w:space="0" w:color="auto"/>
              <w:left w:val="nil"/>
              <w:bottom w:val="single" w:sz="4" w:space="0" w:color="auto"/>
              <w:right w:val="nil"/>
            </w:tcBorders>
            <w:shd w:val="clear" w:color="auto" w:fill="auto"/>
            <w:noWrap/>
            <w:vAlign w:val="bottom"/>
            <w:hideMark/>
          </w:tcPr>
          <w:p w:rsidR="007B392F" w:rsidRPr="00B5130D" w:rsidRDefault="007B392F" w:rsidP="007E4941">
            <w:pPr>
              <w:tabs>
                <w:tab w:val="left" w:pos="720"/>
              </w:tabs>
              <w:spacing w:after="0" w:line="240" w:lineRule="auto"/>
              <w:rPr>
                <w:rFonts w:ascii="Times New Roman" w:eastAsia="Times New Roman" w:hAnsi="Times New Roman" w:cs="Times New Roman"/>
                <w:color w:val="000000"/>
                <w:sz w:val="20"/>
                <w:szCs w:val="20"/>
              </w:rPr>
            </w:pPr>
          </w:p>
        </w:tc>
        <w:tc>
          <w:tcPr>
            <w:tcW w:w="1439" w:type="dxa"/>
            <w:tcBorders>
              <w:top w:val="single" w:sz="4" w:space="0" w:color="auto"/>
              <w:left w:val="nil"/>
              <w:bottom w:val="single" w:sz="4" w:space="0" w:color="auto"/>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102</w:t>
            </w:r>
          </w:p>
        </w:tc>
        <w:tc>
          <w:tcPr>
            <w:tcW w:w="1439" w:type="dxa"/>
            <w:tcBorders>
              <w:top w:val="single" w:sz="4" w:space="0" w:color="auto"/>
              <w:left w:val="nil"/>
              <w:bottom w:val="single" w:sz="4" w:space="0" w:color="auto"/>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102</w:t>
            </w:r>
          </w:p>
        </w:tc>
        <w:tc>
          <w:tcPr>
            <w:tcW w:w="1302" w:type="dxa"/>
            <w:tcBorders>
              <w:top w:val="single" w:sz="4" w:space="0" w:color="auto"/>
              <w:left w:val="nil"/>
              <w:bottom w:val="single" w:sz="4" w:space="0" w:color="auto"/>
              <w:right w:val="nil"/>
            </w:tcBorders>
            <w:shd w:val="clear" w:color="auto" w:fill="auto"/>
            <w:noWrap/>
            <w:vAlign w:val="bottom"/>
            <w:hideMark/>
          </w:tcPr>
          <w:p w:rsidR="007B392F" w:rsidRPr="00B5130D" w:rsidRDefault="007B392F" w:rsidP="007E4941">
            <w:pPr>
              <w:tabs>
                <w:tab w:val="left" w:pos="720"/>
              </w:tabs>
              <w:spacing w:after="0" w:line="240" w:lineRule="auto"/>
              <w:jc w:val="center"/>
              <w:rPr>
                <w:rFonts w:ascii="Times New Roman" w:eastAsia="Times New Roman" w:hAnsi="Times New Roman" w:cs="Times New Roman"/>
                <w:color w:val="000000"/>
                <w:sz w:val="20"/>
                <w:szCs w:val="20"/>
              </w:rPr>
            </w:pPr>
            <w:r w:rsidRPr="00B5130D">
              <w:rPr>
                <w:rFonts w:ascii="Times New Roman" w:eastAsia="Times New Roman" w:hAnsi="Times New Roman" w:cs="Times New Roman"/>
                <w:color w:val="000000"/>
                <w:sz w:val="20"/>
                <w:szCs w:val="20"/>
              </w:rPr>
              <w:t>102</w:t>
            </w:r>
          </w:p>
        </w:tc>
      </w:tr>
    </w:tbl>
    <w:p w:rsidR="007B392F" w:rsidRDefault="007B392F" w:rsidP="007E4941">
      <w:pPr>
        <w:tabs>
          <w:tab w:val="left" w:pos="720"/>
        </w:tabs>
        <w:spacing w:after="0" w:line="240" w:lineRule="auto"/>
        <w:ind w:firstLine="720"/>
        <w:rPr>
          <w:rFonts w:ascii="Times New Roman" w:hAnsi="Times New Roman" w:cs="Times New Roman"/>
          <w:b/>
          <w:sz w:val="24"/>
          <w:szCs w:val="24"/>
          <w:lang w:val="pt-BR"/>
        </w:rPr>
      </w:pPr>
    </w:p>
    <w:p w:rsidR="007B392F" w:rsidRDefault="007B392F" w:rsidP="007E4941">
      <w:pPr>
        <w:tabs>
          <w:tab w:val="left" w:pos="720"/>
        </w:tabs>
        <w:spacing w:after="0" w:line="240" w:lineRule="auto"/>
        <w:rPr>
          <w:rFonts w:ascii="Times New Roman" w:hAnsi="Times New Roman" w:cs="Times New Roman"/>
          <w:sz w:val="20"/>
          <w:szCs w:val="20"/>
          <w:lang w:val="pt-BR"/>
        </w:rPr>
      </w:pPr>
      <w:r>
        <w:rPr>
          <w:rFonts w:ascii="Times New Roman" w:hAnsi="Times New Roman" w:cs="Times New Roman"/>
          <w:sz w:val="20"/>
          <w:szCs w:val="20"/>
          <w:lang w:val="pt-BR"/>
        </w:rPr>
        <w:t>Onde * p &lt; 0.1; ** p&lt; 0.5; e ***p&lt;0.01. Entre parênteses, os desvios padrões estimados dos coeficientes.</w:t>
      </w:r>
    </w:p>
    <w:p w:rsidR="00895B3E" w:rsidRDefault="00895B3E" w:rsidP="00120630">
      <w:pPr>
        <w:tabs>
          <w:tab w:val="left" w:pos="720"/>
        </w:tabs>
        <w:spacing w:after="0" w:line="240" w:lineRule="auto"/>
        <w:ind w:firstLine="720"/>
        <w:jc w:val="both"/>
        <w:rPr>
          <w:rFonts w:ascii="Times New Roman" w:hAnsi="Times New Roman" w:cs="Times New Roman"/>
          <w:sz w:val="24"/>
          <w:szCs w:val="24"/>
          <w:lang w:val="pt-BR"/>
        </w:rPr>
      </w:pPr>
    </w:p>
    <w:p w:rsidR="00120630" w:rsidRDefault="005D361F" w:rsidP="00120630">
      <w:pPr>
        <w:tabs>
          <w:tab w:val="left" w:pos="720"/>
        </w:tabs>
        <w:spacing w:after="0" w:line="240" w:lineRule="auto"/>
        <w:ind w:firstLine="720"/>
        <w:jc w:val="both"/>
        <w:rPr>
          <w:rFonts w:ascii="Times New Roman" w:hAnsi="Times New Roman" w:cs="Times New Roman"/>
          <w:b/>
          <w:sz w:val="24"/>
          <w:szCs w:val="24"/>
          <w:lang w:val="pt-BR"/>
        </w:rPr>
      </w:pPr>
      <w:r>
        <w:rPr>
          <w:rFonts w:ascii="Times New Roman" w:hAnsi="Times New Roman" w:cs="Times New Roman"/>
          <w:sz w:val="24"/>
          <w:szCs w:val="24"/>
          <w:lang w:val="pt-BR"/>
        </w:rPr>
        <w:t xml:space="preserve">A estimação por </w:t>
      </w:r>
      <w:r>
        <w:rPr>
          <w:rFonts w:ascii="Times New Roman" w:hAnsi="Times New Roman" w:cs="Times New Roman"/>
          <w:i/>
          <w:sz w:val="24"/>
          <w:szCs w:val="24"/>
          <w:lang w:val="pt-BR"/>
        </w:rPr>
        <w:t>DOLS</w:t>
      </w:r>
      <w:r>
        <w:rPr>
          <w:rFonts w:ascii="Times New Roman" w:hAnsi="Times New Roman" w:cs="Times New Roman"/>
          <w:sz w:val="24"/>
          <w:szCs w:val="24"/>
          <w:lang w:val="pt-BR"/>
        </w:rPr>
        <w:t xml:space="preserve"> dá à produtividade um efeito substancialmente maior do que as outras estimações, em magnitude próxima à das estimações comumente feitas na literatura, onde “Ativos Estrangeiros Líquidos” e “Produtividade” têm magnitude de efeito sobre a TCR de longo prazo contrários. Além disso, como foi visto na seção de testes de raiz unitária, a ordem de integração de variáveis do painel exige a correção dos erros do tipo </w:t>
      </w:r>
      <w:r>
        <w:rPr>
          <w:rFonts w:ascii="Times New Roman" w:hAnsi="Times New Roman" w:cs="Times New Roman"/>
          <w:i/>
          <w:sz w:val="24"/>
          <w:szCs w:val="24"/>
          <w:lang w:val="pt-BR"/>
        </w:rPr>
        <w:t>DOLS</w:t>
      </w:r>
      <w:r>
        <w:rPr>
          <w:rFonts w:ascii="Times New Roman" w:hAnsi="Times New Roman" w:cs="Times New Roman"/>
          <w:sz w:val="24"/>
          <w:szCs w:val="24"/>
          <w:lang w:val="pt-BR"/>
        </w:rPr>
        <w:t>, por isso ela será a especificação utilizada nesse trabalho para compor os exercícios econométricos que explicam a sobrevalorização do câmbio real.</w:t>
      </w:r>
    </w:p>
    <w:p w:rsidR="00AE0B99" w:rsidRDefault="00895B3E" w:rsidP="00725358">
      <w:pPr>
        <w:tabs>
          <w:tab w:val="left" w:pos="720"/>
        </w:tabs>
        <w:spacing w:after="0" w:line="24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Uma vez estimada a equação de câmbio, é possível derivar o índice de desalinhamento e relacionar com a tipologia de regimes cambiais. </w:t>
      </w:r>
      <w:r w:rsidR="00F80550" w:rsidRPr="00F80550">
        <w:rPr>
          <w:rFonts w:ascii="Times New Roman" w:hAnsi="Times New Roman" w:cs="Times New Roman"/>
          <w:sz w:val="24"/>
          <w:szCs w:val="24"/>
          <w:lang w:val="pt-BR"/>
        </w:rPr>
        <w:t>De acordo com a classifica</w:t>
      </w:r>
      <w:r w:rsidR="00413ABC">
        <w:rPr>
          <w:rFonts w:ascii="Times New Roman" w:hAnsi="Times New Roman" w:cs="Times New Roman"/>
          <w:sz w:val="24"/>
          <w:szCs w:val="24"/>
          <w:lang w:val="pt-BR"/>
        </w:rPr>
        <w:t xml:space="preserve">ção de Reinhart e Rogoff (2008) – doravante RR – </w:t>
      </w:r>
      <w:r w:rsidR="00D904C9">
        <w:rPr>
          <w:rFonts w:ascii="Times New Roman" w:hAnsi="Times New Roman" w:cs="Times New Roman"/>
          <w:sz w:val="24"/>
          <w:szCs w:val="24"/>
          <w:lang w:val="pt-BR"/>
        </w:rPr>
        <w:t>como pode ser visualizado no Gráfico 1,</w:t>
      </w:r>
      <w:r w:rsidR="00F80550" w:rsidRPr="00F80550">
        <w:rPr>
          <w:rFonts w:ascii="Times New Roman" w:hAnsi="Times New Roman" w:cs="Times New Roman"/>
          <w:sz w:val="24"/>
          <w:szCs w:val="24"/>
          <w:lang w:val="pt-BR"/>
        </w:rPr>
        <w:t xml:space="preserve"> o regime fixo aparece destacadamente como o de maior sobrevalorização cambial real</w:t>
      </w:r>
      <w:r w:rsidR="00D904C9">
        <w:rPr>
          <w:rFonts w:ascii="Times New Roman" w:hAnsi="Times New Roman" w:cs="Times New Roman"/>
          <w:sz w:val="24"/>
          <w:szCs w:val="24"/>
          <w:lang w:val="pt-BR"/>
        </w:rPr>
        <w:t xml:space="preserve"> na</w:t>
      </w:r>
      <w:r w:rsidR="00F80550" w:rsidRPr="00F80550">
        <w:rPr>
          <w:rFonts w:ascii="Times New Roman" w:hAnsi="Times New Roman" w:cs="Times New Roman"/>
          <w:sz w:val="24"/>
          <w:szCs w:val="24"/>
          <w:lang w:val="pt-BR"/>
        </w:rPr>
        <w:t xml:space="preserve"> média</w:t>
      </w:r>
      <w:r w:rsidR="00D904C9">
        <w:rPr>
          <w:rFonts w:ascii="Times New Roman" w:hAnsi="Times New Roman" w:cs="Times New Roman"/>
          <w:sz w:val="24"/>
          <w:szCs w:val="24"/>
          <w:lang w:val="pt-BR"/>
        </w:rPr>
        <w:t xml:space="preserve"> do período</w:t>
      </w:r>
      <w:r w:rsidR="00F80550" w:rsidRPr="00F80550">
        <w:rPr>
          <w:rFonts w:ascii="Times New Roman" w:hAnsi="Times New Roman" w:cs="Times New Roman"/>
          <w:sz w:val="24"/>
          <w:szCs w:val="24"/>
          <w:lang w:val="pt-BR"/>
        </w:rPr>
        <w:t>.</w:t>
      </w:r>
      <w:r w:rsidR="007B07AF">
        <w:rPr>
          <w:rFonts w:ascii="Times New Roman" w:hAnsi="Times New Roman" w:cs="Times New Roman"/>
          <w:sz w:val="24"/>
          <w:szCs w:val="24"/>
          <w:lang w:val="pt-BR"/>
        </w:rPr>
        <w:t xml:space="preserve"> </w:t>
      </w:r>
      <w:r w:rsidR="00413ABC">
        <w:rPr>
          <w:rFonts w:ascii="Times New Roman" w:hAnsi="Times New Roman" w:cs="Times New Roman"/>
          <w:sz w:val="24"/>
          <w:szCs w:val="24"/>
          <w:lang w:val="pt-BR"/>
        </w:rPr>
        <w:t>(Regimes flutuantes permitem um equilíbrio com leve desvalorização real média)</w:t>
      </w:r>
      <w:r w:rsidR="007B07AF">
        <w:rPr>
          <w:rFonts w:ascii="Times New Roman" w:hAnsi="Times New Roman" w:cs="Times New Roman"/>
          <w:sz w:val="24"/>
          <w:szCs w:val="24"/>
          <w:lang w:val="pt-BR"/>
        </w:rPr>
        <w:t>.</w:t>
      </w:r>
    </w:p>
    <w:p w:rsidR="00120630" w:rsidRDefault="00120630" w:rsidP="00120630">
      <w:pPr>
        <w:tabs>
          <w:tab w:val="left" w:pos="720"/>
        </w:tabs>
        <w:spacing w:after="0" w:line="24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Os resultados incondicionais para a amostra de Levy-Yeyati e Sturzenegger (2008) – doravante LYS –, visualizados no Gráfico 2 se alinha uma análise do tipo “regimes bipolares”</w:t>
      </w:r>
      <w:r>
        <w:rPr>
          <w:lang w:val="pt-BR"/>
        </w:rPr>
        <w:t xml:space="preserve">, </w:t>
      </w:r>
      <w:r w:rsidRPr="00735C3C">
        <w:rPr>
          <w:rFonts w:ascii="Times New Roman" w:hAnsi="Times New Roman" w:cs="Times New Roman"/>
          <w:sz w:val="24"/>
          <w:szCs w:val="24"/>
          <w:lang w:val="pt-BR"/>
        </w:rPr>
        <w:t>ou “</w:t>
      </w:r>
      <w:r w:rsidRPr="00735C3C">
        <w:rPr>
          <w:rFonts w:ascii="Times New Roman" w:hAnsi="Times New Roman" w:cs="Times New Roman"/>
          <w:i/>
          <w:sz w:val="24"/>
          <w:szCs w:val="24"/>
          <w:lang w:val="pt-BR"/>
        </w:rPr>
        <w:t>hollowing out</w:t>
      </w:r>
      <w:r w:rsidRPr="00735C3C">
        <w:rPr>
          <w:rFonts w:ascii="Times New Roman" w:hAnsi="Times New Roman" w:cs="Times New Roman"/>
          <w:sz w:val="24"/>
          <w:szCs w:val="24"/>
          <w:lang w:val="pt-BR"/>
        </w:rPr>
        <w:t>”</w:t>
      </w:r>
      <w:r>
        <w:rPr>
          <w:rStyle w:val="Refdenotaderodap"/>
          <w:rFonts w:ascii="Times New Roman" w:hAnsi="Times New Roman" w:cs="Times New Roman"/>
          <w:sz w:val="24"/>
          <w:szCs w:val="24"/>
          <w:lang w:val="pt-BR"/>
        </w:rPr>
        <w:footnoteReference w:id="9"/>
      </w:r>
      <w:r>
        <w:rPr>
          <w:rFonts w:ascii="Times New Roman" w:hAnsi="Times New Roman" w:cs="Times New Roman"/>
          <w:sz w:val="24"/>
          <w:szCs w:val="24"/>
          <w:lang w:val="pt-BR"/>
        </w:rPr>
        <w:t>: a sobre-valorização média dos regimes fixo e flexível próxima de 4%, maior que a do intermediário, próxima de 1%.</w:t>
      </w:r>
    </w:p>
    <w:p w:rsidR="00895B3E" w:rsidRDefault="00895B3E" w:rsidP="00120630">
      <w:pPr>
        <w:tabs>
          <w:tab w:val="left" w:pos="720"/>
        </w:tabs>
        <w:spacing w:after="0" w:line="240" w:lineRule="auto"/>
        <w:ind w:firstLine="720"/>
        <w:jc w:val="both"/>
        <w:rPr>
          <w:rFonts w:ascii="Times New Roman" w:hAnsi="Times New Roman" w:cs="Times New Roman"/>
          <w:sz w:val="24"/>
          <w:szCs w:val="24"/>
          <w:lang w:val="pt-BR"/>
        </w:rPr>
      </w:pPr>
    </w:p>
    <w:p w:rsidR="00895B3E" w:rsidRDefault="00895B3E" w:rsidP="00120630">
      <w:pPr>
        <w:tabs>
          <w:tab w:val="left" w:pos="720"/>
        </w:tabs>
        <w:spacing w:after="0" w:line="240" w:lineRule="auto"/>
        <w:ind w:firstLine="720"/>
        <w:jc w:val="both"/>
        <w:rPr>
          <w:rFonts w:ascii="Times New Roman" w:hAnsi="Times New Roman" w:cs="Times New Roman"/>
          <w:sz w:val="24"/>
          <w:szCs w:val="24"/>
          <w:lang w:val="pt-BR"/>
        </w:rPr>
      </w:pPr>
    </w:p>
    <w:p w:rsidR="00120630" w:rsidRDefault="00120630" w:rsidP="00725358">
      <w:pPr>
        <w:tabs>
          <w:tab w:val="left" w:pos="720"/>
        </w:tabs>
        <w:spacing w:after="0" w:line="240" w:lineRule="auto"/>
        <w:ind w:firstLine="720"/>
        <w:jc w:val="both"/>
        <w:rPr>
          <w:rFonts w:ascii="Times New Roman" w:hAnsi="Times New Roman" w:cs="Times New Roman"/>
          <w:sz w:val="24"/>
          <w:szCs w:val="24"/>
          <w:lang w:val="pt-BR"/>
        </w:rPr>
      </w:pPr>
    </w:p>
    <w:p w:rsidR="000010AC" w:rsidRDefault="000010AC" w:rsidP="00725358">
      <w:pPr>
        <w:tabs>
          <w:tab w:val="left" w:pos="720"/>
        </w:tabs>
        <w:spacing w:after="0" w:line="240" w:lineRule="auto"/>
        <w:ind w:firstLine="720"/>
        <w:jc w:val="both"/>
        <w:rPr>
          <w:rFonts w:ascii="Times New Roman" w:hAnsi="Times New Roman" w:cs="Times New Roman"/>
          <w:b/>
          <w:sz w:val="24"/>
          <w:szCs w:val="24"/>
          <w:lang w:val="pt-BR"/>
        </w:rPr>
      </w:pPr>
    </w:p>
    <w:p w:rsidR="00D904C9" w:rsidRDefault="00D904C9" w:rsidP="007E4941">
      <w:pPr>
        <w:tabs>
          <w:tab w:val="left" w:pos="720"/>
        </w:tabs>
        <w:spacing w:after="0" w:line="240" w:lineRule="auto"/>
        <w:ind w:firstLine="720"/>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Gráficos 1: Relação entre Valorização e Regimes: Classificação </w:t>
      </w:r>
      <w:r w:rsidR="00413ABC">
        <w:rPr>
          <w:rFonts w:ascii="Times New Roman" w:hAnsi="Times New Roman" w:cs="Times New Roman"/>
          <w:b/>
          <w:sz w:val="24"/>
          <w:szCs w:val="24"/>
          <w:lang w:val="pt-BR"/>
        </w:rPr>
        <w:t xml:space="preserve">RR, </w:t>
      </w:r>
      <w:r>
        <w:rPr>
          <w:rFonts w:ascii="Times New Roman" w:hAnsi="Times New Roman" w:cs="Times New Roman"/>
          <w:b/>
          <w:sz w:val="24"/>
          <w:szCs w:val="24"/>
          <w:lang w:val="pt-BR"/>
        </w:rPr>
        <w:t>Médias para 1970/2004</w:t>
      </w:r>
      <w:r w:rsidR="00413ABC">
        <w:rPr>
          <w:rFonts w:ascii="Times New Roman" w:hAnsi="Times New Roman" w:cs="Times New Roman"/>
          <w:b/>
          <w:sz w:val="24"/>
          <w:szCs w:val="24"/>
          <w:lang w:val="pt-BR"/>
        </w:rPr>
        <w:t>, 104 países</w:t>
      </w:r>
    </w:p>
    <w:p w:rsidR="00D904C9" w:rsidRDefault="00D904C9" w:rsidP="007E4941">
      <w:pPr>
        <w:tabs>
          <w:tab w:val="left" w:pos="720"/>
        </w:tabs>
        <w:spacing w:after="0" w:line="240" w:lineRule="auto"/>
        <w:ind w:firstLine="720"/>
        <w:jc w:val="center"/>
        <w:rPr>
          <w:rFonts w:ascii="Times New Roman" w:hAnsi="Times New Roman" w:cs="Times New Roman"/>
          <w:b/>
          <w:sz w:val="24"/>
          <w:szCs w:val="24"/>
          <w:lang w:val="pt-BR"/>
        </w:rPr>
      </w:pPr>
      <w:r>
        <w:rPr>
          <w:rFonts w:ascii="Times New Roman" w:hAnsi="Times New Roman" w:cs="Times New Roman"/>
          <w:b/>
          <w:noProof/>
          <w:sz w:val="24"/>
          <w:szCs w:val="24"/>
        </w:rPr>
        <w:lastRenderedPageBreak/>
        <w:drawing>
          <wp:inline distT="0" distB="0" distL="0" distR="0">
            <wp:extent cx="3276412" cy="2486122"/>
            <wp:effectExtent l="19050" t="0" r="188" b="0"/>
            <wp:docPr id="5" name="Imagem 0" descr="grafico_1_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_1_RR.jpg"/>
                    <pic:cNvPicPr/>
                  </pic:nvPicPr>
                  <pic:blipFill>
                    <a:blip r:embed="rId9" cstate="print"/>
                    <a:stretch>
                      <a:fillRect/>
                    </a:stretch>
                  </pic:blipFill>
                  <pic:spPr>
                    <a:xfrm>
                      <a:off x="0" y="0"/>
                      <a:ext cx="3289271" cy="2495880"/>
                    </a:xfrm>
                    <a:prstGeom prst="rect">
                      <a:avLst/>
                    </a:prstGeom>
                  </pic:spPr>
                </pic:pic>
              </a:graphicData>
            </a:graphic>
          </wp:inline>
        </w:drawing>
      </w:r>
    </w:p>
    <w:p w:rsidR="00D904C9" w:rsidRDefault="00D904C9" w:rsidP="007E4941">
      <w:pPr>
        <w:tabs>
          <w:tab w:val="left" w:pos="720"/>
        </w:tabs>
        <w:spacing w:after="0" w:line="240" w:lineRule="auto"/>
        <w:ind w:firstLine="720"/>
        <w:jc w:val="both"/>
        <w:rPr>
          <w:rFonts w:ascii="Times New Roman" w:hAnsi="Times New Roman" w:cs="Times New Roman"/>
          <w:b/>
          <w:sz w:val="24"/>
          <w:szCs w:val="24"/>
          <w:lang w:val="pt-BR"/>
        </w:rPr>
      </w:pPr>
    </w:p>
    <w:p w:rsidR="00D904C9" w:rsidRDefault="00D904C9" w:rsidP="00725358">
      <w:pPr>
        <w:tabs>
          <w:tab w:val="left" w:pos="720"/>
        </w:tabs>
        <w:spacing w:after="0" w:line="240" w:lineRule="auto"/>
        <w:ind w:firstLine="720"/>
        <w:jc w:val="center"/>
        <w:rPr>
          <w:rFonts w:ascii="Times New Roman" w:hAnsi="Times New Roman" w:cs="Times New Roman"/>
          <w:b/>
          <w:sz w:val="24"/>
          <w:szCs w:val="24"/>
          <w:lang w:val="pt-BR"/>
        </w:rPr>
      </w:pPr>
      <w:r>
        <w:rPr>
          <w:rFonts w:ascii="Times New Roman" w:hAnsi="Times New Roman" w:cs="Times New Roman"/>
          <w:b/>
          <w:sz w:val="24"/>
          <w:szCs w:val="24"/>
          <w:lang w:val="pt-BR"/>
        </w:rPr>
        <w:t>Gráficos 2: Relação entre Valorizaçã</w:t>
      </w:r>
      <w:r w:rsidR="004177B4">
        <w:rPr>
          <w:rFonts w:ascii="Times New Roman" w:hAnsi="Times New Roman" w:cs="Times New Roman"/>
          <w:b/>
          <w:sz w:val="24"/>
          <w:szCs w:val="24"/>
          <w:lang w:val="pt-BR"/>
        </w:rPr>
        <w:t xml:space="preserve">o e Regimes: Classificação </w:t>
      </w:r>
      <w:r w:rsidR="00413ABC">
        <w:rPr>
          <w:rFonts w:ascii="Times New Roman" w:hAnsi="Times New Roman" w:cs="Times New Roman"/>
          <w:b/>
          <w:sz w:val="24"/>
          <w:szCs w:val="24"/>
          <w:lang w:val="pt-BR"/>
        </w:rPr>
        <w:t>LYS</w:t>
      </w:r>
      <w:r>
        <w:rPr>
          <w:rFonts w:ascii="Times New Roman" w:hAnsi="Times New Roman" w:cs="Times New Roman"/>
          <w:b/>
          <w:sz w:val="24"/>
          <w:szCs w:val="24"/>
          <w:lang w:val="pt-BR"/>
        </w:rPr>
        <w:t>: Médias para 1970 a 2004</w:t>
      </w:r>
    </w:p>
    <w:p w:rsidR="00D904C9" w:rsidRDefault="00D904C9" w:rsidP="007E4941">
      <w:pPr>
        <w:tabs>
          <w:tab w:val="left" w:pos="720"/>
        </w:tabs>
        <w:spacing w:after="0" w:line="240" w:lineRule="auto"/>
        <w:ind w:firstLine="720"/>
        <w:jc w:val="center"/>
        <w:rPr>
          <w:rFonts w:ascii="Times New Roman" w:hAnsi="Times New Roman" w:cs="Times New Roman"/>
          <w:b/>
          <w:sz w:val="24"/>
          <w:szCs w:val="24"/>
          <w:lang w:val="pt-BR"/>
        </w:rPr>
      </w:pPr>
      <w:r>
        <w:rPr>
          <w:rFonts w:ascii="Times New Roman" w:hAnsi="Times New Roman" w:cs="Times New Roman"/>
          <w:b/>
          <w:noProof/>
          <w:sz w:val="24"/>
          <w:szCs w:val="24"/>
        </w:rPr>
        <w:drawing>
          <wp:inline distT="0" distB="0" distL="0" distR="0">
            <wp:extent cx="3466534" cy="2558789"/>
            <wp:effectExtent l="19050" t="0" r="566" b="0"/>
            <wp:docPr id="7" name="Imagem 1" descr="Gráfic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2.png"/>
                    <pic:cNvPicPr/>
                  </pic:nvPicPr>
                  <pic:blipFill>
                    <a:blip r:embed="rId10" cstate="print"/>
                    <a:stretch>
                      <a:fillRect/>
                    </a:stretch>
                  </pic:blipFill>
                  <pic:spPr>
                    <a:xfrm>
                      <a:off x="0" y="0"/>
                      <a:ext cx="3472382" cy="2563105"/>
                    </a:xfrm>
                    <a:prstGeom prst="rect">
                      <a:avLst/>
                    </a:prstGeom>
                  </pic:spPr>
                </pic:pic>
              </a:graphicData>
            </a:graphic>
          </wp:inline>
        </w:drawing>
      </w:r>
    </w:p>
    <w:p w:rsidR="00895B3E" w:rsidRDefault="00895B3E" w:rsidP="00120630">
      <w:pPr>
        <w:tabs>
          <w:tab w:val="left" w:pos="720"/>
        </w:tabs>
        <w:spacing w:after="0" w:line="240" w:lineRule="auto"/>
        <w:jc w:val="both"/>
        <w:rPr>
          <w:rFonts w:ascii="Times New Roman" w:hAnsi="Times New Roman" w:cs="Times New Roman"/>
          <w:b/>
          <w:sz w:val="24"/>
          <w:szCs w:val="24"/>
          <w:lang w:val="pt-BR"/>
        </w:rPr>
      </w:pPr>
    </w:p>
    <w:p w:rsidR="00040C7F" w:rsidRPr="005D361F" w:rsidRDefault="00895B3E" w:rsidP="00120630">
      <w:pPr>
        <w:tabs>
          <w:tab w:val="left" w:pos="720"/>
        </w:tabs>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5</w:t>
      </w:r>
      <w:r w:rsidR="005D361F">
        <w:rPr>
          <w:rFonts w:ascii="Times New Roman" w:hAnsi="Times New Roman" w:cs="Times New Roman"/>
          <w:b/>
          <w:sz w:val="24"/>
          <w:szCs w:val="24"/>
          <w:lang w:val="pt-BR"/>
        </w:rPr>
        <w:t xml:space="preserve">. </w:t>
      </w:r>
      <w:r w:rsidR="007B617B" w:rsidRPr="005D361F">
        <w:rPr>
          <w:rFonts w:ascii="Times New Roman" w:hAnsi="Times New Roman" w:cs="Times New Roman"/>
          <w:b/>
          <w:sz w:val="24"/>
          <w:szCs w:val="24"/>
          <w:lang w:val="pt-BR"/>
        </w:rPr>
        <w:t>Resultados</w:t>
      </w:r>
      <w:r w:rsidR="00413ABC" w:rsidRPr="005D361F">
        <w:rPr>
          <w:rFonts w:ascii="Times New Roman" w:hAnsi="Times New Roman" w:cs="Times New Roman"/>
          <w:b/>
          <w:sz w:val="24"/>
          <w:szCs w:val="24"/>
          <w:lang w:val="pt-BR"/>
        </w:rPr>
        <w:t xml:space="preserve"> Econométricos</w:t>
      </w:r>
    </w:p>
    <w:p w:rsidR="007B617B" w:rsidRPr="007B617B" w:rsidRDefault="007B617B" w:rsidP="007E4941">
      <w:pPr>
        <w:pStyle w:val="PargrafodaLista"/>
        <w:tabs>
          <w:tab w:val="left" w:pos="720"/>
        </w:tabs>
        <w:spacing w:after="0" w:line="240" w:lineRule="auto"/>
        <w:ind w:left="1080"/>
        <w:jc w:val="both"/>
        <w:rPr>
          <w:rFonts w:ascii="Times New Roman" w:hAnsi="Times New Roman" w:cs="Times New Roman"/>
          <w:b/>
          <w:sz w:val="24"/>
          <w:szCs w:val="24"/>
          <w:lang w:val="pt-BR"/>
        </w:rPr>
      </w:pPr>
    </w:p>
    <w:p w:rsidR="000C3E9A" w:rsidRDefault="00036775" w:rsidP="007E4941">
      <w:pPr>
        <w:tabs>
          <w:tab w:val="left" w:pos="720"/>
        </w:tabs>
        <w:spacing w:after="0" w:line="24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Um problema crucial de utilizar painéis para estudar séries temporais diz respeito a problemas de potencial endogeneidade ou simultaneidade de</w:t>
      </w:r>
      <w:r w:rsidR="005D361F">
        <w:rPr>
          <w:rFonts w:ascii="Times New Roman" w:hAnsi="Times New Roman" w:cs="Times New Roman"/>
          <w:sz w:val="24"/>
          <w:szCs w:val="24"/>
          <w:lang w:val="pt-BR"/>
        </w:rPr>
        <w:t xml:space="preserve"> determinação que</w:t>
      </w:r>
      <w:r>
        <w:rPr>
          <w:rFonts w:ascii="Times New Roman" w:hAnsi="Times New Roman" w:cs="Times New Roman"/>
          <w:sz w:val="24"/>
          <w:szCs w:val="24"/>
          <w:lang w:val="pt-BR"/>
        </w:rPr>
        <w:t xml:space="preserve"> viesam os estimadores OLS. Para contornar esse problema neste trabalho, diversas estratégias foram utilizadas. Primeiro, foram feitos vários testes com a metodologia </w:t>
      </w:r>
      <w:r w:rsidR="000C3E9A">
        <w:rPr>
          <w:rFonts w:ascii="Times New Roman" w:hAnsi="Times New Roman"/>
          <w:sz w:val="24"/>
          <w:szCs w:val="24"/>
          <w:lang w:val="pt-BR"/>
        </w:rPr>
        <w:t xml:space="preserve">de </w:t>
      </w:r>
      <w:r w:rsidR="000C3E9A" w:rsidRPr="000C3E9A">
        <w:rPr>
          <w:rFonts w:ascii="Times New Roman" w:eastAsia="Calibri" w:hAnsi="Times New Roman" w:cs="Times New Roman"/>
          <w:i/>
          <w:sz w:val="24"/>
          <w:szCs w:val="24"/>
          <w:lang w:val="pt-BR"/>
        </w:rPr>
        <w:t>Generalized Method of Moments</w:t>
      </w:r>
      <w:r w:rsidR="000C3E9A">
        <w:rPr>
          <w:rFonts w:ascii="Times New Roman" w:hAnsi="Times New Roman"/>
          <w:sz w:val="24"/>
          <w:szCs w:val="24"/>
          <w:lang w:val="pt-BR"/>
        </w:rPr>
        <w:t>, GMM)</w:t>
      </w:r>
      <w:r>
        <w:rPr>
          <w:rFonts w:ascii="Times New Roman" w:hAnsi="Times New Roman" w:cs="Times New Roman"/>
          <w:sz w:val="24"/>
          <w:szCs w:val="24"/>
          <w:lang w:val="pt-BR"/>
        </w:rPr>
        <w:t>. Diversas especificações testaram instrumentos e defasagens dos instrumentos alternativas, chegando a resultados similares.</w:t>
      </w:r>
      <w:r w:rsidR="000C3E9A">
        <w:rPr>
          <w:rFonts w:ascii="Times New Roman" w:hAnsi="Times New Roman" w:cs="Times New Roman"/>
          <w:sz w:val="24"/>
          <w:szCs w:val="24"/>
          <w:lang w:val="pt-BR"/>
        </w:rPr>
        <w:t xml:space="preserve"> </w:t>
      </w:r>
      <w:r w:rsidR="000C3E9A" w:rsidRPr="0099159B">
        <w:rPr>
          <w:rFonts w:ascii="Times New Roman" w:eastAsia="Calibri" w:hAnsi="Times New Roman" w:cs="Times New Roman"/>
          <w:sz w:val="24"/>
          <w:szCs w:val="24"/>
          <w:lang w:val="pt-BR"/>
        </w:rPr>
        <w:t>Esses estimadores lidam com efeitos temporais não observáveis por meio da inclusão de interceptos específicos ao período. Tratar destes efeitos não é simples. Por isso, o modelo é dinâmico e pode conter regressores endógenos, que são controlados pela ins</w:t>
      </w:r>
      <w:r w:rsidR="000C3E9A">
        <w:rPr>
          <w:rFonts w:ascii="Times New Roman" w:hAnsi="Times New Roman"/>
          <w:sz w:val="24"/>
          <w:szCs w:val="24"/>
          <w:lang w:val="pt-BR"/>
        </w:rPr>
        <w:t xml:space="preserve">trumentação das suas diferenças. </w:t>
      </w:r>
      <w:r w:rsidR="000C3E9A" w:rsidRPr="0099159B">
        <w:rPr>
          <w:rFonts w:ascii="Times New Roman" w:eastAsia="Calibri" w:hAnsi="Times New Roman" w:cs="Times New Roman"/>
          <w:sz w:val="24"/>
          <w:szCs w:val="24"/>
          <w:lang w:val="pt-BR"/>
        </w:rPr>
        <w:t>Trabalhando sobre os estimadores Difference-GMM de Arellano e Bover (1995), Blundell e Bond (1998) desenvolveram um estimador em sistema (System-GMM) que usa condições de momentos adicionais. Os estimadores de Arellano-Bond (1991) e Blundell-Bond (1</w:t>
      </w:r>
      <w:r w:rsidR="000C3E9A">
        <w:rPr>
          <w:rFonts w:ascii="Times New Roman" w:hAnsi="Times New Roman"/>
          <w:sz w:val="24"/>
          <w:szCs w:val="24"/>
          <w:lang w:val="pt-BR"/>
        </w:rPr>
        <w:t>998) foram considerados adequado</w:t>
      </w:r>
      <w:r w:rsidR="000C3E9A" w:rsidRPr="0099159B">
        <w:rPr>
          <w:rFonts w:ascii="Times New Roman" w:eastAsia="Calibri" w:hAnsi="Times New Roman" w:cs="Times New Roman"/>
          <w:sz w:val="24"/>
          <w:szCs w:val="24"/>
          <w:lang w:val="pt-BR"/>
        </w:rPr>
        <w:t xml:space="preserve">s </w:t>
      </w:r>
      <w:r w:rsidR="000C3E9A" w:rsidRPr="0099159B">
        <w:rPr>
          <w:rFonts w:ascii="Times New Roman" w:eastAsia="Calibri" w:hAnsi="Times New Roman" w:cs="Times New Roman"/>
          <w:sz w:val="24"/>
          <w:szCs w:val="24"/>
          <w:lang w:val="pt-BR"/>
        </w:rPr>
        <w:lastRenderedPageBreak/>
        <w:t xml:space="preserve">para a análise deste trabalho, por permitirem uma especificação dinâmica (permitindo a </w:t>
      </w:r>
      <w:r w:rsidR="000C3E9A">
        <w:rPr>
          <w:rFonts w:ascii="Times New Roman" w:hAnsi="Times New Roman"/>
          <w:sz w:val="24"/>
          <w:szCs w:val="24"/>
          <w:lang w:val="pt-BR"/>
        </w:rPr>
        <w:t>controlar o processo auto-regressivo de primeira ordem da variável dependente ao incluí-la defasada como regressor na equação</w:t>
      </w:r>
      <w:r w:rsidR="000C3E9A" w:rsidRPr="0099159B">
        <w:rPr>
          <w:rFonts w:ascii="Times New Roman" w:eastAsia="Calibri" w:hAnsi="Times New Roman" w:cs="Times New Roman"/>
          <w:sz w:val="24"/>
          <w:szCs w:val="24"/>
          <w:lang w:val="pt-BR"/>
        </w:rPr>
        <w:t>), e por instrumentalizarem adequadamente vari</w:t>
      </w:r>
      <w:r w:rsidR="000C3E9A">
        <w:rPr>
          <w:rFonts w:ascii="Times New Roman" w:hAnsi="Times New Roman"/>
          <w:sz w:val="24"/>
          <w:szCs w:val="24"/>
          <w:lang w:val="pt-BR"/>
        </w:rPr>
        <w:t>áveis potencialmente endógenas</w:t>
      </w:r>
      <w:r w:rsidR="00725358">
        <w:rPr>
          <w:rStyle w:val="Refdenotaderodap"/>
          <w:rFonts w:ascii="Times New Roman" w:hAnsi="Times New Roman"/>
          <w:sz w:val="24"/>
          <w:szCs w:val="24"/>
          <w:lang w:val="pt-BR"/>
        </w:rPr>
        <w:footnoteReference w:id="10"/>
      </w:r>
      <w:r w:rsidR="000C3E9A">
        <w:rPr>
          <w:rFonts w:ascii="Times New Roman" w:hAnsi="Times New Roman"/>
          <w:sz w:val="24"/>
          <w:szCs w:val="24"/>
          <w:lang w:val="pt-BR"/>
        </w:rPr>
        <w:t>.</w:t>
      </w:r>
    </w:p>
    <w:p w:rsidR="001D4F52" w:rsidRDefault="00036775" w:rsidP="007E4941">
      <w:pPr>
        <w:tabs>
          <w:tab w:val="left" w:pos="720"/>
        </w:tabs>
        <w:spacing w:after="0" w:line="24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000C3E9A">
        <w:rPr>
          <w:rFonts w:ascii="Times New Roman" w:hAnsi="Times New Roman" w:cs="Times New Roman"/>
          <w:sz w:val="24"/>
          <w:szCs w:val="24"/>
          <w:lang w:val="pt-BR"/>
        </w:rPr>
        <w:t>ssim, a</w:t>
      </w:r>
      <w:r>
        <w:rPr>
          <w:rFonts w:ascii="Times New Roman" w:hAnsi="Times New Roman" w:cs="Times New Roman"/>
          <w:sz w:val="24"/>
          <w:szCs w:val="24"/>
          <w:lang w:val="pt-BR"/>
        </w:rPr>
        <w:t xml:space="preserve"> metodolo</w:t>
      </w:r>
      <w:r w:rsidR="000F3B76">
        <w:rPr>
          <w:rFonts w:ascii="Times New Roman" w:hAnsi="Times New Roman" w:cs="Times New Roman"/>
          <w:sz w:val="24"/>
          <w:szCs w:val="24"/>
          <w:lang w:val="pt-BR"/>
        </w:rPr>
        <w:t>gia de painel dinâmico utiliza</w:t>
      </w:r>
      <w:r>
        <w:rPr>
          <w:rFonts w:ascii="Times New Roman" w:hAnsi="Times New Roman" w:cs="Times New Roman"/>
          <w:sz w:val="24"/>
          <w:szCs w:val="24"/>
          <w:lang w:val="pt-BR"/>
        </w:rPr>
        <w:t xml:space="preserve"> estimadores de sistema GMM controla a potencial endogeneidade de todas as variáveis explicativas, embora seja verdade que os procedimentos de estimação </w:t>
      </w:r>
      <w:r w:rsidR="00264162">
        <w:rPr>
          <w:rFonts w:ascii="Times New Roman" w:hAnsi="Times New Roman" w:cs="Times New Roman"/>
          <w:sz w:val="24"/>
          <w:szCs w:val="24"/>
          <w:lang w:val="pt-BR"/>
        </w:rPr>
        <w:t>são</w:t>
      </w:r>
      <w:r>
        <w:rPr>
          <w:rFonts w:ascii="Times New Roman" w:hAnsi="Times New Roman" w:cs="Times New Roman"/>
          <w:sz w:val="24"/>
          <w:szCs w:val="24"/>
          <w:lang w:val="pt-BR"/>
        </w:rPr>
        <w:t xml:space="preserve"> </w:t>
      </w:r>
      <w:r w:rsidR="00264162">
        <w:rPr>
          <w:rFonts w:ascii="Times New Roman" w:hAnsi="Times New Roman" w:cs="Times New Roman"/>
          <w:sz w:val="24"/>
          <w:szCs w:val="24"/>
          <w:lang w:val="pt-BR"/>
        </w:rPr>
        <w:t>válidos</w:t>
      </w:r>
      <w:r>
        <w:rPr>
          <w:rFonts w:ascii="Times New Roman" w:hAnsi="Times New Roman" w:cs="Times New Roman"/>
          <w:sz w:val="24"/>
          <w:szCs w:val="24"/>
          <w:lang w:val="pt-BR"/>
        </w:rPr>
        <w:t xml:space="preserve"> somente sob a hipótese de exogeneidade fraca das variáveis explicativas</w:t>
      </w:r>
      <w:r w:rsidR="001D4F52">
        <w:rPr>
          <w:rStyle w:val="Refdenotaderodap"/>
          <w:rFonts w:ascii="Times New Roman" w:hAnsi="Times New Roman" w:cs="Times New Roman"/>
          <w:sz w:val="24"/>
          <w:szCs w:val="24"/>
          <w:lang w:val="pt-BR"/>
        </w:rPr>
        <w:footnoteReference w:id="11"/>
      </w:r>
      <w:r w:rsidR="001D4F52">
        <w:rPr>
          <w:rFonts w:ascii="Times New Roman" w:hAnsi="Times New Roman" w:cs="Times New Roman"/>
          <w:sz w:val="24"/>
          <w:szCs w:val="24"/>
          <w:lang w:val="pt-BR"/>
        </w:rPr>
        <w:t>.</w:t>
      </w:r>
    </w:p>
    <w:p w:rsidR="0001505D" w:rsidRDefault="005D361F" w:rsidP="007E4941">
      <w:pPr>
        <w:tabs>
          <w:tab w:val="left" w:pos="720"/>
        </w:tabs>
        <w:spacing w:after="0" w:line="24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R</w:t>
      </w:r>
      <w:r w:rsidR="0001505D">
        <w:rPr>
          <w:rFonts w:ascii="Times New Roman" w:hAnsi="Times New Roman" w:cs="Times New Roman"/>
          <w:sz w:val="24"/>
          <w:szCs w:val="24"/>
          <w:lang w:val="pt-BR"/>
        </w:rPr>
        <w:t>egimes cambiais e, talvez mais do que essas variáveis, os índices de abertura do controle de capitais, são variáveis endógenas que merecem maiores qualificações. Nesse trabalho, além de usar como instrumento as defasagens das diferenças e nível das variáveis predeterminadas incluídas como predeterminad</w:t>
      </w:r>
      <w:r w:rsidR="00312A27">
        <w:rPr>
          <w:rFonts w:ascii="Times New Roman" w:hAnsi="Times New Roman" w:cs="Times New Roman"/>
          <w:sz w:val="24"/>
          <w:szCs w:val="24"/>
          <w:lang w:val="pt-BR"/>
        </w:rPr>
        <w:t>as</w:t>
      </w:r>
      <w:r w:rsidR="0001505D">
        <w:rPr>
          <w:rFonts w:ascii="Times New Roman" w:hAnsi="Times New Roman" w:cs="Times New Roman"/>
          <w:sz w:val="24"/>
          <w:szCs w:val="24"/>
          <w:lang w:val="pt-BR"/>
        </w:rPr>
        <w:t>, incluímos variáveis de instrumento adicionais</w:t>
      </w:r>
      <w:r w:rsidR="00312A27">
        <w:rPr>
          <w:rFonts w:ascii="Times New Roman" w:hAnsi="Times New Roman" w:cs="Times New Roman"/>
          <w:sz w:val="24"/>
          <w:szCs w:val="24"/>
          <w:lang w:val="pt-BR"/>
        </w:rPr>
        <w:t xml:space="preserve"> como exógenas utilizando “Peso do Governo” e “</w:t>
      </w:r>
      <w:r w:rsidR="001D4F52">
        <w:rPr>
          <w:rFonts w:ascii="Times New Roman" w:hAnsi="Times New Roman" w:cs="Times New Roman"/>
          <w:sz w:val="24"/>
          <w:szCs w:val="24"/>
          <w:lang w:val="pt-BR"/>
        </w:rPr>
        <w:t xml:space="preserve">Reservas </w:t>
      </w:r>
      <w:r w:rsidR="003073D4">
        <w:rPr>
          <w:rFonts w:ascii="Times New Roman" w:hAnsi="Times New Roman" w:cs="Times New Roman"/>
          <w:sz w:val="24"/>
          <w:szCs w:val="24"/>
          <w:lang w:val="pt-BR"/>
        </w:rPr>
        <w:t>em Ouro</w:t>
      </w:r>
      <w:r w:rsidR="00312A27">
        <w:rPr>
          <w:rFonts w:ascii="Times New Roman" w:hAnsi="Times New Roman" w:cs="Times New Roman"/>
          <w:sz w:val="24"/>
          <w:szCs w:val="24"/>
          <w:lang w:val="pt-BR"/>
        </w:rPr>
        <w:t>”. A idéia subjacente à utilização desses instrumentos é de que essas variáveis potencialmente explicam desalinhamento, sem serem substancialmente explicadas por desalinhamento, constituindo assim bons instrumentos. Com relação à</w:t>
      </w:r>
      <w:r>
        <w:rPr>
          <w:rFonts w:ascii="Times New Roman" w:hAnsi="Times New Roman" w:cs="Times New Roman"/>
          <w:sz w:val="24"/>
          <w:szCs w:val="24"/>
          <w:lang w:val="pt-BR"/>
        </w:rPr>
        <w:t xml:space="preserve"> utilização de “Peso do Governo”</w:t>
      </w:r>
      <w:r w:rsidR="00312A27">
        <w:rPr>
          <w:rFonts w:ascii="Times New Roman" w:hAnsi="Times New Roman" w:cs="Times New Roman"/>
          <w:sz w:val="24"/>
          <w:szCs w:val="24"/>
          <w:lang w:val="pt-BR"/>
        </w:rPr>
        <w:t>, a idéia é fundamentalmente relacionada com</w:t>
      </w:r>
      <w:r>
        <w:rPr>
          <w:rFonts w:ascii="Times New Roman" w:hAnsi="Times New Roman" w:cs="Times New Roman"/>
          <w:sz w:val="24"/>
          <w:szCs w:val="24"/>
          <w:lang w:val="pt-BR"/>
        </w:rPr>
        <w:t xml:space="preserve"> o referencial teórico de</w:t>
      </w:r>
      <w:r w:rsidR="00312A27">
        <w:rPr>
          <w:rFonts w:ascii="Times New Roman" w:hAnsi="Times New Roman" w:cs="Times New Roman"/>
          <w:sz w:val="24"/>
          <w:szCs w:val="24"/>
          <w:lang w:val="pt-BR"/>
        </w:rPr>
        <w:t xml:space="preserve"> desalinhamento causado por gerenciamento ou interferência inadequada das políticas macroeconômicas, na linha da argumentação teórica de Edwards (1988).</w:t>
      </w:r>
      <w:r w:rsidR="005F74F0">
        <w:rPr>
          <w:rFonts w:ascii="Times New Roman" w:hAnsi="Times New Roman" w:cs="Times New Roman"/>
          <w:sz w:val="24"/>
          <w:szCs w:val="24"/>
          <w:lang w:val="pt-BR"/>
        </w:rPr>
        <w:t xml:space="preserve"> Nesse caso, aqueles países com governos que tem grande participação dos gastos potencialmente tem maior probabilidade de </w:t>
      </w:r>
      <w:r w:rsidR="00D6002E">
        <w:rPr>
          <w:rFonts w:ascii="Times New Roman" w:hAnsi="Times New Roman" w:cs="Times New Roman"/>
          <w:sz w:val="24"/>
          <w:szCs w:val="24"/>
          <w:lang w:val="pt-BR"/>
        </w:rPr>
        <w:t>ter o câmbio desalinhado por políticas macroeconômicas incompatíveis com o regime cambial em voga do que países com pequena participação do Estado na Economia. Por sua vez, a variável de “</w:t>
      </w:r>
      <w:r w:rsidR="003073D4">
        <w:rPr>
          <w:rFonts w:ascii="Times New Roman" w:hAnsi="Times New Roman" w:cs="Times New Roman"/>
          <w:sz w:val="24"/>
          <w:szCs w:val="24"/>
          <w:lang w:val="pt-BR"/>
        </w:rPr>
        <w:t>Reservas em Ouro</w:t>
      </w:r>
      <w:r w:rsidR="00D6002E">
        <w:rPr>
          <w:rFonts w:ascii="Times New Roman" w:hAnsi="Times New Roman" w:cs="Times New Roman"/>
          <w:sz w:val="24"/>
          <w:szCs w:val="24"/>
          <w:lang w:val="pt-BR"/>
        </w:rPr>
        <w:t xml:space="preserve">” seria uma </w:t>
      </w:r>
      <w:r w:rsidR="00D6002E">
        <w:rPr>
          <w:rFonts w:ascii="Times New Roman" w:hAnsi="Times New Roman" w:cs="Times New Roman"/>
          <w:i/>
          <w:sz w:val="24"/>
          <w:szCs w:val="24"/>
          <w:lang w:val="pt-BR"/>
        </w:rPr>
        <w:t>proxy</w:t>
      </w:r>
      <w:r w:rsidR="00D6002E">
        <w:rPr>
          <w:rFonts w:ascii="Times New Roman" w:hAnsi="Times New Roman" w:cs="Times New Roman"/>
          <w:sz w:val="24"/>
          <w:szCs w:val="24"/>
          <w:lang w:val="pt-BR"/>
        </w:rPr>
        <w:t xml:space="preserve"> da capacidade do país de ter interferir no câmbio</w:t>
      </w:r>
      <w:r w:rsidR="003073D4">
        <w:rPr>
          <w:rFonts w:ascii="Times New Roman" w:hAnsi="Times New Roman" w:cs="Times New Roman"/>
          <w:sz w:val="24"/>
          <w:szCs w:val="24"/>
          <w:lang w:val="pt-BR"/>
        </w:rPr>
        <w:t xml:space="preserve"> e causar persistentes inconsistências entre a taxa de câmbio real e a nominal, por exemplo, na busca de âncoras nominais para perseguir metas de inflação ou de outros agregados monetários</w:t>
      </w:r>
      <w:r w:rsidR="00D6002E">
        <w:rPr>
          <w:rFonts w:ascii="Times New Roman" w:hAnsi="Times New Roman" w:cs="Times New Roman"/>
          <w:sz w:val="24"/>
          <w:szCs w:val="24"/>
          <w:lang w:val="pt-BR"/>
        </w:rPr>
        <w:t xml:space="preserve">. A inclusão dos instrumentos melhorou a </w:t>
      </w:r>
      <w:r w:rsidR="00264162">
        <w:rPr>
          <w:rFonts w:ascii="Times New Roman" w:hAnsi="Times New Roman" w:cs="Times New Roman"/>
          <w:sz w:val="24"/>
          <w:szCs w:val="24"/>
          <w:lang w:val="pt-BR"/>
        </w:rPr>
        <w:t>desempenho</w:t>
      </w:r>
      <w:r w:rsidR="00D6002E">
        <w:rPr>
          <w:rFonts w:ascii="Times New Roman" w:hAnsi="Times New Roman" w:cs="Times New Roman"/>
          <w:sz w:val="24"/>
          <w:szCs w:val="24"/>
          <w:lang w:val="pt-BR"/>
        </w:rPr>
        <w:t xml:space="preserve"> das </w:t>
      </w:r>
      <w:r w:rsidR="003073D4">
        <w:rPr>
          <w:rFonts w:ascii="Times New Roman" w:hAnsi="Times New Roman" w:cs="Times New Roman"/>
          <w:sz w:val="24"/>
          <w:szCs w:val="24"/>
          <w:lang w:val="pt-BR"/>
        </w:rPr>
        <w:t>estimações e dos testes Sargan.</w:t>
      </w:r>
    </w:p>
    <w:p w:rsidR="00040C7F" w:rsidRDefault="00D6002E" w:rsidP="007E4941">
      <w:pPr>
        <w:tabs>
          <w:tab w:val="left" w:pos="720"/>
        </w:tabs>
        <w:spacing w:after="0" w:line="24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Além das estratégias com os instrumentos, o conjunto de estimações das Tabelas 1 a 6 oferecem um teste de robustez dos resultados utilizando indicadores que têm metodologias diferentes de concepção. Os resultados principais alinham-se e permanecem significantes na sua maioria, seja utilizando-se os índices de abertura da conta de </w:t>
      </w:r>
      <w:r w:rsidR="00264162">
        <w:rPr>
          <w:rFonts w:ascii="Times New Roman" w:hAnsi="Times New Roman" w:cs="Times New Roman"/>
          <w:sz w:val="24"/>
          <w:szCs w:val="24"/>
          <w:lang w:val="pt-BR"/>
        </w:rPr>
        <w:t>capital de Edwards ou Chinn e I</w:t>
      </w:r>
      <w:r>
        <w:rPr>
          <w:rFonts w:ascii="Times New Roman" w:hAnsi="Times New Roman" w:cs="Times New Roman"/>
          <w:sz w:val="24"/>
          <w:szCs w:val="24"/>
          <w:lang w:val="pt-BR"/>
        </w:rPr>
        <w:t xml:space="preserve">to, seja utilizando-se a classificação de regimes cambiais </w:t>
      </w:r>
      <w:r>
        <w:rPr>
          <w:rFonts w:ascii="Times New Roman" w:hAnsi="Times New Roman" w:cs="Times New Roman"/>
          <w:i/>
          <w:sz w:val="24"/>
          <w:szCs w:val="24"/>
          <w:lang w:val="pt-BR"/>
        </w:rPr>
        <w:t>de facto</w:t>
      </w:r>
      <w:r>
        <w:rPr>
          <w:rFonts w:ascii="Times New Roman" w:hAnsi="Times New Roman" w:cs="Times New Roman"/>
          <w:sz w:val="24"/>
          <w:szCs w:val="24"/>
          <w:lang w:val="pt-BR"/>
        </w:rPr>
        <w:t xml:space="preserve"> </w:t>
      </w:r>
      <w:r w:rsidR="000C3E9A">
        <w:rPr>
          <w:rFonts w:ascii="Times New Roman" w:hAnsi="Times New Roman" w:cs="Times New Roman"/>
          <w:sz w:val="24"/>
          <w:szCs w:val="24"/>
          <w:lang w:val="pt-BR"/>
        </w:rPr>
        <w:t>RR ou LYS</w:t>
      </w:r>
      <w:r>
        <w:rPr>
          <w:rFonts w:ascii="Times New Roman" w:hAnsi="Times New Roman" w:cs="Times New Roman"/>
          <w:sz w:val="24"/>
          <w:szCs w:val="24"/>
          <w:lang w:val="pt-BR"/>
        </w:rPr>
        <w:t xml:space="preserve">. Várias combinações foram testadas e alguns testes de interação são obtidos na Tabela 6. </w:t>
      </w:r>
    </w:p>
    <w:p w:rsidR="00CF2103" w:rsidRDefault="00CF2103" w:rsidP="008D566B">
      <w:pPr>
        <w:tabs>
          <w:tab w:val="left" w:pos="720"/>
        </w:tabs>
        <w:spacing w:after="0" w:line="24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As dive</w:t>
      </w:r>
      <w:r w:rsidR="003E38AD">
        <w:rPr>
          <w:rFonts w:ascii="Times New Roman" w:hAnsi="Times New Roman" w:cs="Times New Roman"/>
          <w:sz w:val="24"/>
          <w:szCs w:val="24"/>
          <w:lang w:val="pt-BR"/>
        </w:rPr>
        <w:t>rsas especificações mostram que a</w:t>
      </w:r>
      <w:r>
        <w:rPr>
          <w:rFonts w:ascii="Times New Roman" w:hAnsi="Times New Roman" w:cs="Times New Roman"/>
          <w:sz w:val="24"/>
          <w:szCs w:val="24"/>
          <w:lang w:val="pt-BR"/>
        </w:rPr>
        <w:t xml:space="preserve"> abertura da conta de capital tende a gerar sobrevalorizações</w:t>
      </w:r>
      <w:r w:rsidR="00AB0277">
        <w:rPr>
          <w:rFonts w:ascii="Times New Roman" w:hAnsi="Times New Roman" w:cs="Times New Roman"/>
          <w:sz w:val="24"/>
          <w:szCs w:val="24"/>
          <w:lang w:val="pt-BR"/>
        </w:rPr>
        <w:t>, seja utilizando-se o índice KAOPEN ou o de Sebastian Edwards</w:t>
      </w:r>
      <w:r w:rsidR="003E38AD">
        <w:rPr>
          <w:rFonts w:ascii="Times New Roman" w:hAnsi="Times New Roman" w:cs="Times New Roman"/>
          <w:sz w:val="24"/>
          <w:szCs w:val="24"/>
          <w:lang w:val="pt-BR"/>
        </w:rPr>
        <w:t>. O livre acesso ao fluxo de capitais internacionais podem gerar dinâmicas que afastem a TCR dos fundamentos e a tornem mais suscetíveis às reações rápidas de decisões de portfólios dos investidores estrangeiros: talvez esse seja o veículo de apreciação que advenha da maior abertura aos capitais internacionais.</w:t>
      </w:r>
      <w:r w:rsidR="006E2652">
        <w:rPr>
          <w:rFonts w:ascii="Times New Roman" w:hAnsi="Times New Roman" w:cs="Times New Roman"/>
          <w:sz w:val="24"/>
          <w:szCs w:val="24"/>
          <w:lang w:val="pt-BR"/>
        </w:rPr>
        <w:t xml:space="preserve"> </w:t>
      </w:r>
      <w:r w:rsidR="00AB0277">
        <w:rPr>
          <w:rFonts w:ascii="Times New Roman" w:hAnsi="Times New Roman" w:cs="Times New Roman"/>
          <w:sz w:val="24"/>
          <w:szCs w:val="24"/>
          <w:lang w:val="pt-BR"/>
        </w:rPr>
        <w:t>A poupança doméstica não tem relação com desalinhamentos</w:t>
      </w:r>
      <w:r w:rsidR="006E2652">
        <w:rPr>
          <w:rFonts w:ascii="Times New Roman" w:hAnsi="Times New Roman" w:cs="Times New Roman"/>
          <w:sz w:val="24"/>
          <w:szCs w:val="24"/>
          <w:lang w:val="pt-BR"/>
        </w:rPr>
        <w:t>, ou pelo menos a relação não pode ser robustamente estabelecida com a amostra deste trabalho.</w:t>
      </w:r>
      <w:r w:rsidR="008D566B">
        <w:rPr>
          <w:rFonts w:ascii="Times New Roman" w:hAnsi="Times New Roman" w:cs="Times New Roman"/>
          <w:sz w:val="24"/>
          <w:szCs w:val="24"/>
          <w:lang w:val="pt-BR"/>
        </w:rPr>
        <w:t xml:space="preserve"> </w:t>
      </w:r>
      <w:r w:rsidR="008D566B" w:rsidRPr="008D566B">
        <w:rPr>
          <w:rFonts w:ascii="Times New Roman" w:hAnsi="Times New Roman" w:cs="Times New Roman"/>
          <w:sz w:val="24"/>
          <w:szCs w:val="24"/>
          <w:lang w:val="pt-BR"/>
        </w:rPr>
        <w:t>A inflação destaca-se na maioria das especificações como um fator positivo e significante em correlação com sobre-apreciação cambial</w:t>
      </w:r>
      <w:r w:rsidR="008D566B">
        <w:rPr>
          <w:rFonts w:ascii="Times New Roman" w:hAnsi="Times New Roman" w:cs="Times New Roman"/>
          <w:sz w:val="24"/>
          <w:szCs w:val="24"/>
          <w:lang w:val="pt-BR"/>
        </w:rPr>
        <w:t xml:space="preserve"> – fato que apenas comprova o que a literatura especializada já tem como cristalizado.</w:t>
      </w:r>
    </w:p>
    <w:p w:rsidR="00AB0277" w:rsidRPr="00AB0277" w:rsidRDefault="006E2652" w:rsidP="008D566B">
      <w:pPr>
        <w:tabs>
          <w:tab w:val="left" w:pos="720"/>
        </w:tabs>
        <w:spacing w:after="0" w:line="240" w:lineRule="auto"/>
        <w:ind w:firstLine="720"/>
        <w:jc w:val="both"/>
        <w:rPr>
          <w:rFonts w:ascii="Times New Roman" w:hAnsi="Times New Roman" w:cs="Times New Roman"/>
          <w:b/>
          <w:sz w:val="24"/>
          <w:szCs w:val="24"/>
          <w:lang w:val="pt-BR"/>
        </w:rPr>
      </w:pPr>
      <w:r>
        <w:rPr>
          <w:rFonts w:ascii="Times New Roman" w:hAnsi="Times New Roman" w:cs="Times New Roman"/>
          <w:sz w:val="24"/>
          <w:szCs w:val="24"/>
          <w:lang w:val="pt-BR"/>
        </w:rPr>
        <w:t>No que concerne às variáveis de interesse do trabalho – os regimes cambiais e sua relação com câmbio, as diversas especificações e testes com bases diferentes parecem convergir em resultados interessantes.</w:t>
      </w:r>
      <w:r w:rsidR="008D566B">
        <w:rPr>
          <w:rFonts w:ascii="Times New Roman" w:hAnsi="Times New Roman" w:cs="Times New Roman"/>
          <w:sz w:val="24"/>
          <w:szCs w:val="24"/>
          <w:lang w:val="pt-BR"/>
        </w:rPr>
        <w:t xml:space="preserve"> No caso dos regimes de c</w:t>
      </w:r>
      <w:r w:rsidR="00AB0277">
        <w:rPr>
          <w:rFonts w:ascii="Times New Roman" w:hAnsi="Times New Roman" w:cs="Times New Roman"/>
          <w:sz w:val="24"/>
          <w:szCs w:val="24"/>
          <w:lang w:val="pt-BR"/>
        </w:rPr>
        <w:t>âmbio fixo</w:t>
      </w:r>
      <w:r w:rsidR="008D566B">
        <w:rPr>
          <w:rFonts w:ascii="Times New Roman" w:hAnsi="Times New Roman" w:cs="Times New Roman"/>
          <w:sz w:val="24"/>
          <w:szCs w:val="24"/>
          <w:lang w:val="pt-BR"/>
        </w:rPr>
        <w:t>, é apresentada</w:t>
      </w:r>
      <w:r w:rsidR="00AB0277">
        <w:rPr>
          <w:rFonts w:ascii="Times New Roman" w:hAnsi="Times New Roman" w:cs="Times New Roman"/>
          <w:sz w:val="24"/>
          <w:szCs w:val="24"/>
          <w:lang w:val="pt-BR"/>
        </w:rPr>
        <w:t xml:space="preserve"> uma relação </w:t>
      </w:r>
      <w:r w:rsidR="00264162">
        <w:rPr>
          <w:rFonts w:ascii="Times New Roman" w:hAnsi="Times New Roman" w:cs="Times New Roman"/>
          <w:sz w:val="24"/>
          <w:szCs w:val="24"/>
          <w:lang w:val="pt-BR"/>
        </w:rPr>
        <w:t>robusta e positiva com sobreval</w:t>
      </w:r>
      <w:r w:rsidR="00AB0277">
        <w:rPr>
          <w:rFonts w:ascii="Times New Roman" w:hAnsi="Times New Roman" w:cs="Times New Roman"/>
          <w:sz w:val="24"/>
          <w:szCs w:val="24"/>
          <w:lang w:val="pt-BR"/>
        </w:rPr>
        <w:t xml:space="preserve">orizações, como apontado em quase todas as especificações, seja com classificações </w:t>
      </w:r>
      <w:r w:rsidR="00AB0277">
        <w:rPr>
          <w:rFonts w:ascii="Times New Roman" w:hAnsi="Times New Roman" w:cs="Times New Roman"/>
          <w:i/>
          <w:sz w:val="24"/>
          <w:szCs w:val="24"/>
          <w:lang w:val="pt-BR"/>
        </w:rPr>
        <w:t>de facto</w:t>
      </w:r>
      <w:r w:rsidR="008D566B">
        <w:rPr>
          <w:rFonts w:ascii="Times New Roman" w:hAnsi="Times New Roman" w:cs="Times New Roman"/>
          <w:i/>
          <w:sz w:val="24"/>
          <w:szCs w:val="24"/>
          <w:lang w:val="pt-BR"/>
        </w:rPr>
        <w:t xml:space="preserve"> </w:t>
      </w:r>
      <w:r w:rsidR="008D566B">
        <w:rPr>
          <w:rFonts w:ascii="Times New Roman" w:hAnsi="Times New Roman" w:cs="Times New Roman"/>
          <w:sz w:val="24"/>
          <w:szCs w:val="24"/>
          <w:lang w:val="pt-BR"/>
        </w:rPr>
        <w:t>cambiais</w:t>
      </w:r>
      <w:r w:rsidR="00AB0277">
        <w:rPr>
          <w:rFonts w:ascii="Times New Roman" w:hAnsi="Times New Roman" w:cs="Times New Roman"/>
          <w:sz w:val="24"/>
          <w:szCs w:val="24"/>
          <w:lang w:val="pt-BR"/>
        </w:rPr>
        <w:t xml:space="preserve"> RR ou LYS</w:t>
      </w:r>
      <w:r w:rsidR="008D566B">
        <w:rPr>
          <w:rFonts w:ascii="Times New Roman" w:hAnsi="Times New Roman" w:cs="Times New Roman"/>
          <w:sz w:val="24"/>
          <w:szCs w:val="24"/>
          <w:lang w:val="pt-BR"/>
        </w:rPr>
        <w:t xml:space="preserve">, seja com classificações de abertura da conta de capitais de Edwards ou a </w:t>
      </w:r>
      <w:r w:rsidR="008D566B" w:rsidRPr="008D566B">
        <w:rPr>
          <w:rFonts w:ascii="Times New Roman" w:hAnsi="Times New Roman" w:cs="Times New Roman"/>
          <w:i/>
          <w:sz w:val="24"/>
          <w:szCs w:val="24"/>
          <w:lang w:val="pt-BR"/>
        </w:rPr>
        <w:t>KAOPEN</w:t>
      </w:r>
      <w:r w:rsidR="00AB0277">
        <w:rPr>
          <w:rFonts w:ascii="Times New Roman" w:hAnsi="Times New Roman" w:cs="Times New Roman"/>
          <w:sz w:val="24"/>
          <w:szCs w:val="24"/>
          <w:lang w:val="pt-BR"/>
        </w:rPr>
        <w:t>. Ou seja, a escolha do regime cambial importa, quando se pensa em desalinhamento cambial.</w:t>
      </w:r>
      <w:r w:rsidR="008D566B">
        <w:rPr>
          <w:rFonts w:ascii="Times New Roman" w:hAnsi="Times New Roman" w:cs="Times New Roman"/>
          <w:sz w:val="24"/>
          <w:szCs w:val="24"/>
          <w:lang w:val="pt-BR"/>
        </w:rPr>
        <w:t xml:space="preserve"> Com relação a regimes flutuantes, quase a totalidade das especificações mostram que ele atua em sentido contrário às sobrevalorizações cambiais.</w:t>
      </w:r>
    </w:p>
    <w:p w:rsidR="008D566B" w:rsidRDefault="008D566B" w:rsidP="008D566B">
      <w:pPr>
        <w:tabs>
          <w:tab w:val="left" w:pos="720"/>
        </w:tabs>
        <w:spacing w:after="0" w:line="240" w:lineRule="auto"/>
        <w:rPr>
          <w:rFonts w:ascii="Times New Roman" w:hAnsi="Times New Roman"/>
          <w:sz w:val="24"/>
          <w:szCs w:val="24"/>
          <w:lang w:val="pt-BR"/>
        </w:rPr>
      </w:pPr>
    </w:p>
    <w:p w:rsidR="008D566B" w:rsidRDefault="00895B3E" w:rsidP="008D566B">
      <w:pPr>
        <w:tabs>
          <w:tab w:val="left" w:pos="720"/>
        </w:tabs>
        <w:spacing w:after="0" w:line="240" w:lineRule="auto"/>
        <w:rPr>
          <w:rFonts w:ascii="Times New Roman" w:hAnsi="Times New Roman" w:cs="Times New Roman"/>
          <w:b/>
          <w:sz w:val="24"/>
          <w:szCs w:val="24"/>
          <w:lang w:val="pt-BR"/>
        </w:rPr>
      </w:pPr>
      <w:r>
        <w:rPr>
          <w:rFonts w:ascii="Times New Roman" w:hAnsi="Times New Roman" w:cs="Times New Roman"/>
          <w:b/>
          <w:sz w:val="24"/>
          <w:szCs w:val="24"/>
          <w:lang w:val="pt-BR"/>
        </w:rPr>
        <w:t>6</w:t>
      </w:r>
      <w:r w:rsidR="008D566B">
        <w:rPr>
          <w:rFonts w:ascii="Times New Roman" w:hAnsi="Times New Roman" w:cs="Times New Roman"/>
          <w:b/>
          <w:sz w:val="24"/>
          <w:szCs w:val="24"/>
          <w:lang w:val="pt-BR"/>
        </w:rPr>
        <w:t xml:space="preserve">. </w:t>
      </w:r>
      <w:r w:rsidR="008D566B" w:rsidRPr="008D566B">
        <w:rPr>
          <w:rFonts w:ascii="Times New Roman" w:hAnsi="Times New Roman" w:cs="Times New Roman"/>
          <w:b/>
          <w:sz w:val="24"/>
          <w:szCs w:val="24"/>
          <w:lang w:val="pt-BR"/>
        </w:rPr>
        <w:t>Comentários Conclusivos</w:t>
      </w:r>
    </w:p>
    <w:p w:rsidR="003302D8" w:rsidRDefault="003302D8" w:rsidP="008D566B">
      <w:pPr>
        <w:tabs>
          <w:tab w:val="left" w:pos="720"/>
        </w:tabs>
        <w:spacing w:after="0" w:line="240" w:lineRule="auto"/>
        <w:rPr>
          <w:rFonts w:ascii="Times New Roman" w:hAnsi="Times New Roman" w:cs="Times New Roman"/>
          <w:b/>
          <w:sz w:val="24"/>
          <w:szCs w:val="24"/>
          <w:lang w:val="pt-BR"/>
        </w:rPr>
      </w:pPr>
    </w:p>
    <w:p w:rsidR="003302D8" w:rsidRDefault="003302D8" w:rsidP="003302D8">
      <w:pPr>
        <w:tabs>
          <w:tab w:val="left" w:pos="720"/>
        </w:tabs>
        <w:spacing w:after="0" w:line="240" w:lineRule="auto"/>
        <w:ind w:firstLine="720"/>
        <w:jc w:val="both"/>
        <w:rPr>
          <w:rFonts w:ascii="Times New Roman" w:hAnsi="Times New Roman" w:cs="Times New Roman"/>
          <w:sz w:val="24"/>
          <w:szCs w:val="24"/>
          <w:lang w:val="pt-BR"/>
        </w:rPr>
      </w:pPr>
      <w:r w:rsidRPr="00635FFF">
        <w:rPr>
          <w:rFonts w:ascii="Times New Roman" w:hAnsi="Times New Roman" w:cs="Times New Roman"/>
          <w:sz w:val="24"/>
          <w:szCs w:val="24"/>
          <w:lang w:val="pt-BR"/>
        </w:rPr>
        <w:t xml:space="preserve">Se os regimes de câmbio forem capazes de determinar o comportamento </w:t>
      </w:r>
      <w:r>
        <w:rPr>
          <w:rFonts w:ascii="Times New Roman" w:hAnsi="Times New Roman" w:cs="Times New Roman"/>
          <w:sz w:val="24"/>
          <w:szCs w:val="24"/>
          <w:lang w:val="pt-BR"/>
        </w:rPr>
        <w:t xml:space="preserve">do câmbio real, a importância </w:t>
      </w:r>
      <w:r w:rsidR="00895B3E" w:rsidRPr="00635FFF">
        <w:rPr>
          <w:rFonts w:ascii="Times New Roman" w:hAnsi="Times New Roman" w:cs="Times New Roman"/>
          <w:sz w:val="24"/>
          <w:szCs w:val="24"/>
          <w:lang w:val="pt-BR"/>
        </w:rPr>
        <w:t xml:space="preserve">para as autoridades monetárias </w:t>
      </w:r>
      <w:r>
        <w:rPr>
          <w:rFonts w:ascii="Times New Roman" w:hAnsi="Times New Roman" w:cs="Times New Roman"/>
          <w:sz w:val="24"/>
          <w:szCs w:val="24"/>
          <w:lang w:val="pt-BR"/>
        </w:rPr>
        <w:t>de avaliar o</w:t>
      </w:r>
      <w:r w:rsidRPr="00635FFF">
        <w:rPr>
          <w:rFonts w:ascii="Times New Roman" w:hAnsi="Times New Roman" w:cs="Times New Roman"/>
          <w:sz w:val="24"/>
          <w:szCs w:val="24"/>
          <w:lang w:val="pt-BR"/>
        </w:rPr>
        <w:t xml:space="preserve"> regime</w:t>
      </w:r>
      <w:r>
        <w:rPr>
          <w:rFonts w:ascii="Times New Roman" w:hAnsi="Times New Roman" w:cs="Times New Roman"/>
          <w:sz w:val="24"/>
          <w:szCs w:val="24"/>
          <w:lang w:val="pt-BR"/>
        </w:rPr>
        <w:t xml:space="preserve"> cambial</w:t>
      </w:r>
      <w:r w:rsidRPr="00635FFF">
        <w:rPr>
          <w:rFonts w:ascii="Times New Roman" w:hAnsi="Times New Roman" w:cs="Times New Roman"/>
          <w:sz w:val="24"/>
          <w:szCs w:val="24"/>
          <w:lang w:val="pt-BR"/>
        </w:rPr>
        <w:t xml:space="preserve"> não é menor do que a</w:t>
      </w:r>
      <w:r>
        <w:rPr>
          <w:rFonts w:ascii="Times New Roman" w:hAnsi="Times New Roman" w:cs="Times New Roman"/>
          <w:sz w:val="24"/>
          <w:szCs w:val="24"/>
          <w:lang w:val="pt-BR"/>
        </w:rPr>
        <w:t xml:space="preserve"> tarefa</w:t>
      </w:r>
      <w:r w:rsidRPr="00635FFF">
        <w:rPr>
          <w:rFonts w:ascii="Times New Roman" w:hAnsi="Times New Roman" w:cs="Times New Roman"/>
          <w:sz w:val="24"/>
          <w:szCs w:val="24"/>
          <w:lang w:val="pt-BR"/>
        </w:rPr>
        <w:t xml:space="preserve"> de acompanhar a evolução da TCR</w:t>
      </w:r>
      <w:r w:rsidR="00895B3E">
        <w:rPr>
          <w:rFonts w:ascii="Times New Roman" w:hAnsi="Times New Roman" w:cs="Times New Roman"/>
          <w:sz w:val="24"/>
          <w:szCs w:val="24"/>
          <w:lang w:val="pt-BR"/>
        </w:rPr>
        <w:t>, em especial</w:t>
      </w:r>
      <w:r w:rsidRPr="00635FFF">
        <w:rPr>
          <w:rFonts w:ascii="Times New Roman" w:hAnsi="Times New Roman" w:cs="Times New Roman"/>
          <w:sz w:val="24"/>
          <w:szCs w:val="24"/>
          <w:lang w:val="pt-BR"/>
        </w:rPr>
        <w:t xml:space="preserve"> nos momentos em que se quer prevenir crises de moeda.</w:t>
      </w:r>
      <w:r w:rsidR="00895B3E" w:rsidRPr="00895B3E">
        <w:rPr>
          <w:rFonts w:ascii="Times New Roman" w:hAnsi="Times New Roman" w:cs="Times New Roman"/>
          <w:sz w:val="24"/>
          <w:szCs w:val="24"/>
          <w:lang w:val="pt-BR"/>
        </w:rPr>
        <w:t xml:space="preserve"> </w:t>
      </w:r>
      <w:r w:rsidR="00895B3E">
        <w:rPr>
          <w:rFonts w:ascii="Times New Roman" w:hAnsi="Times New Roman" w:cs="Times New Roman"/>
          <w:sz w:val="24"/>
          <w:szCs w:val="24"/>
          <w:lang w:val="pt-BR"/>
        </w:rPr>
        <w:t>Nesse trabalho foi construído</w:t>
      </w:r>
      <w:r w:rsidR="00895B3E" w:rsidRPr="00635FFF">
        <w:rPr>
          <w:rFonts w:ascii="Times New Roman" w:hAnsi="Times New Roman" w:cs="Times New Roman"/>
          <w:sz w:val="24"/>
          <w:szCs w:val="24"/>
          <w:lang w:val="pt-BR"/>
        </w:rPr>
        <w:t xml:space="preserve">, a partir </w:t>
      </w:r>
      <w:r w:rsidR="00895B3E">
        <w:rPr>
          <w:rFonts w:ascii="Times New Roman" w:hAnsi="Times New Roman" w:cs="Times New Roman"/>
          <w:sz w:val="24"/>
          <w:szCs w:val="24"/>
          <w:lang w:val="pt-BR"/>
        </w:rPr>
        <w:t>de um painel cointegrado para 102 países</w:t>
      </w:r>
      <w:r w:rsidR="00895B3E" w:rsidRPr="00635FFF">
        <w:rPr>
          <w:rFonts w:ascii="Times New Roman" w:hAnsi="Times New Roman" w:cs="Times New Roman"/>
          <w:sz w:val="24"/>
          <w:szCs w:val="24"/>
          <w:lang w:val="pt-BR"/>
        </w:rPr>
        <w:t xml:space="preserve"> um í</w:t>
      </w:r>
      <w:r w:rsidR="00895B3E">
        <w:rPr>
          <w:rFonts w:ascii="Times New Roman" w:hAnsi="Times New Roman" w:cs="Times New Roman"/>
          <w:sz w:val="24"/>
          <w:szCs w:val="24"/>
          <w:lang w:val="pt-BR"/>
        </w:rPr>
        <w:t xml:space="preserve">ndice de desalinhamento da TCR. </w:t>
      </w:r>
      <w:r w:rsidR="00895B3E" w:rsidRPr="00635FFF">
        <w:rPr>
          <w:rFonts w:ascii="Times New Roman" w:hAnsi="Times New Roman" w:cs="Times New Roman"/>
          <w:sz w:val="24"/>
          <w:szCs w:val="24"/>
          <w:lang w:val="pt-BR"/>
        </w:rPr>
        <w:t xml:space="preserve">Com </w:t>
      </w:r>
      <w:r w:rsidR="00895B3E">
        <w:rPr>
          <w:rFonts w:ascii="Times New Roman" w:hAnsi="Times New Roman" w:cs="Times New Roman"/>
          <w:sz w:val="24"/>
          <w:szCs w:val="24"/>
          <w:lang w:val="pt-BR"/>
        </w:rPr>
        <w:t>o índice de desalinhamento, levantamos a pergunta de se o regime cambial, entre outros determinantes do comportamento do câmbio, é importante para explicar desalinhamento; além disso, se é possível distinguir quais são os papéis dos diferentes regimes cambias na determinação da TCR. São utilizados</w:t>
      </w:r>
      <w:r w:rsidR="00895B3E" w:rsidRPr="00635FFF">
        <w:rPr>
          <w:rFonts w:ascii="Times New Roman" w:hAnsi="Times New Roman" w:cs="Times New Roman"/>
          <w:sz w:val="24"/>
          <w:szCs w:val="24"/>
          <w:lang w:val="pt-BR"/>
        </w:rPr>
        <w:t xml:space="preserve"> dados de 1970 a 200</w:t>
      </w:r>
      <w:r w:rsidR="00895B3E">
        <w:rPr>
          <w:rFonts w:ascii="Times New Roman" w:hAnsi="Times New Roman" w:cs="Times New Roman"/>
          <w:sz w:val="24"/>
          <w:szCs w:val="24"/>
          <w:lang w:val="pt-BR"/>
        </w:rPr>
        <w:t>4, de diversas bases históricas macroeconômicas.</w:t>
      </w:r>
    </w:p>
    <w:p w:rsidR="00DC09BE" w:rsidRDefault="00DC09BE" w:rsidP="00DC09BE">
      <w:pPr>
        <w:tabs>
          <w:tab w:val="left" w:pos="720"/>
        </w:tabs>
        <w:spacing w:after="0" w:line="24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As diversas especificações e testes com bases diferentes parecem convergir em resultados interessantes. No caso dos regimes de câmbio fixo, é apresentada uma relação robusta e positiva com sobrevalorizações, como apontado em quase todas as especificações, seja com classificações </w:t>
      </w:r>
      <w:r>
        <w:rPr>
          <w:rFonts w:ascii="Times New Roman" w:hAnsi="Times New Roman" w:cs="Times New Roman"/>
          <w:i/>
          <w:sz w:val="24"/>
          <w:szCs w:val="24"/>
          <w:lang w:val="pt-BR"/>
        </w:rPr>
        <w:t xml:space="preserve">de facto </w:t>
      </w:r>
      <w:r>
        <w:rPr>
          <w:rFonts w:ascii="Times New Roman" w:hAnsi="Times New Roman" w:cs="Times New Roman"/>
          <w:sz w:val="24"/>
          <w:szCs w:val="24"/>
          <w:lang w:val="pt-BR"/>
        </w:rPr>
        <w:t xml:space="preserve">cambiais RR ou LYS, seja com classificações de abertura da conta de capitais de Edwards ou a </w:t>
      </w:r>
      <w:r w:rsidRPr="008D566B">
        <w:rPr>
          <w:rFonts w:ascii="Times New Roman" w:hAnsi="Times New Roman" w:cs="Times New Roman"/>
          <w:i/>
          <w:sz w:val="24"/>
          <w:szCs w:val="24"/>
          <w:lang w:val="pt-BR"/>
        </w:rPr>
        <w:t>KAOPEN</w:t>
      </w:r>
      <w:r>
        <w:rPr>
          <w:rFonts w:ascii="Times New Roman" w:hAnsi="Times New Roman" w:cs="Times New Roman"/>
          <w:sz w:val="24"/>
          <w:szCs w:val="24"/>
          <w:lang w:val="pt-BR"/>
        </w:rPr>
        <w:t>. Ou seja, a escolha do regime cambial importa, quando se pensa em desalinhamento cambial. Com relação a regimes flutuantes, quase a totalidade das especificações mostram que ele atua em sentido contrário às sobrevalorizações cambiais.</w:t>
      </w:r>
    </w:p>
    <w:p w:rsidR="00DC09BE" w:rsidRPr="00DC09BE" w:rsidRDefault="00DC09BE" w:rsidP="00DC09BE">
      <w:pPr>
        <w:tabs>
          <w:tab w:val="left" w:pos="720"/>
        </w:tabs>
        <w:spacing w:after="0" w:line="240" w:lineRule="auto"/>
        <w:ind w:firstLine="720"/>
        <w:jc w:val="both"/>
        <w:rPr>
          <w:rFonts w:ascii="Times New Roman" w:hAnsi="Times New Roman" w:cs="Times New Roman"/>
          <w:b/>
          <w:sz w:val="24"/>
          <w:szCs w:val="24"/>
          <w:lang w:val="pt-BR"/>
        </w:rPr>
      </w:pPr>
      <w:r>
        <w:rPr>
          <w:rFonts w:ascii="Times New Roman" w:hAnsi="Times New Roman" w:cs="Times New Roman"/>
          <w:sz w:val="24"/>
          <w:szCs w:val="24"/>
          <w:lang w:val="pt-BR"/>
        </w:rPr>
        <w:t xml:space="preserve">Os resultados do trabalho sugerem que mais atenção deve ser dada à escolha de regimes cambiais pelos </w:t>
      </w:r>
      <w:r>
        <w:rPr>
          <w:rFonts w:ascii="Times New Roman" w:hAnsi="Times New Roman" w:cs="Times New Roman"/>
          <w:i/>
          <w:sz w:val="24"/>
          <w:szCs w:val="24"/>
          <w:lang w:val="pt-BR"/>
        </w:rPr>
        <w:t>policy-makers,</w:t>
      </w:r>
      <w:r>
        <w:rPr>
          <w:rFonts w:ascii="Times New Roman" w:hAnsi="Times New Roman" w:cs="Times New Roman"/>
          <w:sz w:val="24"/>
          <w:szCs w:val="24"/>
          <w:lang w:val="pt-BR"/>
        </w:rPr>
        <w:t xml:space="preserve"> uma vez que desalinhamentos da moeda não são sustentáveis por muito tempo e podem trazer custos danosos à sociedade, ao desfigurar o preço relativo mais importante de uma economia aberta.</w:t>
      </w:r>
    </w:p>
    <w:p w:rsidR="00895B3E" w:rsidRDefault="00895B3E" w:rsidP="003302D8">
      <w:pPr>
        <w:tabs>
          <w:tab w:val="left" w:pos="720"/>
        </w:tabs>
        <w:spacing w:after="0" w:line="240" w:lineRule="auto"/>
        <w:ind w:firstLine="720"/>
        <w:jc w:val="both"/>
        <w:rPr>
          <w:rFonts w:ascii="Times New Roman" w:hAnsi="Times New Roman" w:cs="Times New Roman"/>
          <w:b/>
          <w:sz w:val="24"/>
          <w:szCs w:val="24"/>
          <w:lang w:val="pt-BR"/>
        </w:rPr>
      </w:pPr>
    </w:p>
    <w:p w:rsidR="008D566B" w:rsidRDefault="008D566B" w:rsidP="008D566B">
      <w:pPr>
        <w:tabs>
          <w:tab w:val="left" w:pos="720"/>
        </w:tabs>
        <w:spacing w:after="0" w:line="240" w:lineRule="auto"/>
        <w:rPr>
          <w:rFonts w:ascii="Times New Roman" w:hAnsi="Times New Roman" w:cs="Times New Roman"/>
          <w:b/>
          <w:sz w:val="24"/>
          <w:szCs w:val="24"/>
          <w:lang w:val="pt-BR"/>
        </w:rPr>
      </w:pPr>
    </w:p>
    <w:p w:rsidR="008D566B" w:rsidRDefault="008D566B" w:rsidP="008D566B">
      <w:pPr>
        <w:tabs>
          <w:tab w:val="left" w:pos="720"/>
        </w:tabs>
        <w:spacing w:after="0" w:line="240" w:lineRule="auto"/>
        <w:rPr>
          <w:rFonts w:ascii="Times New Roman" w:hAnsi="Times New Roman" w:cs="Times New Roman"/>
          <w:b/>
          <w:sz w:val="24"/>
          <w:szCs w:val="24"/>
          <w:lang w:val="pt-BR"/>
        </w:rPr>
      </w:pPr>
    </w:p>
    <w:p w:rsidR="008D566B" w:rsidRPr="008D566B" w:rsidRDefault="008D566B" w:rsidP="008D566B">
      <w:pPr>
        <w:tabs>
          <w:tab w:val="left" w:pos="720"/>
        </w:tabs>
        <w:spacing w:after="0" w:line="240" w:lineRule="auto"/>
        <w:rPr>
          <w:rFonts w:ascii="Times New Roman" w:hAnsi="Times New Roman" w:cs="Times New Roman"/>
          <w:b/>
          <w:sz w:val="24"/>
          <w:szCs w:val="24"/>
          <w:lang w:val="pt-BR"/>
        </w:rPr>
        <w:sectPr w:rsidR="008D566B" w:rsidRPr="008D566B" w:rsidSect="00227EA2">
          <w:pgSz w:w="12240" w:h="15840"/>
          <w:pgMar w:top="1440" w:right="1440" w:bottom="1440" w:left="1440" w:header="720" w:footer="720" w:gutter="0"/>
          <w:pgNumType w:start="1"/>
          <w:cols w:space="720"/>
          <w:docGrid w:linePitch="360"/>
        </w:sectPr>
      </w:pPr>
    </w:p>
    <w:p w:rsidR="00D904C9" w:rsidRDefault="000C3E9A" w:rsidP="007E4941">
      <w:pPr>
        <w:tabs>
          <w:tab w:val="left" w:pos="720"/>
        </w:tabs>
        <w:spacing w:after="0" w:line="240" w:lineRule="auto"/>
        <w:ind w:firstLine="720"/>
        <w:jc w:val="center"/>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Tabela 2</w:t>
      </w:r>
      <w:r w:rsidR="00D904C9">
        <w:rPr>
          <w:rFonts w:ascii="Times New Roman" w:hAnsi="Times New Roman" w:cs="Times New Roman"/>
          <w:b/>
          <w:sz w:val="24"/>
          <w:szCs w:val="24"/>
          <w:lang w:val="pt-BR"/>
        </w:rPr>
        <w:t xml:space="preserve"> – Determinante</w:t>
      </w:r>
      <w:r w:rsidR="00DA4519">
        <w:rPr>
          <w:rFonts w:ascii="Times New Roman" w:hAnsi="Times New Roman" w:cs="Times New Roman"/>
          <w:b/>
          <w:sz w:val="24"/>
          <w:szCs w:val="24"/>
          <w:lang w:val="pt-BR"/>
        </w:rPr>
        <w:t>s de Desalinhamento com dados RR, LYS</w:t>
      </w:r>
      <w:r w:rsidR="00D904C9">
        <w:rPr>
          <w:rFonts w:ascii="Times New Roman" w:hAnsi="Times New Roman" w:cs="Times New Roman"/>
          <w:b/>
          <w:sz w:val="24"/>
          <w:szCs w:val="24"/>
          <w:lang w:val="pt-BR"/>
        </w:rPr>
        <w:t xml:space="preserve"> e KAOPEN – 1970-2004</w:t>
      </w:r>
    </w:p>
    <w:tbl>
      <w:tblPr>
        <w:tblW w:w="12206" w:type="dxa"/>
        <w:tblInd w:w="94" w:type="dxa"/>
        <w:tblLook w:val="04A0"/>
      </w:tblPr>
      <w:tblGrid>
        <w:gridCol w:w="3549"/>
        <w:gridCol w:w="1613"/>
        <w:gridCol w:w="1564"/>
        <w:gridCol w:w="1613"/>
        <w:gridCol w:w="1241"/>
        <w:gridCol w:w="1323"/>
        <w:gridCol w:w="1303"/>
      </w:tblGrid>
      <w:tr w:rsidR="00DA4519" w:rsidRPr="00DA4519" w:rsidTr="00EF09D4">
        <w:trPr>
          <w:trHeight w:val="719"/>
        </w:trPr>
        <w:tc>
          <w:tcPr>
            <w:tcW w:w="3549" w:type="dxa"/>
            <w:tcBorders>
              <w:top w:val="single" w:sz="4" w:space="0" w:color="auto"/>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lang w:val="pt-BR"/>
              </w:rPr>
            </w:pPr>
          </w:p>
        </w:tc>
        <w:tc>
          <w:tcPr>
            <w:tcW w:w="1613" w:type="dxa"/>
            <w:tcBorders>
              <w:top w:val="single" w:sz="4" w:space="0" w:color="auto"/>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RR-KA</w:t>
            </w:r>
            <w:r w:rsidRPr="00DA4519">
              <w:rPr>
                <w:rFonts w:ascii="Times New Roman" w:eastAsia="Times New Roman" w:hAnsi="Times New Roman" w:cs="Times New Roman"/>
                <w:sz w:val="20"/>
                <w:szCs w:val="20"/>
              </w:rPr>
              <w:t>(I)</w:t>
            </w:r>
          </w:p>
        </w:tc>
        <w:tc>
          <w:tcPr>
            <w:tcW w:w="1564" w:type="dxa"/>
            <w:tcBorders>
              <w:top w:val="single" w:sz="4" w:space="0" w:color="auto"/>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RR-KA</w:t>
            </w:r>
            <w:r w:rsidRPr="00DA4519">
              <w:rPr>
                <w:rFonts w:ascii="Times New Roman" w:eastAsia="Times New Roman" w:hAnsi="Times New Roman" w:cs="Times New Roman"/>
                <w:sz w:val="20"/>
                <w:szCs w:val="20"/>
              </w:rPr>
              <w:t>(II)</w:t>
            </w:r>
          </w:p>
        </w:tc>
        <w:tc>
          <w:tcPr>
            <w:tcW w:w="1613" w:type="dxa"/>
            <w:tcBorders>
              <w:top w:val="single" w:sz="4" w:space="0" w:color="auto"/>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RR-KA</w:t>
            </w:r>
            <w:r w:rsidRPr="00DA4519">
              <w:rPr>
                <w:rFonts w:ascii="Times New Roman" w:eastAsia="Times New Roman" w:hAnsi="Times New Roman" w:cs="Times New Roman"/>
                <w:sz w:val="20"/>
                <w:szCs w:val="20"/>
              </w:rPr>
              <w:t>(III)</w:t>
            </w:r>
          </w:p>
        </w:tc>
        <w:tc>
          <w:tcPr>
            <w:tcW w:w="1241" w:type="dxa"/>
            <w:tcBorders>
              <w:top w:val="single" w:sz="4" w:space="0" w:color="auto"/>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ind w:left="-63" w:right="-8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LYS</w:t>
            </w:r>
            <w:r w:rsidRPr="00DA4519">
              <w:rPr>
                <w:rFonts w:ascii="Times New Roman" w:eastAsia="Times New Roman" w:hAnsi="Times New Roman" w:cs="Times New Roman"/>
                <w:sz w:val="20"/>
                <w:szCs w:val="20"/>
              </w:rPr>
              <w:t>-</w:t>
            </w:r>
            <w:r>
              <w:rPr>
                <w:rFonts w:ascii="Times New Roman" w:eastAsia="Times New Roman" w:hAnsi="Times New Roman" w:cs="Times New Roman"/>
                <w:sz w:val="20"/>
                <w:szCs w:val="20"/>
              </w:rPr>
              <w:t>KA</w:t>
            </w:r>
            <w:r w:rsidRPr="00DA4519">
              <w:rPr>
                <w:rFonts w:ascii="Times New Roman" w:eastAsia="Times New Roman" w:hAnsi="Times New Roman" w:cs="Times New Roman"/>
                <w:sz w:val="20"/>
                <w:szCs w:val="20"/>
              </w:rPr>
              <w:t>(I)</w:t>
            </w:r>
          </w:p>
        </w:tc>
        <w:tc>
          <w:tcPr>
            <w:tcW w:w="1323" w:type="dxa"/>
            <w:tcBorders>
              <w:top w:val="single" w:sz="4" w:space="0" w:color="auto"/>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ind w:right="-109"/>
              <w:rPr>
                <w:rFonts w:ascii="Times New Roman" w:eastAsia="Times New Roman" w:hAnsi="Times New Roman" w:cs="Times New Roman"/>
                <w:sz w:val="20"/>
                <w:szCs w:val="20"/>
              </w:rPr>
            </w:pPr>
            <w:r>
              <w:rPr>
                <w:rFonts w:ascii="Times New Roman" w:eastAsia="Times New Roman" w:hAnsi="Times New Roman" w:cs="Times New Roman"/>
                <w:sz w:val="20"/>
                <w:szCs w:val="20"/>
              </w:rPr>
              <w:t>LYS-KA</w:t>
            </w:r>
            <w:r w:rsidRPr="00DA4519">
              <w:rPr>
                <w:rFonts w:ascii="Times New Roman" w:eastAsia="Times New Roman" w:hAnsi="Times New Roman" w:cs="Times New Roman"/>
                <w:sz w:val="20"/>
                <w:szCs w:val="20"/>
              </w:rPr>
              <w:t>(II)</w:t>
            </w:r>
          </w:p>
        </w:tc>
        <w:tc>
          <w:tcPr>
            <w:tcW w:w="1303" w:type="dxa"/>
            <w:tcBorders>
              <w:top w:val="single" w:sz="4" w:space="0" w:color="auto"/>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ind w:left="-107" w:right="-156"/>
              <w:rPr>
                <w:rFonts w:ascii="Times New Roman" w:eastAsia="Times New Roman" w:hAnsi="Times New Roman" w:cs="Times New Roman"/>
                <w:sz w:val="20"/>
                <w:szCs w:val="20"/>
              </w:rPr>
            </w:pPr>
            <w:r>
              <w:rPr>
                <w:rFonts w:ascii="Times New Roman" w:eastAsia="Times New Roman" w:hAnsi="Times New Roman" w:cs="Times New Roman"/>
                <w:sz w:val="20"/>
                <w:szCs w:val="20"/>
              </w:rPr>
              <w:t>LYS-KA</w:t>
            </w:r>
            <w:r w:rsidRPr="00DA4519">
              <w:rPr>
                <w:rFonts w:ascii="Times New Roman" w:eastAsia="Times New Roman" w:hAnsi="Times New Roman" w:cs="Times New Roman"/>
                <w:sz w:val="20"/>
                <w:szCs w:val="20"/>
              </w:rPr>
              <w:t>(III)</w:t>
            </w:r>
          </w:p>
        </w:tc>
      </w:tr>
      <w:tr w:rsidR="00DA4519" w:rsidRPr="00DA4519" w:rsidTr="00EF09D4">
        <w:trPr>
          <w:trHeight w:val="260"/>
        </w:trPr>
        <w:tc>
          <w:tcPr>
            <w:tcW w:w="3549" w:type="dxa"/>
            <w:tcBorders>
              <w:top w:val="nil"/>
              <w:left w:val="nil"/>
              <w:bottom w:val="nil"/>
              <w:right w:val="nil"/>
            </w:tcBorders>
            <w:shd w:val="clear" w:color="auto" w:fill="auto"/>
            <w:noWrap/>
            <w:vAlign w:val="bottom"/>
            <w:hideMark/>
          </w:tcPr>
          <w:p w:rsidR="00DA4519" w:rsidRPr="00DA4519" w:rsidRDefault="002978C0" w:rsidP="00DA45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Defasagem V.</w:t>
            </w:r>
            <w:r w:rsidR="00DA4519" w:rsidRPr="00DA4519">
              <w:rPr>
                <w:rFonts w:ascii="Times New Roman" w:eastAsia="Times New Roman" w:hAnsi="Times New Roman" w:cs="Times New Roman"/>
                <w:sz w:val="20"/>
                <w:szCs w:val="20"/>
              </w:rPr>
              <w:t xml:space="preserve"> Dependente</w:t>
            </w:r>
          </w:p>
        </w:tc>
        <w:tc>
          <w:tcPr>
            <w:tcW w:w="1613" w:type="dxa"/>
            <w:tcBorders>
              <w:top w:val="single" w:sz="4" w:space="0" w:color="auto"/>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0,936***</w:t>
            </w:r>
          </w:p>
        </w:tc>
        <w:tc>
          <w:tcPr>
            <w:tcW w:w="1564" w:type="dxa"/>
            <w:tcBorders>
              <w:top w:val="single" w:sz="4" w:space="0" w:color="auto"/>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0,954***</w:t>
            </w:r>
          </w:p>
        </w:tc>
        <w:tc>
          <w:tcPr>
            <w:tcW w:w="1613" w:type="dxa"/>
            <w:tcBorders>
              <w:top w:val="single" w:sz="4" w:space="0" w:color="auto"/>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0,906***</w:t>
            </w:r>
          </w:p>
        </w:tc>
        <w:tc>
          <w:tcPr>
            <w:tcW w:w="1241" w:type="dxa"/>
            <w:tcBorders>
              <w:top w:val="single" w:sz="4" w:space="0" w:color="auto"/>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0.950***</w:t>
            </w:r>
          </w:p>
        </w:tc>
        <w:tc>
          <w:tcPr>
            <w:tcW w:w="1323" w:type="dxa"/>
            <w:tcBorders>
              <w:top w:val="single" w:sz="4" w:space="0" w:color="auto"/>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0.903***</w:t>
            </w:r>
          </w:p>
        </w:tc>
        <w:tc>
          <w:tcPr>
            <w:tcW w:w="1303" w:type="dxa"/>
            <w:tcBorders>
              <w:top w:val="single" w:sz="4" w:space="0" w:color="auto"/>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0.898***</w:t>
            </w:r>
          </w:p>
        </w:tc>
      </w:tr>
      <w:tr w:rsidR="00DA4519" w:rsidRPr="00DA4519" w:rsidTr="00DA4519">
        <w:trPr>
          <w:trHeight w:val="260"/>
        </w:trPr>
        <w:tc>
          <w:tcPr>
            <w:tcW w:w="3549"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(0,0358)</w:t>
            </w:r>
          </w:p>
        </w:tc>
        <w:tc>
          <w:tcPr>
            <w:tcW w:w="1564"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(0,0399)</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(0,0377)</w:t>
            </w:r>
          </w:p>
        </w:tc>
        <w:tc>
          <w:tcPr>
            <w:tcW w:w="1241"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(0.0389)</w:t>
            </w:r>
          </w:p>
        </w:tc>
        <w:tc>
          <w:tcPr>
            <w:tcW w:w="132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(0.0359)</w:t>
            </w:r>
          </w:p>
        </w:tc>
        <w:tc>
          <w:tcPr>
            <w:tcW w:w="130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(0.0378)</w:t>
            </w:r>
          </w:p>
        </w:tc>
      </w:tr>
      <w:tr w:rsidR="00DA4519" w:rsidRPr="00DA4519" w:rsidTr="00DA4519">
        <w:trPr>
          <w:trHeight w:val="260"/>
        </w:trPr>
        <w:tc>
          <w:tcPr>
            <w:tcW w:w="3549"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lang w:val="pt-BR"/>
              </w:rPr>
            </w:pPr>
            <w:r w:rsidRPr="00DA4519">
              <w:rPr>
                <w:rFonts w:ascii="Times New Roman" w:eastAsia="Times New Roman" w:hAnsi="Times New Roman" w:cs="Times New Roman"/>
                <w:sz w:val="20"/>
                <w:szCs w:val="20"/>
                <w:lang w:val="pt-BR"/>
              </w:rPr>
              <w:t>Abertura da Conta de Capitais</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0,0143</w:t>
            </w:r>
          </w:p>
        </w:tc>
        <w:tc>
          <w:tcPr>
            <w:tcW w:w="1564"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0,0377</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0,0127</w:t>
            </w:r>
          </w:p>
        </w:tc>
        <w:tc>
          <w:tcPr>
            <w:tcW w:w="1241"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0.0337</w:t>
            </w:r>
          </w:p>
        </w:tc>
        <w:tc>
          <w:tcPr>
            <w:tcW w:w="132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0.0274</w:t>
            </w:r>
          </w:p>
        </w:tc>
        <w:tc>
          <w:tcPr>
            <w:tcW w:w="130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0.0265</w:t>
            </w:r>
          </w:p>
        </w:tc>
      </w:tr>
      <w:tr w:rsidR="00DA4519" w:rsidRPr="00DA4519" w:rsidTr="00DA4519">
        <w:trPr>
          <w:trHeight w:val="260"/>
        </w:trPr>
        <w:tc>
          <w:tcPr>
            <w:tcW w:w="3549"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(0,0242)</w:t>
            </w:r>
          </w:p>
        </w:tc>
        <w:tc>
          <w:tcPr>
            <w:tcW w:w="1564"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(0,0261)</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(0,0268)</w:t>
            </w:r>
          </w:p>
        </w:tc>
        <w:tc>
          <w:tcPr>
            <w:tcW w:w="1241"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(0.0229)</w:t>
            </w:r>
          </w:p>
        </w:tc>
        <w:tc>
          <w:tcPr>
            <w:tcW w:w="132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(0.0199)</w:t>
            </w:r>
          </w:p>
        </w:tc>
        <w:tc>
          <w:tcPr>
            <w:tcW w:w="130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(0.0203)</w:t>
            </w:r>
          </w:p>
        </w:tc>
      </w:tr>
      <w:tr w:rsidR="00DA4519" w:rsidRPr="00DA4519" w:rsidTr="00146C03">
        <w:trPr>
          <w:trHeight w:val="260"/>
        </w:trPr>
        <w:tc>
          <w:tcPr>
            <w:tcW w:w="3549"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Regimes Flutuantes</w:t>
            </w:r>
          </w:p>
        </w:tc>
        <w:tc>
          <w:tcPr>
            <w:tcW w:w="161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-0,0731*</w:t>
            </w:r>
          </w:p>
        </w:tc>
        <w:tc>
          <w:tcPr>
            <w:tcW w:w="1564"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1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41"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0.192***</w:t>
            </w:r>
          </w:p>
        </w:tc>
        <w:tc>
          <w:tcPr>
            <w:tcW w:w="132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0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A4519" w:rsidRPr="00DA4519" w:rsidTr="00146C03">
        <w:trPr>
          <w:trHeight w:val="260"/>
        </w:trPr>
        <w:tc>
          <w:tcPr>
            <w:tcW w:w="3549"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(0,0391)</w:t>
            </w:r>
          </w:p>
        </w:tc>
        <w:tc>
          <w:tcPr>
            <w:tcW w:w="1564"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1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41"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(0.0698)</w:t>
            </w:r>
          </w:p>
        </w:tc>
        <w:tc>
          <w:tcPr>
            <w:tcW w:w="132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0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A4519" w:rsidRPr="00DA4519" w:rsidTr="00146C03">
        <w:trPr>
          <w:trHeight w:val="260"/>
        </w:trPr>
        <w:tc>
          <w:tcPr>
            <w:tcW w:w="3549"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Regimes Intermediários</w:t>
            </w:r>
          </w:p>
        </w:tc>
        <w:tc>
          <w:tcPr>
            <w:tcW w:w="161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w:t>
            </w:r>
          </w:p>
        </w:tc>
        <w:tc>
          <w:tcPr>
            <w:tcW w:w="1564"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0,0705</w:t>
            </w:r>
          </w:p>
        </w:tc>
        <w:tc>
          <w:tcPr>
            <w:tcW w:w="161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41"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2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-0.142***</w:t>
            </w:r>
          </w:p>
        </w:tc>
        <w:tc>
          <w:tcPr>
            <w:tcW w:w="130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A4519" w:rsidRPr="00DA4519" w:rsidTr="00146C03">
        <w:trPr>
          <w:trHeight w:val="260"/>
        </w:trPr>
        <w:tc>
          <w:tcPr>
            <w:tcW w:w="3549"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w:t>
            </w:r>
          </w:p>
        </w:tc>
        <w:tc>
          <w:tcPr>
            <w:tcW w:w="1564"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(0,0491)</w:t>
            </w:r>
          </w:p>
        </w:tc>
        <w:tc>
          <w:tcPr>
            <w:tcW w:w="161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41"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2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(0.0500)</w:t>
            </w:r>
          </w:p>
        </w:tc>
        <w:tc>
          <w:tcPr>
            <w:tcW w:w="130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A4519" w:rsidRPr="00DA4519" w:rsidTr="00146C03">
        <w:trPr>
          <w:trHeight w:val="260"/>
        </w:trPr>
        <w:tc>
          <w:tcPr>
            <w:tcW w:w="3549"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Regimes Fixos</w:t>
            </w:r>
          </w:p>
        </w:tc>
        <w:tc>
          <w:tcPr>
            <w:tcW w:w="161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w:t>
            </w:r>
          </w:p>
        </w:tc>
        <w:tc>
          <w:tcPr>
            <w:tcW w:w="1564"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w:t>
            </w:r>
          </w:p>
        </w:tc>
        <w:tc>
          <w:tcPr>
            <w:tcW w:w="161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0,133*</w:t>
            </w:r>
          </w:p>
        </w:tc>
        <w:tc>
          <w:tcPr>
            <w:tcW w:w="1241"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2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0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0.103*</w:t>
            </w:r>
          </w:p>
        </w:tc>
      </w:tr>
      <w:tr w:rsidR="00DA4519" w:rsidRPr="00DA4519" w:rsidTr="00146C03">
        <w:trPr>
          <w:trHeight w:val="260"/>
        </w:trPr>
        <w:tc>
          <w:tcPr>
            <w:tcW w:w="3549"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w:t>
            </w:r>
          </w:p>
        </w:tc>
        <w:tc>
          <w:tcPr>
            <w:tcW w:w="1564"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w:t>
            </w:r>
          </w:p>
        </w:tc>
        <w:tc>
          <w:tcPr>
            <w:tcW w:w="161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(0,0736)</w:t>
            </w:r>
          </w:p>
        </w:tc>
        <w:tc>
          <w:tcPr>
            <w:tcW w:w="1241"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2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03" w:type="dxa"/>
            <w:tcBorders>
              <w:top w:val="nil"/>
              <w:left w:val="nil"/>
              <w:bottom w:val="nil"/>
              <w:right w:val="nil"/>
            </w:tcBorders>
            <w:shd w:val="clear" w:color="auto" w:fill="D9D9D9" w:themeFill="background1" w:themeFillShade="D9"/>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(0.0600)</w:t>
            </w:r>
          </w:p>
        </w:tc>
      </w:tr>
      <w:tr w:rsidR="00DA4519" w:rsidRPr="00DA4519" w:rsidTr="00EF09D4">
        <w:trPr>
          <w:trHeight w:val="260"/>
        </w:trPr>
        <w:tc>
          <w:tcPr>
            <w:tcW w:w="3549" w:type="dxa"/>
            <w:tcBorders>
              <w:top w:val="nil"/>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Variáveis de Controle</w:t>
            </w:r>
          </w:p>
        </w:tc>
        <w:tc>
          <w:tcPr>
            <w:tcW w:w="1613" w:type="dxa"/>
            <w:tcBorders>
              <w:top w:val="nil"/>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p>
        </w:tc>
        <w:tc>
          <w:tcPr>
            <w:tcW w:w="1564" w:type="dxa"/>
            <w:tcBorders>
              <w:top w:val="nil"/>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p>
        </w:tc>
        <w:tc>
          <w:tcPr>
            <w:tcW w:w="1613" w:type="dxa"/>
            <w:tcBorders>
              <w:top w:val="nil"/>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p>
        </w:tc>
        <w:tc>
          <w:tcPr>
            <w:tcW w:w="1241" w:type="dxa"/>
            <w:tcBorders>
              <w:top w:val="nil"/>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p>
        </w:tc>
        <w:tc>
          <w:tcPr>
            <w:tcW w:w="1323" w:type="dxa"/>
            <w:tcBorders>
              <w:top w:val="nil"/>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p>
        </w:tc>
        <w:tc>
          <w:tcPr>
            <w:tcW w:w="1303" w:type="dxa"/>
            <w:tcBorders>
              <w:top w:val="nil"/>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p>
        </w:tc>
      </w:tr>
      <w:tr w:rsidR="00DA4519" w:rsidRPr="00DA4519" w:rsidTr="00DA4519">
        <w:trPr>
          <w:trHeight w:val="260"/>
        </w:trPr>
        <w:tc>
          <w:tcPr>
            <w:tcW w:w="3549"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p>
        </w:tc>
        <w:tc>
          <w:tcPr>
            <w:tcW w:w="1564"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p>
        </w:tc>
        <w:tc>
          <w:tcPr>
            <w:tcW w:w="1241"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p>
        </w:tc>
        <w:tc>
          <w:tcPr>
            <w:tcW w:w="130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p>
        </w:tc>
      </w:tr>
      <w:tr w:rsidR="00DA4519" w:rsidRPr="00DA4519" w:rsidTr="00DA4519">
        <w:trPr>
          <w:trHeight w:val="307"/>
        </w:trPr>
        <w:tc>
          <w:tcPr>
            <w:tcW w:w="3549"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i/>
                <w:iCs/>
                <w:color w:val="000000"/>
              </w:rPr>
            </w:pPr>
            <w:r w:rsidRPr="00DA4519">
              <w:rPr>
                <w:rFonts w:ascii="Times New Roman" w:eastAsia="Times New Roman" w:hAnsi="Times New Roman" w:cs="Times New Roman"/>
                <w:i/>
                <w:iCs/>
                <w:color w:val="000000"/>
              </w:rPr>
              <w:t>Inflação</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0,0116*</w:t>
            </w:r>
          </w:p>
        </w:tc>
        <w:tc>
          <w:tcPr>
            <w:tcW w:w="1564"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0,0132*</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0,00881</w:t>
            </w:r>
          </w:p>
        </w:tc>
        <w:tc>
          <w:tcPr>
            <w:tcW w:w="1241"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0.0111</w:t>
            </w:r>
          </w:p>
        </w:tc>
        <w:tc>
          <w:tcPr>
            <w:tcW w:w="132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0.0110*</w:t>
            </w:r>
          </w:p>
        </w:tc>
        <w:tc>
          <w:tcPr>
            <w:tcW w:w="130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0.0107*</w:t>
            </w:r>
          </w:p>
        </w:tc>
      </w:tr>
      <w:tr w:rsidR="00DA4519" w:rsidRPr="00DA4519" w:rsidTr="00DA4519">
        <w:trPr>
          <w:trHeight w:val="307"/>
        </w:trPr>
        <w:tc>
          <w:tcPr>
            <w:tcW w:w="3549"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i/>
                <w:iCs/>
                <w:color w:val="000000"/>
              </w:rPr>
            </w:pP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(0,00685)</w:t>
            </w:r>
          </w:p>
        </w:tc>
        <w:tc>
          <w:tcPr>
            <w:tcW w:w="1564"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(0,00728)</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(0,00647)</w:t>
            </w:r>
          </w:p>
        </w:tc>
        <w:tc>
          <w:tcPr>
            <w:tcW w:w="1241"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(0.00694)</w:t>
            </w:r>
          </w:p>
        </w:tc>
        <w:tc>
          <w:tcPr>
            <w:tcW w:w="132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(0.00653)</w:t>
            </w:r>
          </w:p>
        </w:tc>
        <w:tc>
          <w:tcPr>
            <w:tcW w:w="130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(0.00637)</w:t>
            </w:r>
          </w:p>
        </w:tc>
      </w:tr>
      <w:tr w:rsidR="00DA4519" w:rsidRPr="00DA4519" w:rsidTr="00DA4519">
        <w:trPr>
          <w:trHeight w:val="307"/>
        </w:trPr>
        <w:tc>
          <w:tcPr>
            <w:tcW w:w="3549"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i/>
                <w:iCs/>
                <w:color w:val="000000"/>
              </w:rPr>
            </w:pPr>
            <w:r w:rsidRPr="00DA4519">
              <w:rPr>
                <w:rFonts w:ascii="Times New Roman" w:eastAsia="Times New Roman" w:hAnsi="Times New Roman" w:cs="Times New Roman"/>
                <w:i/>
                <w:iCs/>
                <w:color w:val="000000"/>
              </w:rPr>
              <w:t>Poupança Doméstica</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-0,00503**</w:t>
            </w:r>
          </w:p>
        </w:tc>
        <w:tc>
          <w:tcPr>
            <w:tcW w:w="1564"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-0,00326</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-0,00358</w:t>
            </w:r>
          </w:p>
        </w:tc>
        <w:tc>
          <w:tcPr>
            <w:tcW w:w="1241"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-0.00299</w:t>
            </w:r>
          </w:p>
        </w:tc>
        <w:tc>
          <w:tcPr>
            <w:tcW w:w="132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-0.00383*</w:t>
            </w:r>
          </w:p>
        </w:tc>
        <w:tc>
          <w:tcPr>
            <w:tcW w:w="130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-0.00251</w:t>
            </w:r>
          </w:p>
        </w:tc>
      </w:tr>
      <w:tr w:rsidR="00DA4519" w:rsidRPr="00DA4519" w:rsidTr="00DA4519">
        <w:trPr>
          <w:trHeight w:val="307"/>
        </w:trPr>
        <w:tc>
          <w:tcPr>
            <w:tcW w:w="3549"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i/>
                <w:iCs/>
                <w:color w:val="000000"/>
              </w:rPr>
            </w:pP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(0,00251)</w:t>
            </w:r>
          </w:p>
        </w:tc>
        <w:tc>
          <w:tcPr>
            <w:tcW w:w="1564"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(0,00252)</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(0,00254)</w:t>
            </w:r>
          </w:p>
        </w:tc>
        <w:tc>
          <w:tcPr>
            <w:tcW w:w="1241"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(0.00238)</w:t>
            </w:r>
          </w:p>
        </w:tc>
        <w:tc>
          <w:tcPr>
            <w:tcW w:w="132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(0.00221)</w:t>
            </w:r>
          </w:p>
        </w:tc>
        <w:tc>
          <w:tcPr>
            <w:tcW w:w="130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(0.00219)</w:t>
            </w:r>
          </w:p>
        </w:tc>
      </w:tr>
      <w:tr w:rsidR="00DA4519" w:rsidRPr="00DA4519" w:rsidTr="00DA4519">
        <w:trPr>
          <w:trHeight w:val="307"/>
        </w:trPr>
        <w:tc>
          <w:tcPr>
            <w:tcW w:w="3549"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i/>
                <w:iCs/>
                <w:color w:val="000000"/>
              </w:rPr>
            </w:pPr>
            <w:r w:rsidRPr="00DA4519">
              <w:rPr>
                <w:rFonts w:ascii="Times New Roman" w:eastAsia="Times New Roman" w:hAnsi="Times New Roman" w:cs="Times New Roman"/>
                <w:i/>
                <w:iCs/>
                <w:color w:val="000000"/>
              </w:rPr>
              <w:t>Peso do Governo (%)</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-0,00387**</w:t>
            </w:r>
          </w:p>
        </w:tc>
        <w:tc>
          <w:tcPr>
            <w:tcW w:w="1564"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-0,00400**</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0,000</w:t>
            </w:r>
          </w:p>
        </w:tc>
        <w:tc>
          <w:tcPr>
            <w:tcW w:w="1241"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-0.00252</w:t>
            </w:r>
          </w:p>
        </w:tc>
        <w:tc>
          <w:tcPr>
            <w:tcW w:w="132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-0.00384**</w:t>
            </w:r>
          </w:p>
        </w:tc>
        <w:tc>
          <w:tcPr>
            <w:tcW w:w="130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-0.00170</w:t>
            </w:r>
          </w:p>
        </w:tc>
      </w:tr>
      <w:tr w:rsidR="00DA4519" w:rsidRPr="00DA4519" w:rsidTr="00DA4519">
        <w:trPr>
          <w:trHeight w:val="260"/>
        </w:trPr>
        <w:tc>
          <w:tcPr>
            <w:tcW w:w="3549"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(0,00172)</w:t>
            </w:r>
          </w:p>
        </w:tc>
        <w:tc>
          <w:tcPr>
            <w:tcW w:w="1564"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(0,00180)</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(0,000)</w:t>
            </w:r>
          </w:p>
        </w:tc>
        <w:tc>
          <w:tcPr>
            <w:tcW w:w="1241"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(0.00172)</w:t>
            </w:r>
          </w:p>
        </w:tc>
        <w:tc>
          <w:tcPr>
            <w:tcW w:w="132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(0.00164)</w:t>
            </w:r>
          </w:p>
        </w:tc>
        <w:tc>
          <w:tcPr>
            <w:tcW w:w="130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(0.00172)</w:t>
            </w:r>
          </w:p>
        </w:tc>
      </w:tr>
      <w:tr w:rsidR="00DA4519" w:rsidRPr="00DA4519" w:rsidTr="00DA4519">
        <w:trPr>
          <w:trHeight w:val="260"/>
        </w:trPr>
        <w:tc>
          <w:tcPr>
            <w:tcW w:w="3549"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i/>
                <w:iCs/>
                <w:sz w:val="20"/>
                <w:szCs w:val="20"/>
              </w:rPr>
            </w:pPr>
            <w:r w:rsidRPr="00DA4519">
              <w:rPr>
                <w:rFonts w:ascii="Times New Roman" w:eastAsia="Times New Roman" w:hAnsi="Times New Roman" w:cs="Times New Roman"/>
                <w:i/>
                <w:iCs/>
                <w:sz w:val="20"/>
                <w:szCs w:val="20"/>
              </w:rPr>
              <w:t>Estoque da Dívida Pública</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0,000*</w:t>
            </w:r>
          </w:p>
        </w:tc>
        <w:tc>
          <w:tcPr>
            <w:tcW w:w="1564"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0,000</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0,000</w:t>
            </w:r>
          </w:p>
        </w:tc>
        <w:tc>
          <w:tcPr>
            <w:tcW w:w="1241"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0,000</w:t>
            </w:r>
          </w:p>
        </w:tc>
        <w:tc>
          <w:tcPr>
            <w:tcW w:w="132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0,000</w:t>
            </w:r>
          </w:p>
        </w:tc>
        <w:tc>
          <w:tcPr>
            <w:tcW w:w="130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0,000</w:t>
            </w:r>
          </w:p>
        </w:tc>
      </w:tr>
      <w:tr w:rsidR="00DA4519" w:rsidRPr="00DA4519" w:rsidTr="00DA4519">
        <w:trPr>
          <w:trHeight w:val="260"/>
        </w:trPr>
        <w:tc>
          <w:tcPr>
            <w:tcW w:w="3549"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w:t>
            </w:r>
          </w:p>
        </w:tc>
        <w:tc>
          <w:tcPr>
            <w:tcW w:w="1564"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(0,000)</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w:t>
            </w:r>
          </w:p>
        </w:tc>
        <w:tc>
          <w:tcPr>
            <w:tcW w:w="1241"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(0,000)</w:t>
            </w:r>
          </w:p>
        </w:tc>
        <w:tc>
          <w:tcPr>
            <w:tcW w:w="132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(0,000)</w:t>
            </w:r>
          </w:p>
        </w:tc>
        <w:tc>
          <w:tcPr>
            <w:tcW w:w="130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(0,000)</w:t>
            </w:r>
          </w:p>
        </w:tc>
      </w:tr>
      <w:tr w:rsidR="00DA4519" w:rsidRPr="00DA4519" w:rsidTr="00DA4519">
        <w:trPr>
          <w:trHeight w:val="260"/>
        </w:trPr>
        <w:tc>
          <w:tcPr>
            <w:tcW w:w="3549"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Intercepto</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0,116**</w:t>
            </w:r>
          </w:p>
        </w:tc>
        <w:tc>
          <w:tcPr>
            <w:tcW w:w="1564"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0,0459</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0,0229</w:t>
            </w:r>
          </w:p>
        </w:tc>
        <w:tc>
          <w:tcPr>
            <w:tcW w:w="1241"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0.0291</w:t>
            </w:r>
          </w:p>
        </w:tc>
        <w:tc>
          <w:tcPr>
            <w:tcW w:w="132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0.0110*</w:t>
            </w:r>
          </w:p>
        </w:tc>
        <w:tc>
          <w:tcPr>
            <w:tcW w:w="130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-0.000375</w:t>
            </w:r>
          </w:p>
        </w:tc>
      </w:tr>
      <w:tr w:rsidR="00DA4519" w:rsidRPr="00DA4519" w:rsidTr="00EF09D4">
        <w:trPr>
          <w:trHeight w:val="260"/>
        </w:trPr>
        <w:tc>
          <w:tcPr>
            <w:tcW w:w="3549" w:type="dxa"/>
            <w:tcBorders>
              <w:top w:val="nil"/>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 </w:t>
            </w:r>
          </w:p>
        </w:tc>
        <w:tc>
          <w:tcPr>
            <w:tcW w:w="1613" w:type="dxa"/>
            <w:tcBorders>
              <w:top w:val="nil"/>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(0,0579)</w:t>
            </w:r>
          </w:p>
        </w:tc>
        <w:tc>
          <w:tcPr>
            <w:tcW w:w="1564" w:type="dxa"/>
            <w:tcBorders>
              <w:top w:val="nil"/>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(0,0617)</w:t>
            </w:r>
          </w:p>
        </w:tc>
        <w:tc>
          <w:tcPr>
            <w:tcW w:w="1613" w:type="dxa"/>
            <w:tcBorders>
              <w:top w:val="nil"/>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(0,0703)</w:t>
            </w:r>
          </w:p>
        </w:tc>
        <w:tc>
          <w:tcPr>
            <w:tcW w:w="1241" w:type="dxa"/>
            <w:tcBorders>
              <w:top w:val="nil"/>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(0.0565)</w:t>
            </w:r>
          </w:p>
        </w:tc>
        <w:tc>
          <w:tcPr>
            <w:tcW w:w="1323" w:type="dxa"/>
            <w:tcBorders>
              <w:top w:val="nil"/>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(0.00653)</w:t>
            </w:r>
          </w:p>
        </w:tc>
        <w:tc>
          <w:tcPr>
            <w:tcW w:w="1303" w:type="dxa"/>
            <w:tcBorders>
              <w:top w:val="nil"/>
              <w:left w:val="nil"/>
              <w:bottom w:val="single" w:sz="4" w:space="0" w:color="auto"/>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(0.0649)</w:t>
            </w:r>
          </w:p>
        </w:tc>
      </w:tr>
      <w:tr w:rsidR="00DA4519" w:rsidRPr="00DA4519" w:rsidTr="00EF09D4">
        <w:trPr>
          <w:trHeight w:val="260"/>
        </w:trPr>
        <w:tc>
          <w:tcPr>
            <w:tcW w:w="3549" w:type="dxa"/>
            <w:tcBorders>
              <w:top w:val="single" w:sz="4" w:space="0" w:color="auto"/>
              <w:left w:val="nil"/>
              <w:bottom w:val="nil"/>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 xml:space="preserve">Teste AR(1) </w:t>
            </w:r>
          </w:p>
        </w:tc>
        <w:tc>
          <w:tcPr>
            <w:tcW w:w="1613" w:type="dxa"/>
            <w:tcBorders>
              <w:top w:val="single" w:sz="4" w:space="0" w:color="auto"/>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0,000</w:t>
            </w:r>
          </w:p>
        </w:tc>
        <w:tc>
          <w:tcPr>
            <w:tcW w:w="1564" w:type="dxa"/>
            <w:tcBorders>
              <w:top w:val="single" w:sz="4" w:space="0" w:color="auto"/>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0,000</w:t>
            </w:r>
          </w:p>
        </w:tc>
        <w:tc>
          <w:tcPr>
            <w:tcW w:w="1613" w:type="dxa"/>
            <w:tcBorders>
              <w:top w:val="single" w:sz="4" w:space="0" w:color="auto"/>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0,000</w:t>
            </w:r>
          </w:p>
        </w:tc>
        <w:tc>
          <w:tcPr>
            <w:tcW w:w="1241" w:type="dxa"/>
            <w:tcBorders>
              <w:top w:val="single" w:sz="4" w:space="0" w:color="auto"/>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p>
        </w:tc>
        <w:tc>
          <w:tcPr>
            <w:tcW w:w="1323" w:type="dxa"/>
            <w:tcBorders>
              <w:top w:val="single" w:sz="4" w:space="0" w:color="auto"/>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0,000</w:t>
            </w:r>
          </w:p>
        </w:tc>
        <w:tc>
          <w:tcPr>
            <w:tcW w:w="1303" w:type="dxa"/>
            <w:tcBorders>
              <w:top w:val="single" w:sz="4" w:space="0" w:color="auto"/>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0,000</w:t>
            </w:r>
          </w:p>
        </w:tc>
      </w:tr>
      <w:tr w:rsidR="00DA4519" w:rsidRPr="00DA4519" w:rsidTr="00DA4519">
        <w:trPr>
          <w:trHeight w:val="260"/>
        </w:trPr>
        <w:tc>
          <w:tcPr>
            <w:tcW w:w="3549"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Teste AR(2)</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0,092</w:t>
            </w:r>
          </w:p>
        </w:tc>
        <w:tc>
          <w:tcPr>
            <w:tcW w:w="1564"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0,100</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0,144</w:t>
            </w:r>
          </w:p>
        </w:tc>
        <w:tc>
          <w:tcPr>
            <w:tcW w:w="1241"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0.238</w:t>
            </w:r>
          </w:p>
        </w:tc>
        <w:tc>
          <w:tcPr>
            <w:tcW w:w="132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0.455</w:t>
            </w:r>
          </w:p>
        </w:tc>
        <w:tc>
          <w:tcPr>
            <w:tcW w:w="130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0.455</w:t>
            </w:r>
          </w:p>
        </w:tc>
      </w:tr>
      <w:tr w:rsidR="00DA4519" w:rsidRPr="00DA4519" w:rsidTr="00DA4519">
        <w:trPr>
          <w:trHeight w:val="260"/>
        </w:trPr>
        <w:tc>
          <w:tcPr>
            <w:tcW w:w="3549"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Teste Sargan</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0,187</w:t>
            </w:r>
          </w:p>
        </w:tc>
        <w:tc>
          <w:tcPr>
            <w:tcW w:w="1564"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0,173</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0,352</w:t>
            </w:r>
          </w:p>
        </w:tc>
        <w:tc>
          <w:tcPr>
            <w:tcW w:w="1241"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0.639</w:t>
            </w:r>
          </w:p>
        </w:tc>
        <w:tc>
          <w:tcPr>
            <w:tcW w:w="132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0.467</w:t>
            </w:r>
          </w:p>
        </w:tc>
        <w:tc>
          <w:tcPr>
            <w:tcW w:w="130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0.467</w:t>
            </w:r>
          </w:p>
        </w:tc>
      </w:tr>
      <w:tr w:rsidR="00DA4519" w:rsidRPr="00DA4519" w:rsidTr="00DA4519">
        <w:trPr>
          <w:trHeight w:val="260"/>
        </w:trPr>
        <w:tc>
          <w:tcPr>
            <w:tcW w:w="3549"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Observações</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764</w:t>
            </w:r>
          </w:p>
        </w:tc>
        <w:tc>
          <w:tcPr>
            <w:tcW w:w="1564"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764</w:t>
            </w:r>
          </w:p>
        </w:tc>
        <w:tc>
          <w:tcPr>
            <w:tcW w:w="161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764</w:t>
            </w:r>
          </w:p>
        </w:tc>
        <w:tc>
          <w:tcPr>
            <w:tcW w:w="1241"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764</w:t>
            </w:r>
          </w:p>
        </w:tc>
        <w:tc>
          <w:tcPr>
            <w:tcW w:w="132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764</w:t>
            </w:r>
          </w:p>
        </w:tc>
        <w:tc>
          <w:tcPr>
            <w:tcW w:w="1303" w:type="dxa"/>
            <w:tcBorders>
              <w:top w:val="nil"/>
              <w:left w:val="nil"/>
              <w:bottom w:val="nil"/>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764</w:t>
            </w:r>
          </w:p>
        </w:tc>
      </w:tr>
      <w:tr w:rsidR="00DA4519" w:rsidRPr="00DA4519" w:rsidTr="00DA4519">
        <w:trPr>
          <w:trHeight w:val="275"/>
        </w:trPr>
        <w:tc>
          <w:tcPr>
            <w:tcW w:w="3549" w:type="dxa"/>
            <w:tcBorders>
              <w:top w:val="nil"/>
              <w:left w:val="nil"/>
              <w:bottom w:val="single" w:sz="8" w:space="0" w:color="auto"/>
              <w:right w:val="nil"/>
            </w:tcBorders>
            <w:shd w:val="clear" w:color="auto" w:fill="auto"/>
            <w:noWrap/>
            <w:vAlign w:val="bottom"/>
            <w:hideMark/>
          </w:tcPr>
          <w:p w:rsidR="00DA4519" w:rsidRPr="00DA4519" w:rsidRDefault="00DA4519" w:rsidP="00DA4519">
            <w:pPr>
              <w:spacing w:after="0" w:line="240" w:lineRule="auto"/>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Países</w:t>
            </w:r>
          </w:p>
        </w:tc>
        <w:tc>
          <w:tcPr>
            <w:tcW w:w="1613" w:type="dxa"/>
            <w:tcBorders>
              <w:top w:val="nil"/>
              <w:left w:val="nil"/>
              <w:bottom w:val="single" w:sz="4" w:space="0" w:color="000000"/>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46</w:t>
            </w:r>
          </w:p>
        </w:tc>
        <w:tc>
          <w:tcPr>
            <w:tcW w:w="1564" w:type="dxa"/>
            <w:tcBorders>
              <w:top w:val="nil"/>
              <w:left w:val="nil"/>
              <w:bottom w:val="single" w:sz="4" w:space="0" w:color="000000"/>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46</w:t>
            </w:r>
          </w:p>
        </w:tc>
        <w:tc>
          <w:tcPr>
            <w:tcW w:w="1613" w:type="dxa"/>
            <w:tcBorders>
              <w:top w:val="nil"/>
              <w:left w:val="nil"/>
              <w:bottom w:val="single" w:sz="4" w:space="0" w:color="000000"/>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46</w:t>
            </w:r>
          </w:p>
        </w:tc>
        <w:tc>
          <w:tcPr>
            <w:tcW w:w="1241" w:type="dxa"/>
            <w:tcBorders>
              <w:top w:val="nil"/>
              <w:left w:val="nil"/>
              <w:bottom w:val="single" w:sz="4" w:space="0" w:color="000000"/>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46</w:t>
            </w:r>
          </w:p>
        </w:tc>
        <w:tc>
          <w:tcPr>
            <w:tcW w:w="1323" w:type="dxa"/>
            <w:tcBorders>
              <w:top w:val="nil"/>
              <w:left w:val="nil"/>
              <w:bottom w:val="single" w:sz="4" w:space="0" w:color="000000"/>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46</w:t>
            </w:r>
          </w:p>
        </w:tc>
        <w:tc>
          <w:tcPr>
            <w:tcW w:w="1303" w:type="dxa"/>
            <w:tcBorders>
              <w:top w:val="nil"/>
              <w:left w:val="nil"/>
              <w:bottom w:val="single" w:sz="4" w:space="0" w:color="000000"/>
              <w:right w:val="nil"/>
            </w:tcBorders>
            <w:shd w:val="clear" w:color="auto" w:fill="auto"/>
            <w:noWrap/>
            <w:vAlign w:val="bottom"/>
            <w:hideMark/>
          </w:tcPr>
          <w:p w:rsidR="00DA4519" w:rsidRPr="00DA4519" w:rsidRDefault="00DA4519" w:rsidP="00DA4519">
            <w:pPr>
              <w:spacing w:after="0" w:line="240" w:lineRule="auto"/>
              <w:jc w:val="center"/>
              <w:rPr>
                <w:rFonts w:ascii="Times New Roman" w:eastAsia="Times New Roman" w:hAnsi="Times New Roman" w:cs="Times New Roman"/>
                <w:sz w:val="20"/>
                <w:szCs w:val="20"/>
              </w:rPr>
            </w:pPr>
            <w:r w:rsidRPr="00DA4519">
              <w:rPr>
                <w:rFonts w:ascii="Times New Roman" w:eastAsia="Times New Roman" w:hAnsi="Times New Roman" w:cs="Times New Roman"/>
                <w:sz w:val="20"/>
                <w:szCs w:val="20"/>
              </w:rPr>
              <w:t>46</w:t>
            </w:r>
          </w:p>
        </w:tc>
      </w:tr>
    </w:tbl>
    <w:p w:rsidR="00D904C9" w:rsidRDefault="00D904C9" w:rsidP="007E4941">
      <w:pPr>
        <w:tabs>
          <w:tab w:val="left" w:pos="720"/>
        </w:tabs>
        <w:spacing w:after="0" w:line="240" w:lineRule="auto"/>
        <w:rPr>
          <w:rFonts w:ascii="Times New Roman" w:hAnsi="Times New Roman" w:cs="Times New Roman"/>
          <w:sz w:val="20"/>
          <w:szCs w:val="20"/>
          <w:lang w:val="pt-BR"/>
        </w:rPr>
      </w:pPr>
      <w:r>
        <w:rPr>
          <w:rFonts w:ascii="Times New Roman" w:hAnsi="Times New Roman" w:cs="Times New Roman"/>
          <w:sz w:val="20"/>
          <w:szCs w:val="20"/>
          <w:lang w:val="pt-BR"/>
        </w:rPr>
        <w:t xml:space="preserve">Onde * p &lt; 0.1; ** p&lt; 0.5; e ***p&lt;0.01. </w:t>
      </w:r>
    </w:p>
    <w:p w:rsidR="00D904C9" w:rsidRPr="00D904C9" w:rsidRDefault="00D904C9" w:rsidP="007E4941">
      <w:pPr>
        <w:tabs>
          <w:tab w:val="left" w:pos="720"/>
        </w:tabs>
        <w:spacing w:after="0" w:line="240" w:lineRule="auto"/>
        <w:jc w:val="center"/>
        <w:rPr>
          <w:rFonts w:ascii="Times New Roman" w:hAnsi="Times New Roman" w:cs="Times New Roman"/>
          <w:sz w:val="20"/>
          <w:szCs w:val="20"/>
          <w:lang w:val="pt-BR"/>
        </w:rPr>
      </w:pPr>
      <w:r>
        <w:rPr>
          <w:rFonts w:ascii="Times New Roman" w:hAnsi="Times New Roman" w:cs="Times New Roman"/>
          <w:sz w:val="20"/>
          <w:szCs w:val="20"/>
          <w:lang w:val="pt-BR"/>
        </w:rPr>
        <w:t xml:space="preserve">Entre parênteses, os desvios padrões estimados dos coeficientes. </w:t>
      </w:r>
      <w:r>
        <w:rPr>
          <w:rFonts w:ascii="Times New Roman" w:hAnsi="Times New Roman" w:cs="Times New Roman"/>
          <w:i/>
          <w:sz w:val="20"/>
          <w:szCs w:val="20"/>
          <w:lang w:val="pt-BR"/>
        </w:rPr>
        <w:t>System-GMM</w:t>
      </w:r>
      <w:r>
        <w:rPr>
          <w:rFonts w:ascii="Times New Roman" w:hAnsi="Times New Roman" w:cs="Times New Roman"/>
          <w:sz w:val="20"/>
          <w:szCs w:val="20"/>
          <w:lang w:val="pt-BR"/>
        </w:rPr>
        <w:t xml:space="preserve"> de um estágio e variáveis instrumentais.</w:t>
      </w:r>
    </w:p>
    <w:p w:rsidR="00D904C9" w:rsidRDefault="00D904C9" w:rsidP="007E4941">
      <w:pPr>
        <w:tabs>
          <w:tab w:val="left" w:pos="720"/>
        </w:tabs>
        <w:spacing w:after="0" w:line="240" w:lineRule="auto"/>
        <w:rPr>
          <w:rFonts w:ascii="Times New Roman" w:hAnsi="Times New Roman" w:cs="Times New Roman"/>
          <w:b/>
          <w:sz w:val="24"/>
          <w:szCs w:val="24"/>
          <w:lang w:val="pt-BR"/>
        </w:rPr>
      </w:pPr>
    </w:p>
    <w:p w:rsidR="00D904C9" w:rsidRDefault="00D904C9" w:rsidP="007E4941">
      <w:pPr>
        <w:tabs>
          <w:tab w:val="left" w:pos="720"/>
        </w:tabs>
        <w:spacing w:after="0" w:line="240" w:lineRule="auto"/>
        <w:ind w:firstLine="720"/>
        <w:jc w:val="center"/>
        <w:rPr>
          <w:rFonts w:ascii="Times New Roman" w:hAnsi="Times New Roman" w:cs="Times New Roman"/>
          <w:b/>
          <w:sz w:val="24"/>
          <w:szCs w:val="24"/>
          <w:lang w:val="pt-BR"/>
        </w:rPr>
      </w:pPr>
    </w:p>
    <w:p w:rsidR="00810F3D" w:rsidRPr="00E73F8D" w:rsidRDefault="000C3E9A" w:rsidP="007E4941">
      <w:pPr>
        <w:tabs>
          <w:tab w:val="left" w:pos="720"/>
        </w:tabs>
        <w:spacing w:after="0" w:line="240" w:lineRule="auto"/>
        <w:ind w:firstLine="720"/>
        <w:jc w:val="center"/>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Tabela 3</w:t>
      </w:r>
      <w:r w:rsidR="00810F3D">
        <w:rPr>
          <w:rFonts w:ascii="Times New Roman" w:hAnsi="Times New Roman" w:cs="Times New Roman"/>
          <w:b/>
          <w:sz w:val="24"/>
          <w:szCs w:val="24"/>
          <w:lang w:val="pt-BR"/>
        </w:rPr>
        <w:t xml:space="preserve"> – D</w:t>
      </w:r>
      <w:r w:rsidR="00810F3D" w:rsidRPr="00E73F8D">
        <w:rPr>
          <w:rFonts w:ascii="Times New Roman" w:hAnsi="Times New Roman" w:cs="Times New Roman"/>
          <w:b/>
          <w:sz w:val="24"/>
          <w:szCs w:val="24"/>
          <w:lang w:val="pt-BR"/>
        </w:rPr>
        <w:t>eterminantes de Desalinhamento com dados RR</w:t>
      </w:r>
      <w:r w:rsidR="008D1FF4" w:rsidRPr="00E73F8D">
        <w:rPr>
          <w:rFonts w:ascii="Times New Roman" w:hAnsi="Times New Roman" w:cs="Times New Roman"/>
          <w:b/>
          <w:sz w:val="24"/>
          <w:szCs w:val="24"/>
          <w:lang w:val="pt-BR"/>
        </w:rPr>
        <w:t>, LYS</w:t>
      </w:r>
      <w:r w:rsidR="00810F3D" w:rsidRPr="00E73F8D">
        <w:rPr>
          <w:rFonts w:ascii="Times New Roman" w:hAnsi="Times New Roman" w:cs="Times New Roman"/>
          <w:b/>
          <w:sz w:val="24"/>
          <w:szCs w:val="24"/>
          <w:lang w:val="pt-BR"/>
        </w:rPr>
        <w:t xml:space="preserve"> e Sebastian Edwards – 1970-2004</w:t>
      </w:r>
    </w:p>
    <w:tbl>
      <w:tblPr>
        <w:tblW w:w="11774" w:type="dxa"/>
        <w:tblInd w:w="94" w:type="dxa"/>
        <w:tblLook w:val="04A0"/>
      </w:tblPr>
      <w:tblGrid>
        <w:gridCol w:w="3465"/>
        <w:gridCol w:w="1575"/>
        <w:gridCol w:w="1526"/>
        <w:gridCol w:w="1575"/>
        <w:gridCol w:w="1211"/>
        <w:gridCol w:w="1211"/>
        <w:gridCol w:w="1211"/>
      </w:tblGrid>
      <w:tr w:rsidR="008F2076" w:rsidRPr="00E73F8D" w:rsidTr="00EF09D4">
        <w:trPr>
          <w:trHeight w:val="530"/>
        </w:trPr>
        <w:tc>
          <w:tcPr>
            <w:tcW w:w="3465" w:type="dxa"/>
            <w:tcBorders>
              <w:top w:val="single" w:sz="4" w:space="0" w:color="auto"/>
              <w:left w:val="nil"/>
              <w:bottom w:val="single" w:sz="4" w:space="0" w:color="auto"/>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lang w:val="pt-BR"/>
              </w:rPr>
            </w:pPr>
            <w:r w:rsidRPr="00E73F8D">
              <w:rPr>
                <w:rFonts w:ascii="Times New Roman" w:eastAsia="Times New Roman" w:hAnsi="Times New Roman" w:cs="Times New Roman"/>
                <w:sz w:val="20"/>
                <w:szCs w:val="20"/>
                <w:lang w:val="pt-BR"/>
              </w:rPr>
              <w:t> </w:t>
            </w:r>
          </w:p>
        </w:tc>
        <w:tc>
          <w:tcPr>
            <w:tcW w:w="1575" w:type="dxa"/>
            <w:tcBorders>
              <w:top w:val="single" w:sz="4" w:space="0" w:color="auto"/>
              <w:left w:val="nil"/>
              <w:bottom w:val="single" w:sz="4" w:space="0" w:color="auto"/>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RR-S(I)</w:t>
            </w:r>
          </w:p>
        </w:tc>
        <w:tc>
          <w:tcPr>
            <w:tcW w:w="1526" w:type="dxa"/>
            <w:tcBorders>
              <w:top w:val="single" w:sz="4" w:space="0" w:color="auto"/>
              <w:left w:val="nil"/>
              <w:bottom w:val="single" w:sz="4" w:space="0" w:color="auto"/>
              <w:right w:val="nil"/>
            </w:tcBorders>
            <w:shd w:val="clear" w:color="auto" w:fill="auto"/>
            <w:noWrap/>
            <w:vAlign w:val="bottom"/>
            <w:hideMark/>
          </w:tcPr>
          <w:p w:rsidR="008F2076" w:rsidRPr="00E73F8D" w:rsidRDefault="00EF09D4" w:rsidP="008F2076">
            <w:pPr>
              <w:spacing w:after="0" w:line="240" w:lineRule="auto"/>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RR-S(II)</w:t>
            </w:r>
          </w:p>
        </w:tc>
        <w:tc>
          <w:tcPr>
            <w:tcW w:w="1575" w:type="dxa"/>
            <w:tcBorders>
              <w:top w:val="single" w:sz="4" w:space="0" w:color="auto"/>
              <w:left w:val="nil"/>
              <w:bottom w:val="single" w:sz="4" w:space="0" w:color="auto"/>
              <w:right w:val="nil"/>
            </w:tcBorders>
            <w:shd w:val="clear" w:color="auto" w:fill="auto"/>
            <w:noWrap/>
            <w:vAlign w:val="bottom"/>
            <w:hideMark/>
          </w:tcPr>
          <w:p w:rsidR="008F2076" w:rsidRPr="00E73F8D" w:rsidRDefault="00EF09D4" w:rsidP="008F2076">
            <w:pPr>
              <w:spacing w:after="0" w:line="240" w:lineRule="auto"/>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RR-S(III)</w:t>
            </w:r>
          </w:p>
        </w:tc>
        <w:tc>
          <w:tcPr>
            <w:tcW w:w="1211" w:type="dxa"/>
            <w:tcBorders>
              <w:top w:val="single" w:sz="4" w:space="0" w:color="auto"/>
              <w:left w:val="nil"/>
              <w:bottom w:val="single" w:sz="4" w:space="0" w:color="auto"/>
              <w:right w:val="nil"/>
            </w:tcBorders>
            <w:shd w:val="clear" w:color="auto" w:fill="auto"/>
            <w:noWrap/>
            <w:vAlign w:val="bottom"/>
            <w:hideMark/>
          </w:tcPr>
          <w:p w:rsidR="008F2076" w:rsidRPr="00E73F8D" w:rsidRDefault="00EF09D4" w:rsidP="008F2076">
            <w:pPr>
              <w:spacing w:after="0" w:line="240" w:lineRule="auto"/>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LYS-S(I)</w:t>
            </w:r>
          </w:p>
        </w:tc>
        <w:tc>
          <w:tcPr>
            <w:tcW w:w="1211" w:type="dxa"/>
            <w:tcBorders>
              <w:top w:val="single" w:sz="4" w:space="0" w:color="auto"/>
              <w:left w:val="nil"/>
              <w:bottom w:val="single" w:sz="4" w:space="0" w:color="auto"/>
              <w:right w:val="nil"/>
            </w:tcBorders>
            <w:shd w:val="clear" w:color="auto" w:fill="auto"/>
            <w:noWrap/>
            <w:vAlign w:val="bottom"/>
            <w:hideMark/>
          </w:tcPr>
          <w:p w:rsidR="008F2076" w:rsidRPr="00E73F8D" w:rsidRDefault="00EF09D4" w:rsidP="008F2076">
            <w:pPr>
              <w:spacing w:after="0" w:line="240" w:lineRule="auto"/>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LYS-S(II)</w:t>
            </w:r>
          </w:p>
        </w:tc>
        <w:tc>
          <w:tcPr>
            <w:tcW w:w="1211" w:type="dxa"/>
            <w:tcBorders>
              <w:top w:val="single" w:sz="4" w:space="0" w:color="auto"/>
              <w:left w:val="nil"/>
              <w:bottom w:val="single" w:sz="4" w:space="0" w:color="auto"/>
              <w:right w:val="nil"/>
            </w:tcBorders>
            <w:shd w:val="clear" w:color="auto" w:fill="auto"/>
            <w:noWrap/>
            <w:vAlign w:val="bottom"/>
            <w:hideMark/>
          </w:tcPr>
          <w:p w:rsidR="008F2076" w:rsidRPr="00E73F8D" w:rsidRDefault="00EF09D4" w:rsidP="008F2076">
            <w:pPr>
              <w:spacing w:after="0" w:line="240" w:lineRule="auto"/>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LYS-S(III)</w:t>
            </w:r>
          </w:p>
        </w:tc>
      </w:tr>
      <w:tr w:rsidR="008F2076" w:rsidRPr="00E73F8D" w:rsidTr="008F2076">
        <w:trPr>
          <w:trHeight w:val="257"/>
        </w:trPr>
        <w:tc>
          <w:tcPr>
            <w:tcW w:w="3465" w:type="dxa"/>
            <w:tcBorders>
              <w:top w:val="nil"/>
              <w:left w:val="nil"/>
              <w:bottom w:val="nil"/>
              <w:right w:val="nil"/>
            </w:tcBorders>
            <w:shd w:val="clear" w:color="auto" w:fill="auto"/>
            <w:noWrap/>
            <w:vAlign w:val="bottom"/>
            <w:hideMark/>
          </w:tcPr>
          <w:p w:rsidR="008F2076" w:rsidRPr="00E73F8D" w:rsidRDefault="002978C0" w:rsidP="008F20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Defasagem V.</w:t>
            </w:r>
            <w:r w:rsidR="008F2076" w:rsidRPr="00E73F8D">
              <w:rPr>
                <w:rFonts w:ascii="Times New Roman" w:eastAsia="Times New Roman" w:hAnsi="Times New Roman" w:cs="Times New Roman"/>
                <w:sz w:val="20"/>
                <w:szCs w:val="20"/>
              </w:rPr>
              <w:t xml:space="preserve"> Dependente</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890***</w:t>
            </w:r>
          </w:p>
        </w:tc>
        <w:tc>
          <w:tcPr>
            <w:tcW w:w="1526"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922***</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916***</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866***</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920***</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881***</w:t>
            </w:r>
          </w:p>
        </w:tc>
      </w:tr>
      <w:tr w:rsidR="008F2076" w:rsidRPr="00E73F8D" w:rsidTr="008F2076">
        <w:trPr>
          <w:trHeight w:val="257"/>
        </w:trPr>
        <w:tc>
          <w:tcPr>
            <w:tcW w:w="346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110)</w:t>
            </w:r>
          </w:p>
        </w:tc>
        <w:tc>
          <w:tcPr>
            <w:tcW w:w="1526"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0795)</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0969)</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0571)</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0797)</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0516)</w:t>
            </w:r>
          </w:p>
        </w:tc>
      </w:tr>
      <w:tr w:rsidR="008F2076" w:rsidRPr="00E73F8D" w:rsidTr="008F2076">
        <w:trPr>
          <w:trHeight w:val="257"/>
        </w:trPr>
        <w:tc>
          <w:tcPr>
            <w:tcW w:w="346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lang w:val="pt-BR"/>
              </w:rPr>
            </w:pPr>
            <w:r w:rsidRPr="00E73F8D">
              <w:rPr>
                <w:rFonts w:ascii="Times New Roman" w:eastAsia="Times New Roman" w:hAnsi="Times New Roman" w:cs="Times New Roman"/>
                <w:sz w:val="20"/>
                <w:szCs w:val="20"/>
                <w:lang w:val="pt-BR"/>
              </w:rPr>
              <w:t>Abertura da Conta de Capitais</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141</w:t>
            </w:r>
          </w:p>
        </w:tc>
        <w:tc>
          <w:tcPr>
            <w:tcW w:w="1526" w:type="dxa"/>
            <w:tcBorders>
              <w:top w:val="nil"/>
              <w:left w:val="nil"/>
              <w:bottom w:val="nil"/>
              <w:right w:val="nil"/>
            </w:tcBorders>
            <w:shd w:val="clear" w:color="auto" w:fill="auto"/>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112</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0536</w:t>
            </w:r>
          </w:p>
        </w:tc>
        <w:tc>
          <w:tcPr>
            <w:tcW w:w="1211" w:type="dxa"/>
            <w:tcBorders>
              <w:top w:val="nil"/>
              <w:left w:val="nil"/>
              <w:bottom w:val="nil"/>
              <w:right w:val="nil"/>
            </w:tcBorders>
            <w:shd w:val="clear" w:color="auto" w:fill="auto"/>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351**</w:t>
            </w:r>
          </w:p>
        </w:tc>
      </w:tr>
      <w:tr w:rsidR="008F2076" w:rsidRPr="00E73F8D" w:rsidTr="008F2076">
        <w:trPr>
          <w:trHeight w:val="257"/>
        </w:trPr>
        <w:tc>
          <w:tcPr>
            <w:tcW w:w="346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194)</w:t>
            </w:r>
          </w:p>
        </w:tc>
        <w:tc>
          <w:tcPr>
            <w:tcW w:w="1526" w:type="dxa"/>
            <w:tcBorders>
              <w:top w:val="nil"/>
              <w:left w:val="nil"/>
              <w:bottom w:val="nil"/>
              <w:right w:val="nil"/>
            </w:tcBorders>
            <w:shd w:val="clear" w:color="auto" w:fill="auto"/>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575" w:type="dxa"/>
            <w:tcBorders>
              <w:top w:val="nil"/>
              <w:left w:val="nil"/>
              <w:bottom w:val="nil"/>
              <w:right w:val="nil"/>
            </w:tcBorders>
            <w:shd w:val="clear" w:color="auto" w:fill="auto"/>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203)</w:t>
            </w:r>
          </w:p>
        </w:tc>
        <w:tc>
          <w:tcPr>
            <w:tcW w:w="1211" w:type="dxa"/>
            <w:tcBorders>
              <w:top w:val="nil"/>
              <w:left w:val="nil"/>
              <w:bottom w:val="nil"/>
              <w:right w:val="nil"/>
            </w:tcBorders>
            <w:shd w:val="clear" w:color="auto" w:fill="auto"/>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173)</w:t>
            </w:r>
          </w:p>
        </w:tc>
      </w:tr>
      <w:tr w:rsidR="008F2076" w:rsidRPr="00E73F8D" w:rsidTr="00146C03">
        <w:trPr>
          <w:trHeight w:val="257"/>
        </w:trPr>
        <w:tc>
          <w:tcPr>
            <w:tcW w:w="3465"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Regimes Fixos</w:t>
            </w:r>
          </w:p>
        </w:tc>
        <w:tc>
          <w:tcPr>
            <w:tcW w:w="1575"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365*</w:t>
            </w:r>
          </w:p>
        </w:tc>
        <w:tc>
          <w:tcPr>
            <w:tcW w:w="1526"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575"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211"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442***</w:t>
            </w:r>
          </w:p>
        </w:tc>
        <w:tc>
          <w:tcPr>
            <w:tcW w:w="1211"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211"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r>
      <w:tr w:rsidR="008F2076" w:rsidRPr="00E73F8D" w:rsidTr="00146C03">
        <w:trPr>
          <w:trHeight w:val="257"/>
        </w:trPr>
        <w:tc>
          <w:tcPr>
            <w:tcW w:w="3465"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p>
        </w:tc>
        <w:tc>
          <w:tcPr>
            <w:tcW w:w="1575"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199)</w:t>
            </w:r>
          </w:p>
        </w:tc>
        <w:tc>
          <w:tcPr>
            <w:tcW w:w="1526"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575"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211"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147)</w:t>
            </w:r>
          </w:p>
        </w:tc>
        <w:tc>
          <w:tcPr>
            <w:tcW w:w="1211"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211"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r>
      <w:tr w:rsidR="008F2076" w:rsidRPr="00E73F8D" w:rsidTr="00146C03">
        <w:trPr>
          <w:trHeight w:val="257"/>
        </w:trPr>
        <w:tc>
          <w:tcPr>
            <w:tcW w:w="3465"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Regimes Intermediários</w:t>
            </w:r>
          </w:p>
        </w:tc>
        <w:tc>
          <w:tcPr>
            <w:tcW w:w="1575"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526"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0433</w:t>
            </w:r>
          </w:p>
        </w:tc>
        <w:tc>
          <w:tcPr>
            <w:tcW w:w="1575"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211"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211"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00689</w:t>
            </w:r>
          </w:p>
        </w:tc>
        <w:tc>
          <w:tcPr>
            <w:tcW w:w="1211"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r>
      <w:tr w:rsidR="008F2076" w:rsidRPr="00E73F8D" w:rsidTr="00146C03">
        <w:trPr>
          <w:trHeight w:val="257"/>
        </w:trPr>
        <w:tc>
          <w:tcPr>
            <w:tcW w:w="3465"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p>
        </w:tc>
        <w:tc>
          <w:tcPr>
            <w:tcW w:w="1575"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526"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0955)</w:t>
            </w:r>
          </w:p>
        </w:tc>
        <w:tc>
          <w:tcPr>
            <w:tcW w:w="1575"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211"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211"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00591)</w:t>
            </w:r>
          </w:p>
        </w:tc>
        <w:tc>
          <w:tcPr>
            <w:tcW w:w="1211"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r>
      <w:tr w:rsidR="008F2076" w:rsidRPr="00E73F8D" w:rsidTr="00146C03">
        <w:trPr>
          <w:trHeight w:val="257"/>
        </w:trPr>
        <w:tc>
          <w:tcPr>
            <w:tcW w:w="3465"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Regimes Flutuantes</w:t>
            </w:r>
          </w:p>
        </w:tc>
        <w:tc>
          <w:tcPr>
            <w:tcW w:w="1575"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526"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575"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269**</w:t>
            </w:r>
          </w:p>
        </w:tc>
        <w:tc>
          <w:tcPr>
            <w:tcW w:w="1211"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211"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211"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225*</w:t>
            </w:r>
          </w:p>
        </w:tc>
      </w:tr>
      <w:tr w:rsidR="008F2076" w:rsidRPr="00E73F8D" w:rsidTr="00146C03">
        <w:trPr>
          <w:trHeight w:val="257"/>
        </w:trPr>
        <w:tc>
          <w:tcPr>
            <w:tcW w:w="3465"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p>
        </w:tc>
        <w:tc>
          <w:tcPr>
            <w:tcW w:w="1575"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526"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575"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129)</w:t>
            </w:r>
          </w:p>
        </w:tc>
        <w:tc>
          <w:tcPr>
            <w:tcW w:w="1211"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211" w:type="dxa"/>
            <w:tcBorders>
              <w:top w:val="nil"/>
              <w:left w:val="nil"/>
              <w:bottom w:val="nil"/>
              <w:right w:val="nil"/>
            </w:tcBorders>
            <w:shd w:val="clear" w:color="auto" w:fill="D9D9D9" w:themeFill="background1" w:themeFillShade="D9"/>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211" w:type="dxa"/>
            <w:tcBorders>
              <w:top w:val="nil"/>
              <w:left w:val="nil"/>
              <w:bottom w:val="nil"/>
              <w:right w:val="nil"/>
            </w:tcBorders>
            <w:shd w:val="clear" w:color="auto" w:fill="D9D9D9" w:themeFill="background1" w:themeFillShade="D9"/>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121)</w:t>
            </w:r>
          </w:p>
        </w:tc>
      </w:tr>
      <w:tr w:rsidR="008F2076" w:rsidRPr="00E73F8D" w:rsidTr="00EF09D4">
        <w:trPr>
          <w:trHeight w:val="257"/>
        </w:trPr>
        <w:tc>
          <w:tcPr>
            <w:tcW w:w="3465" w:type="dxa"/>
            <w:tcBorders>
              <w:top w:val="nil"/>
              <w:left w:val="nil"/>
              <w:bottom w:val="single" w:sz="4" w:space="0" w:color="auto"/>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Variáveis de Controle</w:t>
            </w:r>
          </w:p>
        </w:tc>
        <w:tc>
          <w:tcPr>
            <w:tcW w:w="1575" w:type="dxa"/>
            <w:tcBorders>
              <w:top w:val="nil"/>
              <w:left w:val="nil"/>
              <w:bottom w:val="single" w:sz="4" w:space="0" w:color="auto"/>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526" w:type="dxa"/>
            <w:tcBorders>
              <w:top w:val="nil"/>
              <w:left w:val="nil"/>
              <w:bottom w:val="single" w:sz="4" w:space="0" w:color="auto"/>
              <w:right w:val="nil"/>
            </w:tcBorders>
            <w:shd w:val="clear" w:color="auto" w:fill="auto"/>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575" w:type="dxa"/>
            <w:tcBorders>
              <w:top w:val="nil"/>
              <w:left w:val="nil"/>
              <w:bottom w:val="single" w:sz="4" w:space="0" w:color="auto"/>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p>
        </w:tc>
        <w:tc>
          <w:tcPr>
            <w:tcW w:w="1211" w:type="dxa"/>
            <w:tcBorders>
              <w:top w:val="nil"/>
              <w:left w:val="nil"/>
              <w:bottom w:val="single" w:sz="4" w:space="0" w:color="auto"/>
              <w:right w:val="nil"/>
            </w:tcBorders>
            <w:shd w:val="clear" w:color="auto" w:fill="auto"/>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211" w:type="dxa"/>
            <w:tcBorders>
              <w:top w:val="nil"/>
              <w:left w:val="nil"/>
              <w:bottom w:val="single" w:sz="4" w:space="0" w:color="auto"/>
              <w:right w:val="nil"/>
            </w:tcBorders>
            <w:shd w:val="clear" w:color="auto" w:fill="auto"/>
            <w:noWrap/>
            <w:vAlign w:val="bottom"/>
            <w:hideMark/>
          </w:tcPr>
          <w:p w:rsidR="008F2076" w:rsidRPr="00E73F8D" w:rsidRDefault="00EF09D4"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w:t>
            </w:r>
          </w:p>
        </w:tc>
        <w:tc>
          <w:tcPr>
            <w:tcW w:w="1211" w:type="dxa"/>
            <w:tcBorders>
              <w:top w:val="nil"/>
              <w:left w:val="nil"/>
              <w:bottom w:val="single" w:sz="4" w:space="0" w:color="auto"/>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p>
        </w:tc>
      </w:tr>
      <w:tr w:rsidR="008F2076" w:rsidRPr="00E73F8D" w:rsidTr="00EF09D4">
        <w:trPr>
          <w:trHeight w:val="257"/>
        </w:trPr>
        <w:tc>
          <w:tcPr>
            <w:tcW w:w="3465" w:type="dxa"/>
            <w:tcBorders>
              <w:top w:val="single" w:sz="4" w:space="0" w:color="auto"/>
              <w:left w:val="nil"/>
              <w:bottom w:val="nil"/>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p>
        </w:tc>
        <w:tc>
          <w:tcPr>
            <w:tcW w:w="1575" w:type="dxa"/>
            <w:tcBorders>
              <w:top w:val="single" w:sz="4" w:space="0" w:color="auto"/>
              <w:left w:val="nil"/>
              <w:bottom w:val="nil"/>
              <w:right w:val="nil"/>
            </w:tcBorders>
            <w:shd w:val="clear" w:color="auto" w:fill="auto"/>
            <w:noWrap/>
            <w:vAlign w:val="bottom"/>
            <w:hideMark/>
          </w:tcPr>
          <w:p w:rsidR="008F2076" w:rsidRPr="00E73F8D" w:rsidRDefault="008F2076" w:rsidP="00EF09D4">
            <w:pPr>
              <w:spacing w:after="0" w:line="240" w:lineRule="auto"/>
              <w:rPr>
                <w:rFonts w:ascii="Times New Roman" w:eastAsia="Times New Roman" w:hAnsi="Times New Roman" w:cs="Times New Roman"/>
                <w:sz w:val="20"/>
                <w:szCs w:val="20"/>
              </w:rPr>
            </w:pPr>
          </w:p>
        </w:tc>
        <w:tc>
          <w:tcPr>
            <w:tcW w:w="1526" w:type="dxa"/>
            <w:tcBorders>
              <w:top w:val="single" w:sz="4" w:space="0" w:color="auto"/>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p>
        </w:tc>
        <w:tc>
          <w:tcPr>
            <w:tcW w:w="1575" w:type="dxa"/>
            <w:tcBorders>
              <w:top w:val="single" w:sz="4" w:space="0" w:color="auto"/>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p>
        </w:tc>
        <w:tc>
          <w:tcPr>
            <w:tcW w:w="1211" w:type="dxa"/>
            <w:tcBorders>
              <w:top w:val="single" w:sz="4" w:space="0" w:color="auto"/>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p>
        </w:tc>
        <w:tc>
          <w:tcPr>
            <w:tcW w:w="1211" w:type="dxa"/>
            <w:tcBorders>
              <w:top w:val="single" w:sz="4" w:space="0" w:color="auto"/>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p>
        </w:tc>
        <w:tc>
          <w:tcPr>
            <w:tcW w:w="1211" w:type="dxa"/>
            <w:tcBorders>
              <w:top w:val="single" w:sz="4" w:space="0" w:color="auto"/>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p>
        </w:tc>
      </w:tr>
      <w:tr w:rsidR="008F2076" w:rsidRPr="00E73F8D" w:rsidTr="008F2076">
        <w:trPr>
          <w:trHeight w:val="302"/>
        </w:trPr>
        <w:tc>
          <w:tcPr>
            <w:tcW w:w="346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i/>
                <w:iCs/>
                <w:color w:val="000000"/>
              </w:rPr>
            </w:pPr>
            <w:r w:rsidRPr="00E73F8D">
              <w:rPr>
                <w:rFonts w:ascii="Times New Roman" w:eastAsia="Times New Roman" w:hAnsi="Times New Roman" w:cs="Times New Roman"/>
                <w:i/>
                <w:iCs/>
                <w:color w:val="000000"/>
              </w:rPr>
              <w:t>Inflação</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0600*</w:t>
            </w:r>
          </w:p>
        </w:tc>
        <w:tc>
          <w:tcPr>
            <w:tcW w:w="1526"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0766**</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0552**</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0116</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0147</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0211*</w:t>
            </w:r>
          </w:p>
        </w:tc>
      </w:tr>
      <w:tr w:rsidR="008F2076" w:rsidRPr="00E73F8D" w:rsidTr="008F2076">
        <w:trPr>
          <w:trHeight w:val="302"/>
        </w:trPr>
        <w:tc>
          <w:tcPr>
            <w:tcW w:w="346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i/>
                <w:iCs/>
                <w:color w:val="000000"/>
              </w:rPr>
            </w:pP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0308)</w:t>
            </w:r>
          </w:p>
        </w:tc>
        <w:tc>
          <w:tcPr>
            <w:tcW w:w="1526"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0346)</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0272)</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0121)</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0191)</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0112)</w:t>
            </w:r>
          </w:p>
        </w:tc>
      </w:tr>
      <w:tr w:rsidR="008F2076" w:rsidRPr="00E73F8D" w:rsidTr="008F2076">
        <w:trPr>
          <w:trHeight w:val="257"/>
        </w:trPr>
        <w:tc>
          <w:tcPr>
            <w:tcW w:w="346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i/>
                <w:iCs/>
                <w:sz w:val="20"/>
                <w:szCs w:val="20"/>
              </w:rPr>
            </w:pPr>
            <w:r w:rsidRPr="00E73F8D">
              <w:rPr>
                <w:rFonts w:ascii="Times New Roman" w:eastAsia="Times New Roman" w:hAnsi="Times New Roman" w:cs="Times New Roman"/>
                <w:i/>
                <w:iCs/>
                <w:sz w:val="20"/>
                <w:szCs w:val="20"/>
              </w:rPr>
              <w:t>Termos de Troca</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0963</w:t>
            </w:r>
          </w:p>
        </w:tc>
        <w:tc>
          <w:tcPr>
            <w:tcW w:w="1526"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0130</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0260</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499*</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0157</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628**</w:t>
            </w:r>
          </w:p>
        </w:tc>
      </w:tr>
      <w:tr w:rsidR="008F2076" w:rsidRPr="00E73F8D" w:rsidTr="008F2076">
        <w:trPr>
          <w:trHeight w:val="257"/>
        </w:trPr>
        <w:tc>
          <w:tcPr>
            <w:tcW w:w="346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130)</w:t>
            </w:r>
          </w:p>
        </w:tc>
        <w:tc>
          <w:tcPr>
            <w:tcW w:w="1526"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123)</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129)</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257)</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120)</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251)</w:t>
            </w:r>
          </w:p>
        </w:tc>
      </w:tr>
      <w:tr w:rsidR="008F2076" w:rsidRPr="00E73F8D" w:rsidTr="008F2076">
        <w:trPr>
          <w:trHeight w:val="302"/>
        </w:trPr>
        <w:tc>
          <w:tcPr>
            <w:tcW w:w="346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i/>
                <w:iCs/>
                <w:color w:val="000000"/>
              </w:rPr>
            </w:pPr>
            <w:r w:rsidRPr="00E73F8D">
              <w:rPr>
                <w:rFonts w:ascii="Times New Roman" w:eastAsia="Times New Roman" w:hAnsi="Times New Roman" w:cs="Times New Roman"/>
                <w:i/>
                <w:iCs/>
                <w:color w:val="000000"/>
              </w:rPr>
              <w:t>Poupança Doméstica</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000627</w:t>
            </w:r>
          </w:p>
        </w:tc>
        <w:tc>
          <w:tcPr>
            <w:tcW w:w="1526"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0009</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0079</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00883*</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00689</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00285</w:t>
            </w:r>
          </w:p>
        </w:tc>
      </w:tr>
      <w:tr w:rsidR="008F2076" w:rsidRPr="00E73F8D" w:rsidTr="008F2076">
        <w:trPr>
          <w:trHeight w:val="302"/>
        </w:trPr>
        <w:tc>
          <w:tcPr>
            <w:tcW w:w="346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i/>
                <w:iCs/>
                <w:color w:val="000000"/>
              </w:rPr>
            </w:pP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00579)</w:t>
            </w:r>
          </w:p>
        </w:tc>
        <w:tc>
          <w:tcPr>
            <w:tcW w:w="1526"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00582)</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00561)</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00466)</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00591)</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00405)</w:t>
            </w:r>
          </w:p>
        </w:tc>
      </w:tr>
      <w:tr w:rsidR="008F2076" w:rsidRPr="00E73F8D" w:rsidTr="008F2076">
        <w:trPr>
          <w:trHeight w:val="302"/>
        </w:trPr>
        <w:tc>
          <w:tcPr>
            <w:tcW w:w="346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i/>
                <w:iCs/>
                <w:color w:val="000000"/>
              </w:rPr>
            </w:pPr>
            <w:r w:rsidRPr="00E73F8D">
              <w:rPr>
                <w:rFonts w:ascii="Times New Roman" w:eastAsia="Times New Roman" w:hAnsi="Times New Roman" w:cs="Times New Roman"/>
                <w:i/>
                <w:iCs/>
                <w:color w:val="000000"/>
              </w:rPr>
              <w:t>Peso do Governo (%)</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00507</w:t>
            </w:r>
          </w:p>
        </w:tc>
        <w:tc>
          <w:tcPr>
            <w:tcW w:w="1526"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00241</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00812**</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00284</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00477</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000717</w:t>
            </w:r>
          </w:p>
        </w:tc>
      </w:tr>
      <w:tr w:rsidR="008F2076" w:rsidRPr="00E73F8D" w:rsidTr="008F2076">
        <w:trPr>
          <w:trHeight w:val="257"/>
        </w:trPr>
        <w:tc>
          <w:tcPr>
            <w:tcW w:w="346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00563)</w:t>
            </w:r>
          </w:p>
        </w:tc>
        <w:tc>
          <w:tcPr>
            <w:tcW w:w="1526"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00444)</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00403)</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0042</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00472)</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00385)</w:t>
            </w:r>
          </w:p>
        </w:tc>
      </w:tr>
      <w:tr w:rsidR="008F2076" w:rsidRPr="00E73F8D" w:rsidTr="008F2076">
        <w:trPr>
          <w:trHeight w:val="257"/>
        </w:trPr>
        <w:tc>
          <w:tcPr>
            <w:tcW w:w="346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i/>
                <w:iCs/>
                <w:sz w:val="20"/>
                <w:szCs w:val="20"/>
              </w:rPr>
            </w:pPr>
            <w:r w:rsidRPr="00E73F8D">
              <w:rPr>
                <w:rFonts w:ascii="Times New Roman" w:eastAsia="Times New Roman" w:hAnsi="Times New Roman" w:cs="Times New Roman"/>
                <w:i/>
                <w:iCs/>
                <w:sz w:val="20"/>
                <w:szCs w:val="20"/>
              </w:rPr>
              <w:t>Estoque da Dívida Pública</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0,000</w:t>
            </w:r>
          </w:p>
        </w:tc>
        <w:tc>
          <w:tcPr>
            <w:tcW w:w="1526"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0,000</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0,000</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0,000</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0,000</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0,000</w:t>
            </w:r>
          </w:p>
        </w:tc>
      </w:tr>
      <w:tr w:rsidR="008F2076" w:rsidRPr="00E73F8D" w:rsidTr="008F2076">
        <w:trPr>
          <w:trHeight w:val="257"/>
        </w:trPr>
        <w:tc>
          <w:tcPr>
            <w:tcW w:w="346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(0,000)</w:t>
            </w:r>
          </w:p>
        </w:tc>
        <w:tc>
          <w:tcPr>
            <w:tcW w:w="1526"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(0,000)</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(0,000)</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(0,000)</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(0,000)</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(0,000)</w:t>
            </w:r>
          </w:p>
        </w:tc>
      </w:tr>
      <w:tr w:rsidR="008F2076" w:rsidRPr="00E73F8D" w:rsidTr="008F2076">
        <w:trPr>
          <w:trHeight w:val="257"/>
        </w:trPr>
        <w:tc>
          <w:tcPr>
            <w:tcW w:w="346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Intercepto</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187</w:t>
            </w:r>
          </w:p>
        </w:tc>
        <w:tc>
          <w:tcPr>
            <w:tcW w:w="1526"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0154</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362*</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613**</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171</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489**</w:t>
            </w:r>
          </w:p>
        </w:tc>
      </w:tr>
      <w:tr w:rsidR="008F2076" w:rsidRPr="00E73F8D" w:rsidTr="00EF09D4">
        <w:trPr>
          <w:trHeight w:val="257"/>
        </w:trPr>
        <w:tc>
          <w:tcPr>
            <w:tcW w:w="3465" w:type="dxa"/>
            <w:tcBorders>
              <w:top w:val="nil"/>
              <w:left w:val="nil"/>
              <w:bottom w:val="single" w:sz="4" w:space="0" w:color="auto"/>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 </w:t>
            </w:r>
          </w:p>
        </w:tc>
        <w:tc>
          <w:tcPr>
            <w:tcW w:w="1575" w:type="dxa"/>
            <w:tcBorders>
              <w:top w:val="nil"/>
              <w:left w:val="nil"/>
              <w:bottom w:val="single" w:sz="4" w:space="0" w:color="auto"/>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247)</w:t>
            </w:r>
          </w:p>
        </w:tc>
        <w:tc>
          <w:tcPr>
            <w:tcW w:w="1526" w:type="dxa"/>
            <w:tcBorders>
              <w:top w:val="nil"/>
              <w:left w:val="nil"/>
              <w:bottom w:val="single" w:sz="4" w:space="0" w:color="auto"/>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166)</w:t>
            </w:r>
          </w:p>
        </w:tc>
        <w:tc>
          <w:tcPr>
            <w:tcW w:w="1575" w:type="dxa"/>
            <w:tcBorders>
              <w:top w:val="nil"/>
              <w:left w:val="nil"/>
              <w:bottom w:val="single" w:sz="4" w:space="0" w:color="auto"/>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194)</w:t>
            </w:r>
          </w:p>
        </w:tc>
        <w:tc>
          <w:tcPr>
            <w:tcW w:w="1211" w:type="dxa"/>
            <w:tcBorders>
              <w:top w:val="nil"/>
              <w:left w:val="nil"/>
              <w:bottom w:val="single" w:sz="4" w:space="0" w:color="auto"/>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265)</w:t>
            </w:r>
          </w:p>
        </w:tc>
        <w:tc>
          <w:tcPr>
            <w:tcW w:w="1211" w:type="dxa"/>
            <w:tcBorders>
              <w:top w:val="nil"/>
              <w:left w:val="nil"/>
              <w:bottom w:val="single" w:sz="4" w:space="0" w:color="auto"/>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168)</w:t>
            </w:r>
          </w:p>
        </w:tc>
        <w:tc>
          <w:tcPr>
            <w:tcW w:w="1211" w:type="dxa"/>
            <w:tcBorders>
              <w:top w:val="nil"/>
              <w:left w:val="nil"/>
              <w:bottom w:val="single" w:sz="4" w:space="0" w:color="auto"/>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241)</w:t>
            </w:r>
          </w:p>
        </w:tc>
      </w:tr>
      <w:tr w:rsidR="008F2076" w:rsidRPr="00E73F8D" w:rsidTr="008F2076">
        <w:trPr>
          <w:trHeight w:val="257"/>
        </w:trPr>
        <w:tc>
          <w:tcPr>
            <w:tcW w:w="346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 xml:space="preserve">Teste AR(1) </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0,000</w:t>
            </w:r>
          </w:p>
        </w:tc>
        <w:tc>
          <w:tcPr>
            <w:tcW w:w="1526"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0,000</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0,000</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p>
        </w:tc>
      </w:tr>
      <w:tr w:rsidR="008F2076" w:rsidRPr="00E73F8D" w:rsidTr="008F2076">
        <w:trPr>
          <w:trHeight w:val="257"/>
        </w:trPr>
        <w:tc>
          <w:tcPr>
            <w:tcW w:w="346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Teste AR(2)</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514</w:t>
            </w:r>
          </w:p>
        </w:tc>
        <w:tc>
          <w:tcPr>
            <w:tcW w:w="1526"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872</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913</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8290</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4260</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6660</w:t>
            </w:r>
          </w:p>
        </w:tc>
      </w:tr>
      <w:tr w:rsidR="008F2076" w:rsidRPr="00E73F8D" w:rsidTr="008F2076">
        <w:trPr>
          <w:trHeight w:val="257"/>
        </w:trPr>
        <w:tc>
          <w:tcPr>
            <w:tcW w:w="346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Teste Sargan</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922</w:t>
            </w:r>
          </w:p>
        </w:tc>
        <w:tc>
          <w:tcPr>
            <w:tcW w:w="1526"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821</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864</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1350</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1300</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0</w:t>
            </w:r>
            <w:r w:rsidR="00EF09D4" w:rsidRPr="00E73F8D">
              <w:rPr>
                <w:rFonts w:ascii="Times New Roman" w:eastAsia="Times New Roman" w:hAnsi="Times New Roman" w:cs="Times New Roman"/>
                <w:sz w:val="20"/>
                <w:szCs w:val="20"/>
              </w:rPr>
              <w:t>,</w:t>
            </w:r>
            <w:r w:rsidRPr="00E73F8D">
              <w:rPr>
                <w:rFonts w:ascii="Times New Roman" w:eastAsia="Times New Roman" w:hAnsi="Times New Roman" w:cs="Times New Roman"/>
                <w:sz w:val="20"/>
                <w:szCs w:val="20"/>
              </w:rPr>
              <w:t>2440</w:t>
            </w:r>
          </w:p>
        </w:tc>
      </w:tr>
      <w:tr w:rsidR="008F2076" w:rsidRPr="00E73F8D" w:rsidTr="008F2076">
        <w:trPr>
          <w:trHeight w:val="257"/>
        </w:trPr>
        <w:tc>
          <w:tcPr>
            <w:tcW w:w="346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Observações</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603</w:t>
            </w:r>
          </w:p>
        </w:tc>
        <w:tc>
          <w:tcPr>
            <w:tcW w:w="1526"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603</w:t>
            </w:r>
          </w:p>
        </w:tc>
        <w:tc>
          <w:tcPr>
            <w:tcW w:w="1575"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603</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603</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603</w:t>
            </w:r>
          </w:p>
        </w:tc>
        <w:tc>
          <w:tcPr>
            <w:tcW w:w="1211" w:type="dxa"/>
            <w:tcBorders>
              <w:top w:val="nil"/>
              <w:left w:val="nil"/>
              <w:bottom w:val="nil"/>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603</w:t>
            </w:r>
          </w:p>
        </w:tc>
      </w:tr>
      <w:tr w:rsidR="008F2076" w:rsidRPr="00E73F8D" w:rsidTr="00EF09D4">
        <w:trPr>
          <w:trHeight w:val="272"/>
        </w:trPr>
        <w:tc>
          <w:tcPr>
            <w:tcW w:w="3465" w:type="dxa"/>
            <w:tcBorders>
              <w:top w:val="nil"/>
              <w:left w:val="nil"/>
              <w:bottom w:val="single" w:sz="8" w:space="0" w:color="auto"/>
              <w:right w:val="nil"/>
            </w:tcBorders>
            <w:shd w:val="clear" w:color="auto" w:fill="auto"/>
            <w:noWrap/>
            <w:vAlign w:val="bottom"/>
            <w:hideMark/>
          </w:tcPr>
          <w:p w:rsidR="008F2076" w:rsidRPr="00E73F8D" w:rsidRDefault="008F2076" w:rsidP="008F2076">
            <w:pPr>
              <w:spacing w:after="0" w:line="240" w:lineRule="auto"/>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Países</w:t>
            </w:r>
          </w:p>
        </w:tc>
        <w:tc>
          <w:tcPr>
            <w:tcW w:w="1575" w:type="dxa"/>
            <w:tcBorders>
              <w:top w:val="nil"/>
              <w:left w:val="nil"/>
              <w:bottom w:val="single" w:sz="4" w:space="0" w:color="000000"/>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38</w:t>
            </w:r>
          </w:p>
        </w:tc>
        <w:tc>
          <w:tcPr>
            <w:tcW w:w="1526" w:type="dxa"/>
            <w:tcBorders>
              <w:top w:val="nil"/>
              <w:left w:val="nil"/>
              <w:bottom w:val="single" w:sz="4" w:space="0" w:color="000000"/>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38</w:t>
            </w:r>
          </w:p>
        </w:tc>
        <w:tc>
          <w:tcPr>
            <w:tcW w:w="1575" w:type="dxa"/>
            <w:tcBorders>
              <w:top w:val="nil"/>
              <w:left w:val="nil"/>
              <w:bottom w:val="single" w:sz="4" w:space="0" w:color="000000"/>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38</w:t>
            </w:r>
          </w:p>
        </w:tc>
        <w:tc>
          <w:tcPr>
            <w:tcW w:w="1211" w:type="dxa"/>
            <w:tcBorders>
              <w:top w:val="nil"/>
              <w:left w:val="nil"/>
              <w:bottom w:val="single" w:sz="4" w:space="0" w:color="auto"/>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38</w:t>
            </w:r>
          </w:p>
        </w:tc>
        <w:tc>
          <w:tcPr>
            <w:tcW w:w="1211" w:type="dxa"/>
            <w:tcBorders>
              <w:top w:val="nil"/>
              <w:left w:val="nil"/>
              <w:bottom w:val="single" w:sz="4" w:space="0" w:color="auto"/>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38</w:t>
            </w:r>
          </w:p>
        </w:tc>
        <w:tc>
          <w:tcPr>
            <w:tcW w:w="1211" w:type="dxa"/>
            <w:tcBorders>
              <w:top w:val="nil"/>
              <w:left w:val="nil"/>
              <w:bottom w:val="single" w:sz="4" w:space="0" w:color="auto"/>
              <w:right w:val="nil"/>
            </w:tcBorders>
            <w:shd w:val="clear" w:color="auto" w:fill="auto"/>
            <w:noWrap/>
            <w:vAlign w:val="bottom"/>
            <w:hideMark/>
          </w:tcPr>
          <w:p w:rsidR="008F2076" w:rsidRPr="00E73F8D" w:rsidRDefault="008F2076" w:rsidP="008F2076">
            <w:pPr>
              <w:spacing w:after="0" w:line="240" w:lineRule="auto"/>
              <w:jc w:val="center"/>
              <w:rPr>
                <w:rFonts w:ascii="Times New Roman" w:eastAsia="Times New Roman" w:hAnsi="Times New Roman" w:cs="Times New Roman"/>
                <w:sz w:val="20"/>
                <w:szCs w:val="20"/>
              </w:rPr>
            </w:pPr>
            <w:r w:rsidRPr="00E73F8D">
              <w:rPr>
                <w:rFonts w:ascii="Times New Roman" w:eastAsia="Times New Roman" w:hAnsi="Times New Roman" w:cs="Times New Roman"/>
                <w:sz w:val="20"/>
                <w:szCs w:val="20"/>
              </w:rPr>
              <w:t>38</w:t>
            </w:r>
          </w:p>
        </w:tc>
      </w:tr>
    </w:tbl>
    <w:p w:rsidR="00D904C9" w:rsidRPr="00E73F8D" w:rsidRDefault="00D904C9" w:rsidP="007E4941">
      <w:pPr>
        <w:tabs>
          <w:tab w:val="left" w:pos="720"/>
        </w:tabs>
        <w:spacing w:after="0" w:line="240" w:lineRule="auto"/>
        <w:ind w:firstLine="720"/>
        <w:jc w:val="center"/>
        <w:rPr>
          <w:rFonts w:ascii="Times New Roman" w:hAnsi="Times New Roman" w:cs="Times New Roman"/>
          <w:b/>
          <w:sz w:val="24"/>
          <w:szCs w:val="24"/>
          <w:lang w:val="pt-BR"/>
        </w:rPr>
      </w:pPr>
    </w:p>
    <w:p w:rsidR="00D904C9" w:rsidRPr="00E73F8D" w:rsidRDefault="00D904C9" w:rsidP="007E4941">
      <w:pPr>
        <w:tabs>
          <w:tab w:val="left" w:pos="720"/>
        </w:tabs>
        <w:spacing w:after="0" w:line="240" w:lineRule="auto"/>
        <w:rPr>
          <w:rFonts w:ascii="Times New Roman" w:hAnsi="Times New Roman" w:cs="Times New Roman"/>
          <w:sz w:val="20"/>
          <w:szCs w:val="20"/>
          <w:lang w:val="pt-BR"/>
        </w:rPr>
      </w:pPr>
      <w:r w:rsidRPr="00E73F8D">
        <w:rPr>
          <w:rFonts w:ascii="Times New Roman" w:hAnsi="Times New Roman" w:cs="Times New Roman"/>
          <w:sz w:val="20"/>
          <w:szCs w:val="20"/>
          <w:lang w:val="pt-BR"/>
        </w:rPr>
        <w:t xml:space="preserve">Onde * p &lt; 0.1; ** p&lt; 0.5; e ***p&lt;0.01. </w:t>
      </w:r>
    </w:p>
    <w:p w:rsidR="00DD69B4" w:rsidRPr="00E73F8D" w:rsidRDefault="00D904C9" w:rsidP="007E4941">
      <w:pPr>
        <w:tabs>
          <w:tab w:val="left" w:pos="720"/>
        </w:tabs>
        <w:spacing w:after="0" w:line="240" w:lineRule="auto"/>
        <w:jc w:val="center"/>
        <w:rPr>
          <w:rFonts w:ascii="Times New Roman" w:hAnsi="Times New Roman" w:cs="Times New Roman"/>
          <w:sz w:val="20"/>
          <w:szCs w:val="20"/>
          <w:lang w:val="pt-BR"/>
        </w:rPr>
        <w:sectPr w:rsidR="00DD69B4" w:rsidRPr="00E73F8D" w:rsidSect="00DD69B4">
          <w:pgSz w:w="15840" w:h="12240" w:orient="landscape"/>
          <w:pgMar w:top="1440" w:right="1440" w:bottom="1440" w:left="1440" w:header="720" w:footer="720" w:gutter="0"/>
          <w:cols w:space="720"/>
          <w:docGrid w:linePitch="360"/>
        </w:sectPr>
      </w:pPr>
      <w:r w:rsidRPr="00E73F8D">
        <w:rPr>
          <w:rFonts w:ascii="Times New Roman" w:hAnsi="Times New Roman" w:cs="Times New Roman"/>
          <w:sz w:val="20"/>
          <w:szCs w:val="20"/>
          <w:lang w:val="pt-BR"/>
        </w:rPr>
        <w:t xml:space="preserve">Entre parênteses, os desvios padrões estimados dos coeficientes. </w:t>
      </w:r>
      <w:r w:rsidRPr="00E73F8D">
        <w:rPr>
          <w:rFonts w:ascii="Times New Roman" w:hAnsi="Times New Roman" w:cs="Times New Roman"/>
          <w:i/>
          <w:sz w:val="20"/>
          <w:szCs w:val="20"/>
          <w:lang w:val="pt-BR"/>
        </w:rPr>
        <w:t>System-GMM</w:t>
      </w:r>
      <w:r w:rsidRPr="00E73F8D">
        <w:rPr>
          <w:rFonts w:ascii="Times New Roman" w:hAnsi="Times New Roman" w:cs="Times New Roman"/>
          <w:sz w:val="20"/>
          <w:szCs w:val="20"/>
          <w:lang w:val="pt-BR"/>
        </w:rPr>
        <w:t xml:space="preserve"> de um estágio e variáveis instrumentais.</w:t>
      </w:r>
    </w:p>
    <w:p w:rsidR="008F2076" w:rsidRPr="00E73F8D" w:rsidRDefault="00A96FC2" w:rsidP="00A84420">
      <w:pPr>
        <w:tabs>
          <w:tab w:val="left" w:pos="720"/>
        </w:tabs>
        <w:spacing w:after="0" w:line="240" w:lineRule="auto"/>
        <w:jc w:val="both"/>
        <w:rPr>
          <w:rFonts w:ascii="Times New Roman" w:hAnsi="Times New Roman" w:cs="Times New Roman"/>
          <w:b/>
          <w:sz w:val="24"/>
          <w:szCs w:val="24"/>
          <w:lang w:val="pt-BR"/>
        </w:rPr>
      </w:pPr>
      <w:r w:rsidRPr="00E73F8D">
        <w:rPr>
          <w:rFonts w:ascii="Times New Roman" w:hAnsi="Times New Roman" w:cs="Times New Roman"/>
          <w:b/>
          <w:sz w:val="24"/>
          <w:szCs w:val="24"/>
          <w:lang w:val="pt-BR"/>
        </w:rPr>
        <w:lastRenderedPageBreak/>
        <w:t>BIBLIOGRAFIA</w:t>
      </w:r>
    </w:p>
    <w:p w:rsidR="00E73F8D" w:rsidRPr="00E73F8D" w:rsidRDefault="00E73F8D" w:rsidP="00E73F8D">
      <w:pPr>
        <w:spacing w:before="100" w:beforeAutospacing="1" w:after="100" w:afterAutospacing="1"/>
        <w:ind w:left="360" w:hanging="360"/>
        <w:rPr>
          <w:rFonts w:ascii="Times New Roman" w:hAnsi="Times New Roman" w:cs="Times New Roman"/>
          <w:sz w:val="24"/>
          <w:szCs w:val="24"/>
        </w:rPr>
      </w:pPr>
      <w:bookmarkStart w:id="0" w:name="papers"/>
      <w:r w:rsidRPr="00DB1F12">
        <w:rPr>
          <w:rFonts w:ascii="Times New Roman" w:hAnsi="Times New Roman" w:cs="Times New Roman"/>
          <w:sz w:val="24"/>
          <w:szCs w:val="24"/>
          <w:lang w:val="pt-BR"/>
        </w:rPr>
        <w:t xml:space="preserve">BENASSY-QUÉRÉ, A; BEREAU S; MIGNON, V., 2008. </w:t>
      </w:r>
      <w:bookmarkEnd w:id="0"/>
      <w:r w:rsidR="006E1488" w:rsidRPr="00E73F8D">
        <w:rPr>
          <w:rFonts w:ascii="Times New Roman" w:hAnsi="Times New Roman" w:cs="Times New Roman"/>
          <w:bCs/>
          <w:sz w:val="24"/>
          <w:szCs w:val="24"/>
        </w:rPr>
        <w:fldChar w:fldCharType="begin"/>
      </w:r>
      <w:r w:rsidRPr="00DB1F12">
        <w:rPr>
          <w:rFonts w:ascii="Times New Roman" w:hAnsi="Times New Roman" w:cs="Times New Roman"/>
          <w:bCs/>
          <w:sz w:val="24"/>
          <w:szCs w:val="24"/>
          <w:lang w:val="pt-BR"/>
        </w:rPr>
        <w:instrText xml:space="preserve"> HYPERLINK "http://ideas.repec.org/p/cii/cepidt/2008-01.html" </w:instrText>
      </w:r>
      <w:r w:rsidR="006E1488" w:rsidRPr="00E73F8D">
        <w:rPr>
          <w:rFonts w:ascii="Times New Roman" w:hAnsi="Times New Roman" w:cs="Times New Roman"/>
          <w:bCs/>
          <w:sz w:val="24"/>
          <w:szCs w:val="24"/>
        </w:rPr>
        <w:fldChar w:fldCharType="separate"/>
      </w:r>
      <w:r w:rsidRPr="00E73F8D">
        <w:rPr>
          <w:rStyle w:val="Hyperlink"/>
          <w:rFonts w:ascii="Times New Roman" w:hAnsi="Times New Roman" w:cs="Times New Roman"/>
          <w:bCs/>
          <w:sz w:val="24"/>
          <w:szCs w:val="24"/>
        </w:rPr>
        <w:t>How Robust are Estimated Equilibrium Exchange Rates? A Panel BEER Approach</w:t>
      </w:r>
      <w:r w:rsidR="006E1488" w:rsidRPr="00E73F8D">
        <w:rPr>
          <w:rFonts w:ascii="Times New Roman" w:hAnsi="Times New Roman" w:cs="Times New Roman"/>
          <w:bCs/>
          <w:sz w:val="24"/>
          <w:szCs w:val="24"/>
        </w:rPr>
        <w:fldChar w:fldCharType="end"/>
      </w:r>
      <w:r w:rsidRPr="00E73F8D">
        <w:rPr>
          <w:rFonts w:ascii="Times New Roman" w:hAnsi="Times New Roman" w:cs="Times New Roman"/>
          <w:sz w:val="24"/>
          <w:szCs w:val="24"/>
        </w:rPr>
        <w:t>,</w:t>
      </w:r>
      <w:r w:rsidRPr="00E73F8D">
        <w:rPr>
          <w:rStyle w:val="apple-converted-space"/>
          <w:rFonts w:ascii="Times New Roman" w:hAnsi="Times New Roman" w:cs="Times New Roman"/>
          <w:sz w:val="24"/>
          <w:szCs w:val="24"/>
        </w:rPr>
        <w:t> </w:t>
      </w:r>
      <w:hyperlink r:id="rId11" w:history="1">
        <w:r w:rsidRPr="00E73F8D">
          <w:rPr>
            <w:rStyle w:val="Hyperlink"/>
            <w:rFonts w:ascii="Times New Roman" w:hAnsi="Times New Roman" w:cs="Times New Roman"/>
            <w:b/>
            <w:sz w:val="24"/>
            <w:szCs w:val="24"/>
          </w:rPr>
          <w:t>Working Papers</w:t>
        </w:r>
      </w:hyperlink>
      <w:r w:rsidRPr="00E73F8D">
        <w:rPr>
          <w:rStyle w:val="apple-converted-space"/>
          <w:rFonts w:ascii="Times New Roman" w:hAnsi="Times New Roman" w:cs="Times New Roman"/>
          <w:b/>
          <w:sz w:val="24"/>
          <w:szCs w:val="24"/>
        </w:rPr>
        <w:t> </w:t>
      </w:r>
      <w:r w:rsidRPr="00E73F8D">
        <w:rPr>
          <w:rFonts w:ascii="Times New Roman" w:hAnsi="Times New Roman" w:cs="Times New Roman"/>
          <w:b/>
          <w:sz w:val="24"/>
          <w:szCs w:val="24"/>
        </w:rPr>
        <w:t>2008-01, CEPII research center</w:t>
      </w:r>
      <w:r w:rsidRPr="00E73F8D">
        <w:rPr>
          <w:rFonts w:ascii="Times New Roman" w:hAnsi="Times New Roman" w:cs="Times New Roman"/>
          <w:sz w:val="24"/>
          <w:szCs w:val="24"/>
        </w:rPr>
        <w:t>, 2008.</w:t>
      </w:r>
    </w:p>
    <w:p w:rsidR="00E73F8D" w:rsidRDefault="00E73F8D" w:rsidP="00E73F8D">
      <w:pPr>
        <w:pStyle w:val="Textodecomentrio"/>
        <w:ind w:left="360" w:hanging="360"/>
        <w:rPr>
          <w:sz w:val="24"/>
          <w:szCs w:val="24"/>
          <w:lang w:val="en-US"/>
        </w:rPr>
      </w:pPr>
      <w:r w:rsidRPr="00E73F8D">
        <w:rPr>
          <w:sz w:val="24"/>
          <w:szCs w:val="24"/>
          <w:lang w:val="de-DE"/>
        </w:rPr>
        <w:t xml:space="preserve">COUDERT, V. E COUHARDE, C. 2008. </w:t>
      </w:r>
      <w:r w:rsidRPr="00E73F8D">
        <w:rPr>
          <w:sz w:val="24"/>
          <w:szCs w:val="24"/>
          <w:lang w:val="en-US"/>
        </w:rPr>
        <w:t xml:space="preserve">“Currency Misalignment and Exchange Rate Regimes in Emerging and Developing Countries. </w:t>
      </w:r>
      <w:r w:rsidRPr="00E73F8D">
        <w:rPr>
          <w:b/>
          <w:sz w:val="24"/>
          <w:szCs w:val="24"/>
          <w:lang w:val="en-US"/>
        </w:rPr>
        <w:t>Working Paper CEPII,</w:t>
      </w:r>
      <w:r w:rsidRPr="00E73F8D">
        <w:rPr>
          <w:sz w:val="24"/>
          <w:szCs w:val="24"/>
          <w:lang w:val="en-US"/>
        </w:rPr>
        <w:t>, N. 2008/07, 2008.</w:t>
      </w:r>
    </w:p>
    <w:p w:rsidR="00E73F8D" w:rsidRPr="00E73F8D" w:rsidRDefault="00E73F8D" w:rsidP="00E73F8D">
      <w:pPr>
        <w:pStyle w:val="Textodecomentrio"/>
        <w:ind w:left="360" w:hanging="360"/>
        <w:rPr>
          <w:sz w:val="24"/>
          <w:szCs w:val="24"/>
          <w:lang w:val="en-US"/>
        </w:rPr>
      </w:pPr>
    </w:p>
    <w:p w:rsidR="00E73F8D" w:rsidRPr="00E73F8D" w:rsidRDefault="00E73F8D" w:rsidP="00E73F8D">
      <w:pPr>
        <w:ind w:left="360" w:hanging="360"/>
        <w:rPr>
          <w:rFonts w:ascii="Times New Roman" w:hAnsi="Times New Roman" w:cs="Times New Roman"/>
          <w:sz w:val="24"/>
          <w:szCs w:val="24"/>
        </w:rPr>
      </w:pPr>
      <w:r w:rsidRPr="00E73F8D">
        <w:rPr>
          <w:rStyle w:val="apple-style-span"/>
          <w:rFonts w:ascii="Times New Roman" w:hAnsi="Times New Roman" w:cs="Times New Roman"/>
          <w:bCs/>
          <w:sz w:val="24"/>
          <w:szCs w:val="24"/>
        </w:rPr>
        <w:t xml:space="preserve">DUFRENOT, E; YEHOUE, E. Real Exchange Rate Misalignment: A Panel Co-Integration and Common Factor Analysis. </w:t>
      </w:r>
      <w:hyperlink r:id="rId12" w:anchor="#" w:history="1">
        <w:r w:rsidRPr="00E73F8D">
          <w:rPr>
            <w:rStyle w:val="Hyperlink"/>
            <w:rFonts w:ascii="Times New Roman" w:hAnsi="Times New Roman" w:cs="Times New Roman"/>
            <w:b/>
            <w:iCs/>
            <w:sz w:val="24"/>
            <w:szCs w:val="24"/>
          </w:rPr>
          <w:t>IMF Working Paper No. 05/164</w:t>
        </w:r>
      </w:hyperlink>
      <w:r w:rsidRPr="00E73F8D">
        <w:rPr>
          <w:rStyle w:val="apple-converted-space"/>
          <w:rFonts w:ascii="Times New Roman" w:hAnsi="Times New Roman" w:cs="Times New Roman"/>
          <w:b/>
          <w:sz w:val="24"/>
          <w:szCs w:val="24"/>
        </w:rPr>
        <w:t xml:space="preserve">, </w:t>
      </w:r>
      <w:r w:rsidRPr="00E73F8D">
        <w:rPr>
          <w:rStyle w:val="apple-converted-space"/>
          <w:rFonts w:ascii="Times New Roman" w:hAnsi="Times New Roman" w:cs="Times New Roman"/>
          <w:sz w:val="24"/>
          <w:szCs w:val="24"/>
        </w:rPr>
        <w:t>2005.</w:t>
      </w:r>
    </w:p>
    <w:p w:rsidR="00E73F8D" w:rsidRPr="00E73F8D" w:rsidRDefault="00E73F8D" w:rsidP="00E73F8D">
      <w:pPr>
        <w:ind w:left="360" w:right="-136" w:hanging="360"/>
        <w:rPr>
          <w:rFonts w:ascii="Times New Roman" w:hAnsi="Times New Roman" w:cs="Times New Roman"/>
          <w:sz w:val="24"/>
          <w:szCs w:val="24"/>
        </w:rPr>
      </w:pPr>
      <w:r w:rsidRPr="00E73F8D">
        <w:rPr>
          <w:rFonts w:ascii="Times New Roman" w:hAnsi="Times New Roman" w:cs="Times New Roman"/>
          <w:sz w:val="24"/>
          <w:szCs w:val="24"/>
        </w:rPr>
        <w:t xml:space="preserve">EDWARDS, S. </w:t>
      </w:r>
      <w:hyperlink r:id="rId13" w:history="1">
        <w:r w:rsidRPr="00E73F8D">
          <w:rPr>
            <w:rStyle w:val="Hyperlink"/>
            <w:rFonts w:ascii="Times New Roman" w:hAnsi="Times New Roman" w:cs="Times New Roman"/>
            <w:sz w:val="24"/>
            <w:szCs w:val="24"/>
          </w:rPr>
          <w:t>Capital Controls, Sudden Stops and Current Account Reversals</w:t>
        </w:r>
      </w:hyperlink>
      <w:r w:rsidRPr="00E73F8D">
        <w:rPr>
          <w:rStyle w:val="apple-style-span"/>
          <w:rFonts w:ascii="Times New Roman" w:hAnsi="Times New Roman" w:cs="Times New Roman"/>
          <w:sz w:val="24"/>
          <w:szCs w:val="24"/>
        </w:rPr>
        <w:t>.</w:t>
      </w:r>
      <w:r w:rsidRPr="00E73F8D">
        <w:rPr>
          <w:rStyle w:val="apple-converted-space"/>
          <w:rFonts w:ascii="Times New Roman" w:hAnsi="Times New Roman" w:cs="Times New Roman"/>
          <w:sz w:val="24"/>
          <w:szCs w:val="24"/>
        </w:rPr>
        <w:t> </w:t>
      </w:r>
      <w:r w:rsidRPr="00E73F8D">
        <w:rPr>
          <w:rStyle w:val="apple-style-span"/>
          <w:rFonts w:ascii="Times New Roman" w:hAnsi="Times New Roman" w:cs="Times New Roman"/>
          <w:b/>
          <w:sz w:val="24"/>
          <w:szCs w:val="24"/>
        </w:rPr>
        <w:t>NBER Working Papers</w:t>
      </w:r>
      <w:r w:rsidRPr="00E73F8D">
        <w:rPr>
          <w:rStyle w:val="apple-style-span"/>
          <w:rFonts w:ascii="Times New Roman" w:hAnsi="Times New Roman" w:cs="Times New Roman"/>
          <w:sz w:val="24"/>
          <w:szCs w:val="24"/>
        </w:rPr>
        <w:t xml:space="preserve"> n. 11170, 2005.</w:t>
      </w:r>
    </w:p>
    <w:p w:rsidR="00E73F8D" w:rsidRPr="00E73F8D" w:rsidRDefault="00E73F8D" w:rsidP="00E73F8D">
      <w:pPr>
        <w:ind w:left="360" w:right="-136" w:hanging="360"/>
        <w:rPr>
          <w:rFonts w:ascii="Times New Roman" w:hAnsi="Times New Roman" w:cs="Times New Roman"/>
          <w:sz w:val="24"/>
          <w:szCs w:val="24"/>
        </w:rPr>
      </w:pPr>
      <w:r w:rsidRPr="00E73F8D">
        <w:rPr>
          <w:rFonts w:ascii="Times New Roman" w:hAnsi="Times New Roman" w:cs="Times New Roman"/>
          <w:sz w:val="24"/>
          <w:szCs w:val="24"/>
        </w:rPr>
        <w:t xml:space="preserve">____________. </w:t>
      </w:r>
      <w:r w:rsidRPr="00E73F8D">
        <w:rPr>
          <w:rFonts w:ascii="Times New Roman" w:hAnsi="Times New Roman" w:cs="Times New Roman"/>
          <w:b/>
          <w:sz w:val="24"/>
          <w:szCs w:val="24"/>
        </w:rPr>
        <w:t>Real and Monetary Determinants of Real Exchange Rate Behavior: Theory and Evidence from Developing Countries</w:t>
      </w:r>
      <w:r w:rsidRPr="00E73F8D">
        <w:rPr>
          <w:rFonts w:ascii="Times New Roman" w:hAnsi="Times New Roman" w:cs="Times New Roman"/>
          <w:sz w:val="24"/>
          <w:szCs w:val="24"/>
        </w:rPr>
        <w:t>, in Estimating Equilibrium Exchange Rates, ed. por J. Williamson, Institute for International Economics, Washington, DC, 1994.</w:t>
      </w:r>
    </w:p>
    <w:p w:rsidR="00E73F8D" w:rsidRPr="00E73F8D" w:rsidRDefault="00E73F8D" w:rsidP="00E73F8D">
      <w:pPr>
        <w:ind w:left="360" w:right="-136" w:hanging="360"/>
        <w:rPr>
          <w:rFonts w:ascii="Times New Roman" w:hAnsi="Times New Roman" w:cs="Times New Roman"/>
          <w:sz w:val="24"/>
          <w:szCs w:val="24"/>
        </w:rPr>
      </w:pPr>
      <w:r w:rsidRPr="00E73F8D">
        <w:rPr>
          <w:rFonts w:ascii="Times New Roman" w:hAnsi="Times New Roman" w:cs="Times New Roman"/>
          <w:sz w:val="24"/>
          <w:szCs w:val="24"/>
        </w:rPr>
        <w:t>____________. Real Exchange Rates in Developing Countries: Concepts and Measurement”, NBER Working Papers n. 1950, 1989.</w:t>
      </w:r>
    </w:p>
    <w:p w:rsidR="00E73F8D" w:rsidRDefault="00E73F8D" w:rsidP="00E73F8D">
      <w:pPr>
        <w:pStyle w:val="Ttulo"/>
        <w:ind w:left="360" w:hanging="360"/>
        <w:jc w:val="left"/>
        <w:rPr>
          <w:rStyle w:val="Forte"/>
          <w:sz w:val="24"/>
          <w:lang w:val="en-US"/>
        </w:rPr>
      </w:pPr>
      <w:r w:rsidRPr="00E73F8D">
        <w:rPr>
          <w:rStyle w:val="Forte"/>
          <w:sz w:val="24"/>
          <w:lang w:val="en-US"/>
        </w:rPr>
        <w:t xml:space="preserve">HESTON A; SUMMERS R; ATEN, B. </w:t>
      </w:r>
      <w:r w:rsidRPr="00E73F8D">
        <w:rPr>
          <w:rStyle w:val="Forte"/>
          <w:b/>
          <w:sz w:val="24"/>
          <w:lang w:val="en-US"/>
        </w:rPr>
        <w:t>Penn World Table Version 6.2</w:t>
      </w:r>
      <w:r w:rsidRPr="00E73F8D">
        <w:rPr>
          <w:rStyle w:val="Forte"/>
          <w:i/>
          <w:sz w:val="24"/>
          <w:lang w:val="en-US"/>
        </w:rPr>
        <w:t>,</w:t>
      </w:r>
      <w:r w:rsidRPr="00E73F8D">
        <w:rPr>
          <w:rStyle w:val="Forte"/>
          <w:sz w:val="24"/>
          <w:lang w:val="en-US"/>
        </w:rPr>
        <w:t xml:space="preserve"> Center for International Comparisons of Production, Income and Prices at the University of Pennsylvania, 2006</w:t>
      </w:r>
      <w:r>
        <w:rPr>
          <w:rStyle w:val="Forte"/>
          <w:sz w:val="24"/>
          <w:lang w:val="en-US"/>
        </w:rPr>
        <w:t>.</w:t>
      </w:r>
    </w:p>
    <w:p w:rsidR="00E73F8D" w:rsidRPr="00E73F8D" w:rsidRDefault="00E73F8D" w:rsidP="00E73F8D">
      <w:pPr>
        <w:pStyle w:val="Ttulo"/>
        <w:ind w:left="360" w:hanging="360"/>
        <w:jc w:val="left"/>
        <w:rPr>
          <w:sz w:val="24"/>
          <w:lang w:val="en-US"/>
        </w:rPr>
      </w:pPr>
    </w:p>
    <w:p w:rsidR="00E73F8D" w:rsidRPr="00E73F8D" w:rsidRDefault="00E73F8D" w:rsidP="00E73F8D">
      <w:pPr>
        <w:ind w:left="360" w:right="-136" w:hanging="360"/>
        <w:rPr>
          <w:rFonts w:ascii="Times New Roman" w:hAnsi="Times New Roman" w:cs="Times New Roman"/>
          <w:sz w:val="24"/>
          <w:szCs w:val="24"/>
        </w:rPr>
      </w:pPr>
      <w:r w:rsidRPr="00E73F8D">
        <w:rPr>
          <w:rFonts w:ascii="Times New Roman" w:hAnsi="Times New Roman" w:cs="Times New Roman"/>
          <w:sz w:val="24"/>
          <w:szCs w:val="24"/>
        </w:rPr>
        <w:t xml:space="preserve">YEYATI, L; STURZENEGGER, F. Classifying Exchange Rate Regimes: Deeds vs. Words, </w:t>
      </w:r>
      <w:r w:rsidRPr="00E73F8D">
        <w:rPr>
          <w:rFonts w:ascii="Times New Roman" w:hAnsi="Times New Roman" w:cs="Times New Roman"/>
          <w:b/>
          <w:sz w:val="24"/>
          <w:szCs w:val="24"/>
        </w:rPr>
        <w:t xml:space="preserve">European Economic Review, </w:t>
      </w:r>
      <w:r w:rsidRPr="00E73F8D">
        <w:rPr>
          <w:rFonts w:ascii="Times New Roman" w:hAnsi="Times New Roman" w:cs="Times New Roman"/>
          <w:sz w:val="24"/>
          <w:szCs w:val="24"/>
        </w:rPr>
        <w:t>Volume 46, 2005.</w:t>
      </w:r>
    </w:p>
    <w:p w:rsidR="00E73F8D" w:rsidRPr="00E73F8D" w:rsidRDefault="00E73F8D" w:rsidP="00E73F8D">
      <w:pPr>
        <w:ind w:left="360" w:right="-136" w:hanging="360"/>
        <w:rPr>
          <w:rFonts w:ascii="Times New Roman" w:hAnsi="Times New Roman" w:cs="Times New Roman"/>
          <w:sz w:val="24"/>
          <w:szCs w:val="24"/>
        </w:rPr>
      </w:pPr>
      <w:r w:rsidRPr="00E73F8D">
        <w:rPr>
          <w:rFonts w:ascii="Times New Roman" w:hAnsi="Times New Roman" w:cs="Times New Roman"/>
          <w:sz w:val="24"/>
          <w:szCs w:val="24"/>
        </w:rPr>
        <w:t xml:space="preserve">QUINN, D.2003. “Capital Account Liberalization and Financial Globalization, 1890-1999: a Synoptic View”, </w:t>
      </w:r>
      <w:r w:rsidRPr="00E73F8D">
        <w:rPr>
          <w:rFonts w:ascii="Times New Roman" w:hAnsi="Times New Roman" w:cs="Times New Roman"/>
          <w:b/>
          <w:sz w:val="24"/>
          <w:szCs w:val="24"/>
        </w:rPr>
        <w:t>International Journal of Finance and Economics</w:t>
      </w:r>
      <w:r w:rsidRPr="00E73F8D">
        <w:rPr>
          <w:rFonts w:ascii="Times New Roman" w:hAnsi="Times New Roman" w:cs="Times New Roman"/>
          <w:sz w:val="24"/>
          <w:szCs w:val="24"/>
        </w:rPr>
        <w:t>, n. 8(3), 2003.</w:t>
      </w:r>
    </w:p>
    <w:p w:rsidR="00E73F8D" w:rsidRPr="00E73F8D" w:rsidRDefault="00E73F8D" w:rsidP="00E73F8D">
      <w:pPr>
        <w:ind w:left="360" w:right="-136" w:hanging="360"/>
        <w:rPr>
          <w:rFonts w:ascii="Times New Roman" w:hAnsi="Times New Roman" w:cs="Times New Roman"/>
          <w:sz w:val="24"/>
          <w:szCs w:val="24"/>
        </w:rPr>
      </w:pPr>
      <w:r w:rsidRPr="00E73F8D">
        <w:rPr>
          <w:rFonts w:ascii="Times New Roman" w:hAnsi="Times New Roman" w:cs="Times New Roman"/>
          <w:sz w:val="24"/>
          <w:szCs w:val="24"/>
        </w:rPr>
        <w:t xml:space="preserve">KRUEGER, A. The political economy of the rent seeking society. </w:t>
      </w:r>
      <w:r w:rsidRPr="00E73F8D">
        <w:rPr>
          <w:rFonts w:ascii="Times New Roman" w:hAnsi="Times New Roman" w:cs="Times New Roman"/>
          <w:b/>
          <w:sz w:val="24"/>
          <w:szCs w:val="24"/>
        </w:rPr>
        <w:t>American Economic Review</w:t>
      </w:r>
      <w:r w:rsidRPr="00E73F8D">
        <w:rPr>
          <w:rFonts w:ascii="Times New Roman" w:hAnsi="Times New Roman" w:cs="Times New Roman"/>
          <w:sz w:val="24"/>
          <w:szCs w:val="24"/>
        </w:rPr>
        <w:t>, 1974.</w:t>
      </w:r>
    </w:p>
    <w:p w:rsidR="00E73F8D" w:rsidRPr="00E73F8D" w:rsidRDefault="00E73F8D" w:rsidP="00E73F8D">
      <w:pPr>
        <w:ind w:left="360" w:right="-136" w:hanging="360"/>
        <w:rPr>
          <w:rFonts w:ascii="Times New Roman" w:hAnsi="Times New Roman" w:cs="Times New Roman"/>
          <w:sz w:val="24"/>
          <w:szCs w:val="24"/>
        </w:rPr>
      </w:pPr>
      <w:r w:rsidRPr="00E73F8D">
        <w:rPr>
          <w:rFonts w:ascii="Times New Roman" w:hAnsi="Times New Roman" w:cs="Times New Roman"/>
          <w:sz w:val="24"/>
          <w:szCs w:val="24"/>
        </w:rPr>
        <w:t xml:space="preserve">KRUGMAN, P. Recent Thinking About Exchange Rate Determination and Policy, In: </w:t>
      </w:r>
      <w:r w:rsidRPr="00E73F8D">
        <w:rPr>
          <w:rFonts w:ascii="Times New Roman" w:hAnsi="Times New Roman" w:cs="Times New Roman"/>
          <w:b/>
          <w:sz w:val="24"/>
          <w:szCs w:val="24"/>
        </w:rPr>
        <w:t>The Exchange Rate, International Trade and  the Balance of  Payments</w:t>
      </w:r>
      <w:r w:rsidRPr="00E73F8D">
        <w:rPr>
          <w:rFonts w:ascii="Times New Roman" w:hAnsi="Times New Roman" w:cs="Times New Roman"/>
          <w:sz w:val="24"/>
          <w:szCs w:val="24"/>
        </w:rPr>
        <w:t>, (ed.  A. Blundell-Wignall), Reserve Bank of Australia Annual Conference Proceedings, 1993.</w:t>
      </w:r>
    </w:p>
    <w:p w:rsidR="00227EA2" w:rsidRPr="00E73F8D" w:rsidRDefault="00227EA2" w:rsidP="00227EA2">
      <w:pPr>
        <w:autoSpaceDE w:val="0"/>
        <w:autoSpaceDN w:val="0"/>
        <w:adjustRightInd w:val="0"/>
        <w:spacing w:after="0" w:line="240" w:lineRule="auto"/>
        <w:ind w:left="630" w:hanging="630"/>
        <w:rPr>
          <w:rFonts w:ascii="Times New Roman" w:hAnsi="Times New Roman" w:cs="Times New Roman"/>
          <w:sz w:val="24"/>
          <w:szCs w:val="24"/>
        </w:rPr>
      </w:pPr>
      <w:r w:rsidRPr="00E73F8D">
        <w:rPr>
          <w:rFonts w:ascii="Times New Roman" w:hAnsi="Times New Roman" w:cs="Times New Roman"/>
          <w:sz w:val="24"/>
          <w:szCs w:val="24"/>
        </w:rPr>
        <w:t xml:space="preserve">LANE, P. R; MILESI-FERRETTI, G. M. </w:t>
      </w:r>
      <w:r w:rsidRPr="00E73F8D">
        <w:rPr>
          <w:rFonts w:ascii="Times New Roman" w:hAnsi="Times New Roman" w:cs="Times New Roman"/>
          <w:b/>
          <w:bCs/>
          <w:sz w:val="24"/>
          <w:szCs w:val="24"/>
        </w:rPr>
        <w:t>The Transfer Problem Revisited: Net Foreign Assets and Real Exchange Rates</w:t>
      </w:r>
      <w:r w:rsidRPr="00E73F8D">
        <w:rPr>
          <w:rFonts w:ascii="Times New Roman" w:hAnsi="Times New Roman" w:cs="Times New Roman"/>
          <w:sz w:val="24"/>
          <w:szCs w:val="24"/>
        </w:rPr>
        <w:t>, IMF Working Paper, No. 00123,2004.</w:t>
      </w:r>
    </w:p>
    <w:p w:rsidR="00227EA2" w:rsidRDefault="00227EA2" w:rsidP="00E73F8D">
      <w:pPr>
        <w:ind w:left="360" w:right="-136" w:hanging="360"/>
        <w:rPr>
          <w:rFonts w:ascii="Times New Roman" w:hAnsi="Times New Roman" w:cs="Times New Roman"/>
          <w:sz w:val="24"/>
          <w:szCs w:val="24"/>
        </w:rPr>
      </w:pPr>
    </w:p>
    <w:p w:rsidR="00227EA2" w:rsidRDefault="00227EA2" w:rsidP="00E73F8D">
      <w:pPr>
        <w:ind w:left="360" w:right="-136" w:hanging="360"/>
        <w:rPr>
          <w:rFonts w:ascii="Times New Roman" w:hAnsi="Times New Roman" w:cs="Times New Roman"/>
          <w:sz w:val="24"/>
          <w:szCs w:val="24"/>
        </w:rPr>
      </w:pPr>
      <w:r>
        <w:rPr>
          <w:rFonts w:ascii="Times New Roman" w:hAnsi="Times New Roman" w:cs="Times New Roman"/>
          <w:sz w:val="24"/>
          <w:szCs w:val="24"/>
        </w:rPr>
        <w:t>L</w:t>
      </w:r>
      <w:r w:rsidR="00E73F8D" w:rsidRPr="00E73F8D">
        <w:rPr>
          <w:rFonts w:ascii="Times New Roman" w:hAnsi="Times New Roman" w:cs="Times New Roman"/>
          <w:sz w:val="24"/>
          <w:szCs w:val="24"/>
        </w:rPr>
        <w:t xml:space="preserve">EVIN, L; LIN, C; CHU. Unit Root Tests in Panel Data: Asymptotic and Finite-Sample Properties. </w:t>
      </w:r>
      <w:r w:rsidR="00E73F8D" w:rsidRPr="00E73F8D">
        <w:rPr>
          <w:rFonts w:ascii="Times New Roman" w:hAnsi="Times New Roman" w:cs="Times New Roman"/>
          <w:b/>
          <w:sz w:val="24"/>
          <w:szCs w:val="24"/>
        </w:rPr>
        <w:t>Journal of Econometrics</w:t>
      </w:r>
      <w:r w:rsidR="00E73F8D" w:rsidRPr="00E73F8D">
        <w:rPr>
          <w:rFonts w:ascii="Times New Roman" w:hAnsi="Times New Roman" w:cs="Times New Roman"/>
          <w:sz w:val="24"/>
          <w:szCs w:val="24"/>
        </w:rPr>
        <w:t>, 108, 2002.</w:t>
      </w:r>
    </w:p>
    <w:p w:rsidR="00E73F8D" w:rsidRPr="00E73F8D" w:rsidRDefault="00E73F8D" w:rsidP="00E73F8D">
      <w:pPr>
        <w:ind w:left="360" w:right="-136" w:hanging="360"/>
        <w:rPr>
          <w:rFonts w:ascii="Times New Roman" w:hAnsi="Times New Roman" w:cs="Times New Roman"/>
          <w:b/>
          <w:sz w:val="24"/>
          <w:szCs w:val="24"/>
        </w:rPr>
      </w:pPr>
      <w:r w:rsidRPr="00E73F8D">
        <w:rPr>
          <w:rFonts w:ascii="Times New Roman" w:hAnsi="Times New Roman" w:cs="Times New Roman"/>
          <w:sz w:val="24"/>
          <w:szCs w:val="24"/>
        </w:rPr>
        <w:lastRenderedPageBreak/>
        <w:t xml:space="preserve">MACDONALD, R. (1997), “What Determines Real Exchange Rates? The Long and Short of  It”, </w:t>
      </w:r>
      <w:r w:rsidRPr="00E73F8D">
        <w:rPr>
          <w:rFonts w:ascii="Times New Roman" w:hAnsi="Times New Roman" w:cs="Times New Roman"/>
          <w:b/>
          <w:sz w:val="24"/>
          <w:szCs w:val="24"/>
        </w:rPr>
        <w:t>IMF Working paper, WP97/21</w:t>
      </w:r>
      <w:r w:rsidRPr="00E73F8D">
        <w:rPr>
          <w:rFonts w:ascii="Times New Roman" w:hAnsi="Times New Roman" w:cs="Times New Roman"/>
          <w:sz w:val="24"/>
          <w:szCs w:val="24"/>
        </w:rPr>
        <w:t>, 1997.</w:t>
      </w:r>
    </w:p>
    <w:p w:rsidR="00E73F8D" w:rsidRPr="00E73F8D" w:rsidRDefault="00E73F8D" w:rsidP="00E73F8D">
      <w:pPr>
        <w:ind w:left="360" w:right="-136" w:hanging="360"/>
        <w:rPr>
          <w:rFonts w:ascii="Times New Roman" w:hAnsi="Times New Roman" w:cs="Times New Roman"/>
          <w:sz w:val="24"/>
          <w:szCs w:val="24"/>
        </w:rPr>
      </w:pPr>
      <w:r w:rsidRPr="00E73F8D">
        <w:rPr>
          <w:rFonts w:ascii="Times New Roman" w:hAnsi="Times New Roman" w:cs="Times New Roman"/>
          <w:sz w:val="24"/>
          <w:szCs w:val="24"/>
        </w:rPr>
        <w:t xml:space="preserve">MODY, A; MURSHID, A. Growing Up with Capital Flows, </w:t>
      </w:r>
      <w:r w:rsidRPr="00E73F8D">
        <w:rPr>
          <w:rFonts w:ascii="Times New Roman" w:hAnsi="Times New Roman" w:cs="Times New Roman"/>
          <w:b/>
          <w:sz w:val="24"/>
          <w:szCs w:val="24"/>
        </w:rPr>
        <w:t>IMF Working Paper WP/02/75</w:t>
      </w:r>
      <w:r w:rsidRPr="00E73F8D">
        <w:rPr>
          <w:rFonts w:ascii="Times New Roman" w:hAnsi="Times New Roman" w:cs="Times New Roman"/>
          <w:sz w:val="24"/>
          <w:szCs w:val="24"/>
        </w:rPr>
        <w:t>, 2002.</w:t>
      </w:r>
    </w:p>
    <w:p w:rsidR="00E73F8D" w:rsidRPr="00E73F8D" w:rsidRDefault="00E73F8D" w:rsidP="00E73F8D">
      <w:pPr>
        <w:ind w:left="360" w:right="-136" w:hanging="360"/>
        <w:rPr>
          <w:rFonts w:ascii="Times New Roman" w:hAnsi="Times New Roman" w:cs="Times New Roman"/>
          <w:sz w:val="24"/>
          <w:szCs w:val="24"/>
        </w:rPr>
      </w:pPr>
      <w:r w:rsidRPr="00E73F8D">
        <w:rPr>
          <w:rFonts w:ascii="Times New Roman" w:hAnsi="Times New Roman" w:cs="Times New Roman"/>
          <w:sz w:val="24"/>
          <w:szCs w:val="24"/>
        </w:rPr>
        <w:t xml:space="preserve">MONTIEL, P. The Long Run Equilibrium Exchange Rate: Conceptual Issues and Empirical Research. In: Hinkel e Montiel, eds, </w:t>
      </w:r>
      <w:r w:rsidRPr="00E73F8D">
        <w:rPr>
          <w:rFonts w:ascii="Times New Roman" w:hAnsi="Times New Roman" w:cs="Times New Roman"/>
          <w:b/>
          <w:sz w:val="24"/>
          <w:szCs w:val="24"/>
        </w:rPr>
        <w:t xml:space="preserve">Exchange Rate Misalignments, </w:t>
      </w:r>
      <w:r w:rsidRPr="00E73F8D">
        <w:rPr>
          <w:rFonts w:ascii="Times New Roman" w:hAnsi="Times New Roman" w:cs="Times New Roman"/>
          <w:sz w:val="24"/>
          <w:szCs w:val="24"/>
        </w:rPr>
        <w:t>World Bank Research Publication, 1999.</w:t>
      </w:r>
    </w:p>
    <w:p w:rsidR="00E73F8D" w:rsidRPr="00E73F8D" w:rsidRDefault="00E73F8D" w:rsidP="00E73F8D">
      <w:pPr>
        <w:ind w:left="360" w:right="-136" w:hanging="360"/>
        <w:rPr>
          <w:rFonts w:ascii="Times New Roman" w:hAnsi="Times New Roman" w:cs="Times New Roman"/>
          <w:sz w:val="24"/>
          <w:szCs w:val="24"/>
        </w:rPr>
      </w:pPr>
      <w:r w:rsidRPr="00E73F8D">
        <w:rPr>
          <w:rFonts w:ascii="Times New Roman" w:hAnsi="Times New Roman" w:cs="Times New Roman"/>
          <w:sz w:val="24"/>
          <w:szCs w:val="24"/>
        </w:rPr>
        <w:t xml:space="preserve">PEDRONI, P. Critical Values for Cointegration Tests in Heterogeneous Panels with  Multiple  Regressors,  </w:t>
      </w:r>
      <w:r w:rsidRPr="00E73F8D">
        <w:rPr>
          <w:rFonts w:ascii="Times New Roman" w:hAnsi="Times New Roman" w:cs="Times New Roman"/>
          <w:b/>
          <w:sz w:val="24"/>
          <w:szCs w:val="24"/>
        </w:rPr>
        <w:t>Oxford  Bulletin  of  Economics  and  Statistics</w:t>
      </w:r>
      <w:r w:rsidRPr="00E73F8D">
        <w:rPr>
          <w:rFonts w:ascii="Times New Roman" w:hAnsi="Times New Roman" w:cs="Times New Roman"/>
          <w:sz w:val="24"/>
          <w:szCs w:val="24"/>
        </w:rPr>
        <w:t>, 1999.</w:t>
      </w:r>
    </w:p>
    <w:p w:rsidR="00E73F8D" w:rsidRPr="00E73F8D" w:rsidRDefault="00E73F8D" w:rsidP="00E73F8D">
      <w:pPr>
        <w:ind w:left="360" w:right="-136" w:hanging="360"/>
        <w:rPr>
          <w:rFonts w:ascii="Times New Roman" w:hAnsi="Times New Roman" w:cs="Times New Roman"/>
          <w:sz w:val="24"/>
          <w:szCs w:val="24"/>
        </w:rPr>
      </w:pPr>
      <w:r w:rsidRPr="00E73F8D">
        <w:rPr>
          <w:rFonts w:ascii="Times New Roman" w:hAnsi="Times New Roman" w:cs="Times New Roman"/>
          <w:sz w:val="24"/>
          <w:szCs w:val="24"/>
        </w:rPr>
        <w:t xml:space="preserve">PESARAN, M; SHIN, Y; SMITH, R. Pooled Mean Group estimation of dynamic heterogenous panels, </w:t>
      </w:r>
      <w:r w:rsidRPr="00E73F8D">
        <w:rPr>
          <w:rFonts w:ascii="Times New Roman" w:hAnsi="Times New Roman" w:cs="Times New Roman"/>
          <w:b/>
          <w:sz w:val="24"/>
          <w:szCs w:val="24"/>
        </w:rPr>
        <w:t xml:space="preserve">Journal of American Statistical Association, </w:t>
      </w:r>
      <w:r w:rsidRPr="00E73F8D">
        <w:rPr>
          <w:rFonts w:ascii="Times New Roman" w:hAnsi="Times New Roman" w:cs="Times New Roman"/>
          <w:sz w:val="24"/>
          <w:szCs w:val="24"/>
        </w:rPr>
        <w:t>1999.</w:t>
      </w:r>
    </w:p>
    <w:p w:rsidR="00E73F8D" w:rsidRPr="00E73F8D" w:rsidRDefault="00E73F8D" w:rsidP="00E73F8D">
      <w:pPr>
        <w:ind w:left="360" w:hanging="360"/>
        <w:rPr>
          <w:rFonts w:ascii="Times New Roman" w:hAnsi="Times New Roman" w:cs="Times New Roman"/>
          <w:sz w:val="24"/>
          <w:szCs w:val="24"/>
        </w:rPr>
      </w:pPr>
      <w:r w:rsidRPr="00E73F8D">
        <w:rPr>
          <w:rFonts w:ascii="Times New Roman" w:hAnsi="Times New Roman" w:cs="Times New Roman"/>
          <w:iCs/>
          <w:sz w:val="24"/>
          <w:szCs w:val="24"/>
        </w:rPr>
        <w:t xml:space="preserve">REINHART, C.; ROGOFF, K. The Modern History of Exchange Rate Arrangements: A Reinterpretation. </w:t>
      </w:r>
      <w:r w:rsidRPr="00E73F8D">
        <w:rPr>
          <w:rFonts w:ascii="Times New Roman" w:hAnsi="Times New Roman" w:cs="Times New Roman"/>
          <w:b/>
          <w:iCs/>
          <w:sz w:val="24"/>
          <w:szCs w:val="24"/>
        </w:rPr>
        <w:t>NBER Working Paper N. 8963</w:t>
      </w:r>
      <w:r w:rsidRPr="00E73F8D">
        <w:rPr>
          <w:rFonts w:ascii="Times New Roman" w:hAnsi="Times New Roman" w:cs="Times New Roman"/>
          <w:iCs/>
          <w:sz w:val="24"/>
          <w:szCs w:val="24"/>
        </w:rPr>
        <w:t>, 2002.</w:t>
      </w:r>
    </w:p>
    <w:p w:rsidR="00E73F8D" w:rsidRPr="00E73F8D" w:rsidRDefault="00E73F8D" w:rsidP="00E73F8D">
      <w:pPr>
        <w:ind w:left="360" w:right="-136" w:hanging="360"/>
        <w:rPr>
          <w:rFonts w:ascii="Times New Roman" w:hAnsi="Times New Roman" w:cs="Times New Roman"/>
          <w:sz w:val="24"/>
          <w:szCs w:val="24"/>
        </w:rPr>
      </w:pPr>
      <w:r w:rsidRPr="00E73F8D">
        <w:rPr>
          <w:rFonts w:ascii="Times New Roman" w:hAnsi="Times New Roman" w:cs="Times New Roman"/>
          <w:sz w:val="24"/>
          <w:szCs w:val="24"/>
        </w:rPr>
        <w:t>WILLIAMSON, J</w:t>
      </w:r>
      <w:r w:rsidRPr="00E73F8D">
        <w:rPr>
          <w:rFonts w:ascii="Times New Roman" w:hAnsi="Times New Roman" w:cs="Times New Roman"/>
          <w:b/>
          <w:sz w:val="24"/>
          <w:szCs w:val="24"/>
        </w:rPr>
        <w:t>. Estimating Equilibrium Exchange Rates</w:t>
      </w:r>
      <w:r w:rsidRPr="00E73F8D">
        <w:rPr>
          <w:rFonts w:ascii="Times New Roman" w:hAnsi="Times New Roman" w:cs="Times New Roman"/>
          <w:sz w:val="24"/>
          <w:szCs w:val="24"/>
        </w:rPr>
        <w:t>. Institute for International Economics, Washington DC, 1994.</w:t>
      </w:r>
    </w:p>
    <w:p w:rsidR="00E73F8D" w:rsidRPr="00DB1F12" w:rsidRDefault="00E73F8D" w:rsidP="008D1FF4">
      <w:pPr>
        <w:tabs>
          <w:tab w:val="left" w:pos="720"/>
        </w:tabs>
        <w:spacing w:after="0" w:line="240" w:lineRule="auto"/>
        <w:jc w:val="both"/>
        <w:rPr>
          <w:rFonts w:ascii="Times New Roman" w:eastAsiaTheme="minorEastAsia" w:hAnsi="Times New Roman" w:cs="Times New Roman"/>
          <w:sz w:val="24"/>
          <w:szCs w:val="24"/>
        </w:rPr>
      </w:pPr>
    </w:p>
    <w:p w:rsidR="00E73F8D" w:rsidRPr="00DB1F12" w:rsidRDefault="00E73F8D" w:rsidP="008D1FF4">
      <w:pPr>
        <w:tabs>
          <w:tab w:val="left" w:pos="720"/>
        </w:tabs>
        <w:spacing w:after="0" w:line="240" w:lineRule="auto"/>
        <w:jc w:val="both"/>
        <w:rPr>
          <w:rFonts w:ascii="Times New Roman" w:eastAsiaTheme="minorEastAsia" w:hAnsi="Times New Roman" w:cs="Times New Roman"/>
          <w:sz w:val="24"/>
          <w:szCs w:val="24"/>
        </w:rPr>
      </w:pPr>
    </w:p>
    <w:p w:rsidR="00BD3C3B" w:rsidRDefault="003302D8" w:rsidP="00725358">
      <w:pPr>
        <w:tabs>
          <w:tab w:val="left" w:pos="720"/>
        </w:tabs>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Apêndice I</w:t>
      </w:r>
      <w:r w:rsidR="000C3E9A">
        <w:rPr>
          <w:rFonts w:ascii="Times New Roman" w:hAnsi="Times New Roman" w:cs="Times New Roman"/>
          <w:b/>
          <w:sz w:val="24"/>
          <w:szCs w:val="24"/>
          <w:lang w:val="pt-BR"/>
        </w:rPr>
        <w:t xml:space="preserve"> – Descrição das Variáveis Utilizadas nas Estimações e dos Países que compõem a Amostra</w:t>
      </w:r>
    </w:p>
    <w:p w:rsidR="000C3E9A" w:rsidRDefault="000C3E9A" w:rsidP="007E4941">
      <w:pPr>
        <w:tabs>
          <w:tab w:val="left" w:pos="720"/>
        </w:tabs>
        <w:spacing w:after="0" w:line="240" w:lineRule="auto"/>
        <w:ind w:firstLine="720"/>
        <w:jc w:val="both"/>
        <w:rPr>
          <w:rFonts w:ascii="Times New Roman" w:hAnsi="Times New Roman" w:cs="Times New Roman"/>
          <w:b/>
          <w:sz w:val="24"/>
          <w:szCs w:val="24"/>
          <w:lang w:val="pt-BR"/>
        </w:rPr>
      </w:pPr>
    </w:p>
    <w:p w:rsidR="000C3E9A" w:rsidRDefault="000C3E9A" w:rsidP="007E4941">
      <w:pPr>
        <w:tabs>
          <w:tab w:val="left" w:pos="720"/>
        </w:tabs>
        <w:spacing w:after="0" w:line="240" w:lineRule="auto"/>
        <w:ind w:firstLine="720"/>
        <w:jc w:val="both"/>
        <w:rPr>
          <w:rFonts w:ascii="Times New Roman" w:hAnsi="Times New Roman" w:cs="Times New Roman"/>
          <w:b/>
          <w:sz w:val="24"/>
          <w:szCs w:val="24"/>
          <w:lang w:val="pt-BR"/>
        </w:rPr>
      </w:pPr>
    </w:p>
    <w:p w:rsidR="000C3E9A" w:rsidRDefault="00BF03D5" w:rsidP="00BF03D5">
      <w:pPr>
        <w:tabs>
          <w:tab w:val="left" w:pos="720"/>
        </w:tabs>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Países que compõe a equação de determinação do câmbio de longo prazo: </w:t>
      </w:r>
    </w:p>
    <w:p w:rsidR="00BF03D5" w:rsidRDefault="00BF03D5" w:rsidP="00BF03D5">
      <w:pPr>
        <w:tabs>
          <w:tab w:val="left" w:pos="720"/>
        </w:tabs>
        <w:spacing w:after="0" w:line="240" w:lineRule="auto"/>
        <w:jc w:val="both"/>
        <w:rPr>
          <w:rFonts w:ascii="Times New Roman" w:hAnsi="Times New Roman" w:cs="Times New Roman"/>
          <w:b/>
          <w:sz w:val="24"/>
          <w:szCs w:val="24"/>
          <w:lang w:val="pt-BR"/>
        </w:rPr>
      </w:pPr>
    </w:p>
    <w:p w:rsidR="00BB339E" w:rsidRDefault="00BF03D5" w:rsidP="00A673C2">
      <w:pPr>
        <w:tabs>
          <w:tab w:val="left" w:pos="720"/>
        </w:tabs>
        <w:spacing w:after="0" w:line="240" w:lineRule="auto"/>
        <w:jc w:val="both"/>
        <w:rPr>
          <w:rFonts w:ascii="Times New Roman" w:hAnsi="Times New Roman" w:cs="Times New Roman"/>
          <w:sz w:val="24"/>
          <w:szCs w:val="24"/>
          <w:lang w:val="pt-BR"/>
        </w:rPr>
      </w:pPr>
      <w:r w:rsidRPr="002978C0">
        <w:rPr>
          <w:rFonts w:ascii="Times New Roman" w:hAnsi="Times New Roman" w:cs="Times New Roman"/>
          <w:sz w:val="24"/>
          <w:szCs w:val="24"/>
          <w:lang w:val="pt-BR"/>
        </w:rPr>
        <w:t>África do Sul, Alemanha, Angola, Arábia Saudita, Argentina, Argélia, Armênia, Austrália, Áustria, Bangladesh, Belarus, Bélgica, Benim, Bolívia, Brasil, Bulgária, Camarões, Canadá, Chile, China, Ciprus, Colômbia, Costa do Mármore, Costa Rica, Dinamarca, Egito, Emirados Árabes Unidos, Equador, Espanha, Estados Unidos, Estônia, Etiópia, Fiji, Filipinas, Finlândia, França, Gana, Geórgia, Grã-Bretanha, Grécia, Guatemala, Guinea, Guinea Equatorial, Haiti, Holanda, Honduras, Honk Kong, Hungria, Índia, Indonésia, Irã, Irlanda, Islândia, Israel, Itália, Jamaica, Japão, Kazaquistão, Kirguistão, Kuwait, Líbano, Líbia, Madagascar, Malásia, Malawi, Mali, Malta, Marrocos, México, Moldova, Namíbia, Nigéria, Noruega, Nova Zelândia, Papua Nova Guinéia, Paraguai, Peru, Polônia, Portugal,</w:t>
      </w:r>
      <w:r w:rsidR="00BB339E">
        <w:rPr>
          <w:rFonts w:ascii="Times New Roman" w:hAnsi="Times New Roman" w:cs="Times New Roman"/>
          <w:sz w:val="24"/>
          <w:szCs w:val="24"/>
          <w:lang w:val="pt-BR"/>
        </w:rPr>
        <w:t xml:space="preserve"> </w:t>
      </w:r>
      <w:r w:rsidRPr="002978C0">
        <w:rPr>
          <w:rFonts w:ascii="Times New Roman" w:hAnsi="Times New Roman" w:cs="Times New Roman"/>
          <w:sz w:val="24"/>
          <w:szCs w:val="24"/>
          <w:lang w:val="pt-BR"/>
        </w:rPr>
        <w:t>República da Coréia, República do Congo, República Dominicana, República Eslováquia, Rússia, Senegal, Singapura, Síria, Sri Lanka, Sudão, Suécia, Suíça,Tailândia, Taiwan, Tunísia, Turcomenistão, Turquia, Ucrânia, Uganda, Uruguay, Usbequiztão, Venezuela, Vietnam.</w:t>
      </w:r>
    </w:p>
    <w:p w:rsidR="000229DC" w:rsidRDefault="000229DC" w:rsidP="00A673C2">
      <w:pPr>
        <w:tabs>
          <w:tab w:val="left" w:pos="720"/>
        </w:tabs>
        <w:spacing w:after="0" w:line="240" w:lineRule="auto"/>
        <w:jc w:val="both"/>
        <w:rPr>
          <w:rFonts w:ascii="Times New Roman" w:hAnsi="Times New Roman" w:cs="Times New Roman"/>
          <w:sz w:val="24"/>
          <w:szCs w:val="24"/>
          <w:lang w:val="pt-BR"/>
        </w:rPr>
      </w:pPr>
    </w:p>
    <w:p w:rsidR="000229DC" w:rsidRDefault="000229DC" w:rsidP="00A673C2">
      <w:pPr>
        <w:tabs>
          <w:tab w:val="left" w:pos="720"/>
        </w:tabs>
        <w:spacing w:after="0" w:line="240" w:lineRule="auto"/>
        <w:jc w:val="both"/>
        <w:rPr>
          <w:rFonts w:ascii="Times New Roman" w:hAnsi="Times New Roman" w:cs="Times New Roman"/>
          <w:sz w:val="24"/>
          <w:szCs w:val="24"/>
          <w:lang w:val="pt-BR"/>
        </w:rPr>
      </w:pPr>
    </w:p>
    <w:p w:rsidR="000229DC" w:rsidRDefault="000229DC" w:rsidP="00A673C2">
      <w:pPr>
        <w:tabs>
          <w:tab w:val="left" w:pos="720"/>
        </w:tabs>
        <w:spacing w:after="0" w:line="240" w:lineRule="auto"/>
        <w:jc w:val="both"/>
        <w:rPr>
          <w:rFonts w:ascii="Times New Roman" w:hAnsi="Times New Roman" w:cs="Times New Roman"/>
          <w:sz w:val="24"/>
          <w:szCs w:val="24"/>
          <w:lang w:val="pt-BR"/>
        </w:rPr>
      </w:pPr>
    </w:p>
    <w:p w:rsidR="000229DC" w:rsidRDefault="000229DC" w:rsidP="00A673C2">
      <w:pPr>
        <w:tabs>
          <w:tab w:val="left" w:pos="720"/>
        </w:tabs>
        <w:spacing w:after="0" w:line="240" w:lineRule="auto"/>
        <w:jc w:val="both"/>
        <w:rPr>
          <w:rFonts w:ascii="Times New Roman" w:hAnsi="Times New Roman" w:cs="Times New Roman"/>
          <w:b/>
          <w:sz w:val="24"/>
          <w:szCs w:val="24"/>
          <w:lang w:val="pt-BR"/>
        </w:rPr>
      </w:pPr>
    </w:p>
    <w:p w:rsidR="000C3E9A" w:rsidRDefault="00A673C2" w:rsidP="00A673C2">
      <w:pPr>
        <w:tabs>
          <w:tab w:val="left" w:pos="720"/>
        </w:tabs>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Países que compõe a equação de determinação da sobrevalorização cambial:</w:t>
      </w:r>
    </w:p>
    <w:p w:rsidR="00A673C2" w:rsidRDefault="00A673C2" w:rsidP="00A673C2">
      <w:pPr>
        <w:tabs>
          <w:tab w:val="left" w:pos="720"/>
        </w:tabs>
        <w:spacing w:after="0" w:line="240" w:lineRule="auto"/>
        <w:jc w:val="both"/>
        <w:rPr>
          <w:rFonts w:ascii="Times New Roman" w:hAnsi="Times New Roman" w:cs="Times New Roman"/>
          <w:b/>
          <w:sz w:val="24"/>
          <w:szCs w:val="24"/>
          <w:lang w:val="pt-BR"/>
        </w:rPr>
      </w:pPr>
    </w:p>
    <w:p w:rsidR="00D828CE" w:rsidRPr="002978C0" w:rsidRDefault="00D828CE" w:rsidP="00A673C2">
      <w:pPr>
        <w:tabs>
          <w:tab w:val="left" w:pos="720"/>
        </w:tabs>
        <w:spacing w:after="0" w:line="240" w:lineRule="auto"/>
        <w:jc w:val="both"/>
        <w:rPr>
          <w:rFonts w:ascii="Times New Roman" w:hAnsi="Times New Roman" w:cs="Times New Roman"/>
          <w:sz w:val="24"/>
          <w:szCs w:val="24"/>
          <w:lang w:val="pt-BR"/>
        </w:rPr>
      </w:pPr>
      <w:r w:rsidRPr="002978C0">
        <w:rPr>
          <w:rFonts w:ascii="Times New Roman" w:hAnsi="Times New Roman" w:cs="Times New Roman"/>
          <w:sz w:val="24"/>
          <w:szCs w:val="24"/>
          <w:lang w:val="pt-BR"/>
        </w:rPr>
        <w:t>Argentina, Austrália, Áustria, Bangladesh, Belarus, Bolívia, Brasil, Suíça, Chile, China, Congo, Colômbia, Costa Rica, Cyprus, Espanha, Etiópia, Finlândia, Fiji, França, Reino Unido, Ghana, Alemanha, Guatemala, Honk Kong, Honduras, Haiti, Hungria, Irlanda, Israel, Kazaquistão, Kuwait, Sri Lanka, Moldova, México, Mali, Malaui, Malásia, Namíbia</w:t>
      </w:r>
    </w:p>
    <w:p w:rsidR="00D828CE" w:rsidRPr="002978C0" w:rsidRDefault="00D828CE" w:rsidP="00A673C2">
      <w:pPr>
        <w:tabs>
          <w:tab w:val="left" w:pos="720"/>
        </w:tabs>
        <w:spacing w:after="0" w:line="240" w:lineRule="auto"/>
        <w:jc w:val="both"/>
        <w:rPr>
          <w:rFonts w:ascii="Times New Roman" w:hAnsi="Times New Roman" w:cs="Times New Roman"/>
          <w:sz w:val="24"/>
          <w:szCs w:val="24"/>
          <w:lang w:val="pt-BR"/>
        </w:rPr>
      </w:pPr>
      <w:r w:rsidRPr="002978C0">
        <w:rPr>
          <w:rFonts w:ascii="Times New Roman" w:hAnsi="Times New Roman" w:cs="Times New Roman"/>
          <w:sz w:val="24"/>
          <w:szCs w:val="24"/>
          <w:lang w:val="pt-BR"/>
        </w:rPr>
        <w:t>Emirados Árabes Unidos, Estados Unidos, Noruega, Nova Zelândia, Filipinas, Papua Nova Guinea, Portugal, Rússia, Arábia Saudita, Senegal, Síria, Sudão, Tailândia, Turcomenistão, Turquia, Ucrânia, Uganda, Uruguai, Venezuela.</w:t>
      </w:r>
    </w:p>
    <w:p w:rsidR="002751B5" w:rsidRDefault="002751B5" w:rsidP="00A673C2">
      <w:pPr>
        <w:tabs>
          <w:tab w:val="left" w:pos="720"/>
        </w:tabs>
        <w:spacing w:after="0" w:line="240" w:lineRule="auto"/>
        <w:jc w:val="both"/>
        <w:rPr>
          <w:rFonts w:ascii="Times New Roman" w:hAnsi="Times New Roman" w:cs="Times New Roman"/>
          <w:b/>
          <w:sz w:val="24"/>
          <w:szCs w:val="24"/>
          <w:lang w:val="pt-BR"/>
        </w:rPr>
      </w:pPr>
    </w:p>
    <w:p w:rsidR="002751B5" w:rsidRDefault="002751B5" w:rsidP="002751B5">
      <w:pPr>
        <w:tabs>
          <w:tab w:val="left" w:pos="720"/>
        </w:tabs>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Fontes dos dados utilizados</w:t>
      </w:r>
    </w:p>
    <w:p w:rsidR="00AF7753" w:rsidRPr="00DB1F12" w:rsidRDefault="00AF7753" w:rsidP="002751B5">
      <w:pPr>
        <w:tabs>
          <w:tab w:val="left" w:pos="720"/>
        </w:tabs>
        <w:spacing w:after="0" w:line="240" w:lineRule="auto"/>
        <w:jc w:val="center"/>
        <w:rPr>
          <w:rFonts w:ascii="Times New Roman" w:hAnsi="Times New Roman" w:cs="Times New Roman"/>
          <w:sz w:val="24"/>
          <w:szCs w:val="24"/>
          <w:lang w:val="pt-BR"/>
        </w:rPr>
      </w:pPr>
      <w:r w:rsidRPr="00DB1F12">
        <w:rPr>
          <w:rFonts w:ascii="Times New Roman" w:hAnsi="Times New Roman" w:cs="Times New Roman"/>
          <w:sz w:val="24"/>
          <w:szCs w:val="24"/>
          <w:lang w:val="pt-BR"/>
        </w:rPr>
        <w:t>World Development Indicators – WDI</w:t>
      </w:r>
    </w:p>
    <w:p w:rsidR="00AF7753" w:rsidRPr="002978C0" w:rsidRDefault="00AF7753" w:rsidP="002751B5">
      <w:pPr>
        <w:tabs>
          <w:tab w:val="left" w:pos="720"/>
        </w:tabs>
        <w:spacing w:after="0" w:line="240" w:lineRule="auto"/>
        <w:jc w:val="center"/>
        <w:rPr>
          <w:rFonts w:ascii="Times New Roman" w:hAnsi="Times New Roman" w:cs="Times New Roman"/>
          <w:sz w:val="24"/>
          <w:szCs w:val="24"/>
        </w:rPr>
      </w:pPr>
      <w:r w:rsidRPr="002978C0">
        <w:rPr>
          <w:rFonts w:ascii="Times New Roman" w:hAnsi="Times New Roman" w:cs="Times New Roman"/>
          <w:sz w:val="24"/>
          <w:szCs w:val="24"/>
        </w:rPr>
        <w:t>World Penn Tables – WPT</w:t>
      </w:r>
    </w:p>
    <w:p w:rsidR="00AF7753" w:rsidRPr="002978C0" w:rsidRDefault="00AF7753" w:rsidP="002751B5">
      <w:pPr>
        <w:tabs>
          <w:tab w:val="left" w:pos="720"/>
        </w:tabs>
        <w:spacing w:after="0" w:line="240" w:lineRule="auto"/>
        <w:jc w:val="center"/>
        <w:rPr>
          <w:rFonts w:ascii="Times New Roman" w:hAnsi="Times New Roman" w:cs="Times New Roman"/>
          <w:sz w:val="24"/>
          <w:szCs w:val="24"/>
        </w:rPr>
      </w:pPr>
      <w:r w:rsidRPr="002978C0">
        <w:rPr>
          <w:rFonts w:ascii="Times New Roman" w:hAnsi="Times New Roman" w:cs="Times New Roman"/>
          <w:sz w:val="24"/>
          <w:szCs w:val="24"/>
        </w:rPr>
        <w:t>Reinhart e Roggof (2008) – RR</w:t>
      </w:r>
    </w:p>
    <w:p w:rsidR="00AF7753" w:rsidRPr="002978C0" w:rsidRDefault="00AF7753" w:rsidP="002751B5">
      <w:pPr>
        <w:tabs>
          <w:tab w:val="left" w:pos="720"/>
        </w:tabs>
        <w:spacing w:after="0" w:line="240" w:lineRule="auto"/>
        <w:jc w:val="center"/>
        <w:rPr>
          <w:rFonts w:ascii="Times New Roman" w:hAnsi="Times New Roman" w:cs="Times New Roman"/>
          <w:sz w:val="24"/>
          <w:szCs w:val="24"/>
        </w:rPr>
      </w:pPr>
      <w:r w:rsidRPr="002978C0">
        <w:rPr>
          <w:rFonts w:ascii="Times New Roman" w:hAnsi="Times New Roman" w:cs="Times New Roman"/>
          <w:sz w:val="24"/>
          <w:szCs w:val="24"/>
        </w:rPr>
        <w:t>Levy-Yeyati e Sturzenegger (2008) – LYS</w:t>
      </w:r>
    </w:p>
    <w:p w:rsidR="00AF7753" w:rsidRPr="002978C0" w:rsidRDefault="00AF7753" w:rsidP="002751B5">
      <w:pPr>
        <w:tabs>
          <w:tab w:val="left" w:pos="720"/>
        </w:tabs>
        <w:spacing w:after="0" w:line="240" w:lineRule="auto"/>
        <w:jc w:val="center"/>
        <w:rPr>
          <w:rFonts w:ascii="Times New Roman" w:hAnsi="Times New Roman" w:cs="Times New Roman"/>
          <w:sz w:val="24"/>
          <w:szCs w:val="24"/>
        </w:rPr>
      </w:pPr>
      <w:r w:rsidRPr="002978C0">
        <w:rPr>
          <w:rFonts w:ascii="Times New Roman" w:hAnsi="Times New Roman" w:cs="Times New Roman"/>
          <w:sz w:val="24"/>
          <w:szCs w:val="24"/>
        </w:rPr>
        <w:t>Sebastian Edwards (2004) – SE</w:t>
      </w:r>
    </w:p>
    <w:p w:rsidR="00AF7753" w:rsidRDefault="00AF7753" w:rsidP="002751B5">
      <w:pPr>
        <w:tabs>
          <w:tab w:val="left" w:pos="720"/>
        </w:tabs>
        <w:spacing w:after="0" w:line="240" w:lineRule="auto"/>
        <w:jc w:val="center"/>
        <w:rPr>
          <w:rFonts w:ascii="Times New Roman" w:hAnsi="Times New Roman" w:cs="Times New Roman"/>
          <w:sz w:val="24"/>
          <w:szCs w:val="24"/>
        </w:rPr>
      </w:pPr>
      <w:r w:rsidRPr="002978C0">
        <w:rPr>
          <w:rFonts w:ascii="Times New Roman" w:hAnsi="Times New Roman" w:cs="Times New Roman"/>
          <w:sz w:val="24"/>
          <w:szCs w:val="24"/>
        </w:rPr>
        <w:t xml:space="preserve">Chinn e Ito – (2005) </w:t>
      </w:r>
      <w:r w:rsidR="000229DC">
        <w:rPr>
          <w:rFonts w:ascii="Times New Roman" w:hAnsi="Times New Roman" w:cs="Times New Roman"/>
          <w:sz w:val="24"/>
          <w:szCs w:val="24"/>
        </w:rPr>
        <w:t>–</w:t>
      </w:r>
      <w:r w:rsidRPr="002978C0">
        <w:rPr>
          <w:rFonts w:ascii="Times New Roman" w:hAnsi="Times New Roman" w:cs="Times New Roman"/>
          <w:sz w:val="24"/>
          <w:szCs w:val="24"/>
        </w:rPr>
        <w:t xml:space="preserve"> CeI</w:t>
      </w:r>
    </w:p>
    <w:p w:rsidR="000229DC" w:rsidRDefault="000229DC" w:rsidP="002751B5">
      <w:pPr>
        <w:tabs>
          <w:tab w:val="left" w:pos="720"/>
        </w:tabs>
        <w:spacing w:after="0" w:line="240" w:lineRule="auto"/>
        <w:jc w:val="center"/>
        <w:rPr>
          <w:rFonts w:ascii="Times New Roman" w:hAnsi="Times New Roman" w:cs="Times New Roman"/>
          <w:sz w:val="24"/>
          <w:szCs w:val="24"/>
        </w:rPr>
      </w:pPr>
    </w:p>
    <w:p w:rsidR="000229DC" w:rsidRDefault="000229DC" w:rsidP="002751B5">
      <w:pPr>
        <w:tabs>
          <w:tab w:val="left" w:pos="720"/>
        </w:tabs>
        <w:spacing w:after="0" w:line="240" w:lineRule="auto"/>
        <w:jc w:val="center"/>
        <w:rPr>
          <w:rFonts w:ascii="Times New Roman" w:hAnsi="Times New Roman" w:cs="Times New Roman"/>
          <w:sz w:val="24"/>
          <w:szCs w:val="24"/>
        </w:rPr>
      </w:pPr>
    </w:p>
    <w:p w:rsidR="000229DC" w:rsidRPr="002978C0" w:rsidRDefault="000229DC" w:rsidP="002751B5">
      <w:pPr>
        <w:tabs>
          <w:tab w:val="left" w:pos="720"/>
        </w:tabs>
        <w:spacing w:after="0" w:line="240" w:lineRule="auto"/>
        <w:jc w:val="center"/>
        <w:rPr>
          <w:rFonts w:ascii="Times New Roman" w:hAnsi="Times New Roman" w:cs="Times New Roman"/>
          <w:sz w:val="24"/>
          <w:szCs w:val="24"/>
        </w:rPr>
      </w:pPr>
    </w:p>
    <w:p w:rsidR="002751B5" w:rsidRPr="00AF7753" w:rsidRDefault="002751B5" w:rsidP="002751B5">
      <w:pPr>
        <w:tabs>
          <w:tab w:val="left" w:pos="720"/>
        </w:tabs>
        <w:spacing w:after="0" w:line="240" w:lineRule="auto"/>
        <w:rPr>
          <w:rFonts w:ascii="Times New Roman" w:hAnsi="Times New Roman" w:cs="Times New Roman"/>
          <w:b/>
          <w:sz w:val="24"/>
          <w:szCs w:val="24"/>
        </w:rPr>
      </w:pPr>
    </w:p>
    <w:tbl>
      <w:tblPr>
        <w:tblStyle w:val="Tabelacomgrade"/>
        <w:tblW w:w="9718" w:type="dxa"/>
        <w:tblLook w:val="04A0"/>
      </w:tblPr>
      <w:tblGrid>
        <w:gridCol w:w="4859"/>
        <w:gridCol w:w="4859"/>
      </w:tblGrid>
      <w:tr w:rsidR="00AF7753" w:rsidRPr="00DB1F12" w:rsidTr="00AF7753">
        <w:trPr>
          <w:trHeight w:val="387"/>
        </w:trPr>
        <w:tc>
          <w:tcPr>
            <w:tcW w:w="4859" w:type="dxa"/>
          </w:tcPr>
          <w:p w:rsidR="00AF7753" w:rsidRPr="002978C0" w:rsidRDefault="002978C0" w:rsidP="002751B5">
            <w:pPr>
              <w:tabs>
                <w:tab w:val="left" w:pos="720"/>
              </w:tabs>
              <w:rPr>
                <w:sz w:val="24"/>
                <w:szCs w:val="24"/>
                <w:lang w:val="pt-BR"/>
              </w:rPr>
            </w:pPr>
            <w:r w:rsidRPr="002978C0">
              <w:rPr>
                <w:sz w:val="24"/>
                <w:szCs w:val="24"/>
                <w:lang w:val="pt-BR"/>
              </w:rPr>
              <w:t>Taxa de câmbio real efetiva</w:t>
            </w:r>
          </w:p>
        </w:tc>
        <w:tc>
          <w:tcPr>
            <w:tcW w:w="4859" w:type="dxa"/>
          </w:tcPr>
          <w:p w:rsidR="00AF7753" w:rsidRPr="002978C0" w:rsidRDefault="002978C0" w:rsidP="002751B5">
            <w:pPr>
              <w:tabs>
                <w:tab w:val="left" w:pos="720"/>
              </w:tabs>
              <w:rPr>
                <w:sz w:val="24"/>
                <w:szCs w:val="24"/>
                <w:lang w:val="pt-BR"/>
              </w:rPr>
            </w:pPr>
            <w:r w:rsidRPr="002978C0">
              <w:rPr>
                <w:sz w:val="24"/>
                <w:szCs w:val="24"/>
                <w:lang w:val="pt-BR"/>
              </w:rPr>
              <w:t>WDI mais construção própria para 40 países</w:t>
            </w:r>
          </w:p>
        </w:tc>
      </w:tr>
      <w:tr w:rsidR="00AF7753" w:rsidRPr="002978C0" w:rsidTr="00AF7753">
        <w:trPr>
          <w:trHeight w:val="387"/>
        </w:trPr>
        <w:tc>
          <w:tcPr>
            <w:tcW w:w="4859" w:type="dxa"/>
          </w:tcPr>
          <w:p w:rsidR="00AF7753" w:rsidRPr="002978C0" w:rsidRDefault="002978C0" w:rsidP="002751B5">
            <w:pPr>
              <w:tabs>
                <w:tab w:val="left" w:pos="720"/>
              </w:tabs>
              <w:rPr>
                <w:sz w:val="24"/>
                <w:szCs w:val="24"/>
                <w:lang w:val="pt-BR"/>
              </w:rPr>
            </w:pPr>
            <w:r w:rsidRPr="002978C0">
              <w:rPr>
                <w:sz w:val="24"/>
                <w:szCs w:val="24"/>
                <w:lang w:val="pt-BR"/>
              </w:rPr>
              <w:t>Abertura Comercial</w:t>
            </w:r>
          </w:p>
        </w:tc>
        <w:tc>
          <w:tcPr>
            <w:tcW w:w="4859" w:type="dxa"/>
          </w:tcPr>
          <w:p w:rsidR="00AF7753" w:rsidRPr="002978C0" w:rsidRDefault="002978C0" w:rsidP="002751B5">
            <w:pPr>
              <w:tabs>
                <w:tab w:val="left" w:pos="720"/>
              </w:tabs>
              <w:rPr>
                <w:sz w:val="24"/>
                <w:szCs w:val="24"/>
                <w:lang w:val="pt-BR"/>
              </w:rPr>
            </w:pPr>
            <w:r w:rsidRPr="002978C0">
              <w:rPr>
                <w:sz w:val="24"/>
                <w:szCs w:val="24"/>
                <w:lang w:val="pt-BR"/>
              </w:rPr>
              <w:t>OPENK, de WPT</w:t>
            </w:r>
          </w:p>
        </w:tc>
      </w:tr>
      <w:tr w:rsidR="00AF7753" w:rsidRPr="00DB1F12" w:rsidTr="00AF7753">
        <w:trPr>
          <w:trHeight w:val="387"/>
        </w:trPr>
        <w:tc>
          <w:tcPr>
            <w:tcW w:w="4859" w:type="dxa"/>
          </w:tcPr>
          <w:p w:rsidR="00AF7753" w:rsidRPr="002978C0" w:rsidRDefault="002978C0" w:rsidP="002751B5">
            <w:pPr>
              <w:tabs>
                <w:tab w:val="left" w:pos="720"/>
              </w:tabs>
              <w:rPr>
                <w:sz w:val="24"/>
                <w:szCs w:val="24"/>
                <w:lang w:val="pt-BR"/>
              </w:rPr>
            </w:pPr>
            <w:r w:rsidRPr="002978C0">
              <w:rPr>
                <w:sz w:val="24"/>
                <w:szCs w:val="24"/>
                <w:lang w:val="pt-BR"/>
              </w:rPr>
              <w:t>Produtividade Relativa</w:t>
            </w:r>
          </w:p>
        </w:tc>
        <w:tc>
          <w:tcPr>
            <w:tcW w:w="4859" w:type="dxa"/>
          </w:tcPr>
          <w:p w:rsidR="00AF7753" w:rsidRPr="002978C0" w:rsidRDefault="002978C0" w:rsidP="002751B5">
            <w:pPr>
              <w:tabs>
                <w:tab w:val="left" w:pos="720"/>
              </w:tabs>
              <w:rPr>
                <w:sz w:val="24"/>
                <w:szCs w:val="24"/>
                <w:lang w:val="pt-BR"/>
              </w:rPr>
            </w:pPr>
            <w:r w:rsidRPr="002978C0">
              <w:rPr>
                <w:sz w:val="24"/>
                <w:szCs w:val="24"/>
                <w:lang w:val="pt-BR"/>
              </w:rPr>
              <w:t xml:space="preserve">Produto por empregado do pais </w:t>
            </w:r>
            <w:r w:rsidRPr="002978C0">
              <w:rPr>
                <w:i/>
                <w:sz w:val="24"/>
                <w:szCs w:val="24"/>
                <w:lang w:val="pt-BR"/>
              </w:rPr>
              <w:t>i</w:t>
            </w:r>
            <w:r w:rsidRPr="002978C0">
              <w:rPr>
                <w:sz w:val="24"/>
                <w:szCs w:val="24"/>
                <w:lang w:val="pt-BR"/>
              </w:rPr>
              <w:t xml:space="preserve"> dividido pela média do produto dos empregados do G7 mais China - WDI</w:t>
            </w:r>
          </w:p>
        </w:tc>
      </w:tr>
      <w:tr w:rsidR="00AF7753" w:rsidRPr="00DB1F12" w:rsidTr="00AF7753">
        <w:trPr>
          <w:trHeight w:val="387"/>
        </w:trPr>
        <w:tc>
          <w:tcPr>
            <w:tcW w:w="4859" w:type="dxa"/>
          </w:tcPr>
          <w:p w:rsidR="00AF7753" w:rsidRPr="002978C0" w:rsidRDefault="002978C0" w:rsidP="002751B5">
            <w:pPr>
              <w:tabs>
                <w:tab w:val="left" w:pos="720"/>
              </w:tabs>
              <w:rPr>
                <w:sz w:val="24"/>
                <w:szCs w:val="24"/>
                <w:lang w:val="pt-BR"/>
              </w:rPr>
            </w:pPr>
            <w:r w:rsidRPr="002978C0">
              <w:rPr>
                <w:sz w:val="24"/>
                <w:szCs w:val="24"/>
                <w:lang w:val="pt-BR"/>
              </w:rPr>
              <w:t>Inflação Relativa</w:t>
            </w:r>
          </w:p>
        </w:tc>
        <w:tc>
          <w:tcPr>
            <w:tcW w:w="4859" w:type="dxa"/>
          </w:tcPr>
          <w:p w:rsidR="00AF7753" w:rsidRPr="002978C0" w:rsidRDefault="002978C0" w:rsidP="002751B5">
            <w:pPr>
              <w:tabs>
                <w:tab w:val="left" w:pos="720"/>
              </w:tabs>
              <w:rPr>
                <w:sz w:val="24"/>
                <w:szCs w:val="24"/>
                <w:lang w:val="pt-BR"/>
              </w:rPr>
            </w:pPr>
            <w:r w:rsidRPr="002978C0">
              <w:rPr>
                <w:sz w:val="24"/>
                <w:szCs w:val="24"/>
                <w:lang w:val="pt-BR"/>
              </w:rPr>
              <w:t xml:space="preserve">Inflação ao consumidor do pais </w:t>
            </w:r>
            <w:r w:rsidRPr="002978C0">
              <w:rPr>
                <w:i/>
                <w:sz w:val="24"/>
                <w:szCs w:val="24"/>
                <w:lang w:val="pt-BR"/>
              </w:rPr>
              <w:t>i</w:t>
            </w:r>
            <w:r w:rsidRPr="002978C0">
              <w:rPr>
                <w:sz w:val="24"/>
                <w:szCs w:val="24"/>
                <w:lang w:val="pt-BR"/>
              </w:rPr>
              <w:t xml:space="preserve"> dividido pela inflação ao consumidor da média para o G7 mais China</w:t>
            </w:r>
          </w:p>
        </w:tc>
      </w:tr>
      <w:tr w:rsidR="00AF7753" w:rsidRPr="002978C0" w:rsidTr="00AF7753">
        <w:trPr>
          <w:trHeight w:val="387"/>
        </w:trPr>
        <w:tc>
          <w:tcPr>
            <w:tcW w:w="4859" w:type="dxa"/>
          </w:tcPr>
          <w:p w:rsidR="00AF7753" w:rsidRPr="002978C0" w:rsidRDefault="002978C0" w:rsidP="002751B5">
            <w:pPr>
              <w:tabs>
                <w:tab w:val="left" w:pos="720"/>
              </w:tabs>
              <w:rPr>
                <w:sz w:val="24"/>
                <w:szCs w:val="24"/>
                <w:lang w:val="pt-BR"/>
              </w:rPr>
            </w:pPr>
            <w:r>
              <w:rPr>
                <w:sz w:val="24"/>
                <w:szCs w:val="24"/>
                <w:lang w:val="pt-BR"/>
              </w:rPr>
              <w:t>Peso do Governo</w:t>
            </w:r>
          </w:p>
        </w:tc>
        <w:tc>
          <w:tcPr>
            <w:tcW w:w="4859" w:type="dxa"/>
          </w:tcPr>
          <w:p w:rsidR="00AF7753" w:rsidRPr="002978C0" w:rsidRDefault="002978C0" w:rsidP="002751B5">
            <w:pPr>
              <w:tabs>
                <w:tab w:val="left" w:pos="720"/>
              </w:tabs>
              <w:rPr>
                <w:sz w:val="24"/>
                <w:szCs w:val="24"/>
                <w:lang w:val="pt-BR"/>
              </w:rPr>
            </w:pPr>
            <w:r>
              <w:rPr>
                <w:sz w:val="24"/>
                <w:szCs w:val="24"/>
                <w:lang w:val="pt-BR"/>
              </w:rPr>
              <w:t>WPT</w:t>
            </w:r>
          </w:p>
        </w:tc>
      </w:tr>
      <w:tr w:rsidR="00AF7753" w:rsidRPr="002978C0" w:rsidTr="00AF7753">
        <w:trPr>
          <w:trHeight w:val="387"/>
        </w:trPr>
        <w:tc>
          <w:tcPr>
            <w:tcW w:w="4859" w:type="dxa"/>
          </w:tcPr>
          <w:p w:rsidR="00AF7753" w:rsidRPr="002978C0" w:rsidRDefault="002978C0" w:rsidP="002751B5">
            <w:pPr>
              <w:tabs>
                <w:tab w:val="left" w:pos="720"/>
              </w:tabs>
              <w:rPr>
                <w:sz w:val="24"/>
                <w:szCs w:val="24"/>
                <w:lang w:val="pt-BR"/>
              </w:rPr>
            </w:pPr>
            <w:r>
              <w:rPr>
                <w:sz w:val="24"/>
                <w:szCs w:val="24"/>
                <w:lang w:val="pt-BR"/>
              </w:rPr>
              <w:t>Variáveis de Regimes Cambiais</w:t>
            </w:r>
          </w:p>
        </w:tc>
        <w:tc>
          <w:tcPr>
            <w:tcW w:w="4859" w:type="dxa"/>
          </w:tcPr>
          <w:p w:rsidR="00AF7753" w:rsidRPr="002978C0" w:rsidRDefault="002978C0" w:rsidP="002751B5">
            <w:pPr>
              <w:tabs>
                <w:tab w:val="left" w:pos="720"/>
              </w:tabs>
              <w:rPr>
                <w:sz w:val="24"/>
                <w:szCs w:val="24"/>
                <w:lang w:val="pt-BR"/>
              </w:rPr>
            </w:pPr>
            <w:r>
              <w:rPr>
                <w:sz w:val="24"/>
                <w:szCs w:val="24"/>
                <w:lang w:val="pt-BR"/>
              </w:rPr>
              <w:t>RR e LYS</w:t>
            </w:r>
          </w:p>
        </w:tc>
      </w:tr>
      <w:tr w:rsidR="00AF7753" w:rsidRPr="002978C0" w:rsidTr="00AF7753">
        <w:trPr>
          <w:trHeight w:val="407"/>
        </w:trPr>
        <w:tc>
          <w:tcPr>
            <w:tcW w:w="4859" w:type="dxa"/>
          </w:tcPr>
          <w:p w:rsidR="00AF7753" w:rsidRPr="002978C0" w:rsidRDefault="002978C0" w:rsidP="002751B5">
            <w:pPr>
              <w:tabs>
                <w:tab w:val="left" w:pos="720"/>
              </w:tabs>
              <w:rPr>
                <w:sz w:val="24"/>
                <w:szCs w:val="24"/>
                <w:lang w:val="pt-BR"/>
              </w:rPr>
            </w:pPr>
            <w:r>
              <w:rPr>
                <w:sz w:val="24"/>
                <w:szCs w:val="24"/>
                <w:lang w:val="pt-BR"/>
              </w:rPr>
              <w:t>Variáveis de Abertura da Conta Capital</w:t>
            </w:r>
          </w:p>
        </w:tc>
        <w:tc>
          <w:tcPr>
            <w:tcW w:w="4859" w:type="dxa"/>
          </w:tcPr>
          <w:p w:rsidR="00AF7753" w:rsidRPr="002978C0" w:rsidRDefault="002978C0" w:rsidP="002751B5">
            <w:pPr>
              <w:tabs>
                <w:tab w:val="left" w:pos="720"/>
              </w:tabs>
              <w:rPr>
                <w:sz w:val="24"/>
                <w:szCs w:val="24"/>
                <w:lang w:val="pt-BR"/>
              </w:rPr>
            </w:pPr>
            <w:r>
              <w:rPr>
                <w:sz w:val="24"/>
                <w:szCs w:val="24"/>
                <w:lang w:val="pt-BR"/>
              </w:rPr>
              <w:t>SE e CeI</w:t>
            </w:r>
          </w:p>
        </w:tc>
      </w:tr>
      <w:tr w:rsidR="002978C0" w:rsidRPr="002978C0" w:rsidTr="00AF7753">
        <w:trPr>
          <w:trHeight w:val="407"/>
        </w:trPr>
        <w:tc>
          <w:tcPr>
            <w:tcW w:w="4859" w:type="dxa"/>
          </w:tcPr>
          <w:p w:rsidR="002978C0" w:rsidRDefault="002978C0" w:rsidP="002751B5">
            <w:pPr>
              <w:tabs>
                <w:tab w:val="left" w:pos="720"/>
              </w:tabs>
              <w:rPr>
                <w:sz w:val="24"/>
                <w:szCs w:val="24"/>
                <w:lang w:val="pt-BR"/>
              </w:rPr>
            </w:pPr>
            <w:r>
              <w:rPr>
                <w:sz w:val="24"/>
                <w:szCs w:val="24"/>
                <w:lang w:val="pt-BR"/>
              </w:rPr>
              <w:t>Poupança Doméstica</w:t>
            </w:r>
          </w:p>
        </w:tc>
        <w:tc>
          <w:tcPr>
            <w:tcW w:w="4859" w:type="dxa"/>
          </w:tcPr>
          <w:p w:rsidR="002978C0" w:rsidRDefault="002978C0" w:rsidP="002751B5">
            <w:pPr>
              <w:tabs>
                <w:tab w:val="left" w:pos="720"/>
              </w:tabs>
              <w:rPr>
                <w:sz w:val="24"/>
                <w:szCs w:val="24"/>
                <w:lang w:val="pt-BR"/>
              </w:rPr>
            </w:pPr>
            <w:r>
              <w:rPr>
                <w:sz w:val="24"/>
                <w:szCs w:val="24"/>
                <w:lang w:val="pt-BR"/>
              </w:rPr>
              <w:t>WDI</w:t>
            </w:r>
          </w:p>
        </w:tc>
      </w:tr>
      <w:tr w:rsidR="002978C0" w:rsidRPr="002978C0" w:rsidTr="00AF7753">
        <w:trPr>
          <w:trHeight w:val="407"/>
        </w:trPr>
        <w:tc>
          <w:tcPr>
            <w:tcW w:w="4859" w:type="dxa"/>
          </w:tcPr>
          <w:p w:rsidR="002978C0" w:rsidRDefault="002978C0" w:rsidP="002751B5">
            <w:pPr>
              <w:tabs>
                <w:tab w:val="left" w:pos="720"/>
              </w:tabs>
              <w:rPr>
                <w:sz w:val="24"/>
                <w:szCs w:val="24"/>
                <w:lang w:val="pt-BR"/>
              </w:rPr>
            </w:pPr>
            <w:r>
              <w:rPr>
                <w:sz w:val="24"/>
                <w:szCs w:val="24"/>
                <w:lang w:val="pt-BR"/>
              </w:rPr>
              <w:t>Estoque da Dívida Pública</w:t>
            </w:r>
          </w:p>
        </w:tc>
        <w:tc>
          <w:tcPr>
            <w:tcW w:w="4859" w:type="dxa"/>
          </w:tcPr>
          <w:p w:rsidR="002978C0" w:rsidRDefault="002978C0" w:rsidP="002751B5">
            <w:pPr>
              <w:tabs>
                <w:tab w:val="left" w:pos="720"/>
              </w:tabs>
              <w:rPr>
                <w:sz w:val="24"/>
                <w:szCs w:val="24"/>
                <w:lang w:val="pt-BR"/>
              </w:rPr>
            </w:pPr>
            <w:r>
              <w:rPr>
                <w:sz w:val="24"/>
                <w:szCs w:val="24"/>
                <w:lang w:val="pt-BR"/>
              </w:rPr>
              <w:t>WDI</w:t>
            </w:r>
          </w:p>
        </w:tc>
      </w:tr>
      <w:tr w:rsidR="002978C0" w:rsidRPr="002978C0" w:rsidTr="00AF7753">
        <w:trPr>
          <w:trHeight w:val="407"/>
        </w:trPr>
        <w:tc>
          <w:tcPr>
            <w:tcW w:w="4859" w:type="dxa"/>
          </w:tcPr>
          <w:p w:rsidR="002978C0" w:rsidRDefault="002978C0" w:rsidP="002751B5">
            <w:pPr>
              <w:tabs>
                <w:tab w:val="left" w:pos="720"/>
              </w:tabs>
              <w:rPr>
                <w:sz w:val="24"/>
                <w:szCs w:val="24"/>
                <w:lang w:val="pt-BR"/>
              </w:rPr>
            </w:pPr>
            <w:r>
              <w:rPr>
                <w:sz w:val="24"/>
                <w:szCs w:val="24"/>
                <w:lang w:val="pt-BR"/>
              </w:rPr>
              <w:t>Termos de Troca</w:t>
            </w:r>
          </w:p>
        </w:tc>
        <w:tc>
          <w:tcPr>
            <w:tcW w:w="4859" w:type="dxa"/>
          </w:tcPr>
          <w:p w:rsidR="002978C0" w:rsidRDefault="002978C0" w:rsidP="002751B5">
            <w:pPr>
              <w:tabs>
                <w:tab w:val="left" w:pos="720"/>
              </w:tabs>
              <w:rPr>
                <w:sz w:val="24"/>
                <w:szCs w:val="24"/>
                <w:lang w:val="pt-BR"/>
              </w:rPr>
            </w:pPr>
            <w:r>
              <w:rPr>
                <w:sz w:val="24"/>
                <w:szCs w:val="24"/>
                <w:lang w:val="pt-BR"/>
              </w:rPr>
              <w:t>WDI</w:t>
            </w:r>
          </w:p>
        </w:tc>
      </w:tr>
    </w:tbl>
    <w:p w:rsidR="002751B5" w:rsidRPr="002978C0" w:rsidRDefault="002751B5" w:rsidP="002751B5">
      <w:pPr>
        <w:tabs>
          <w:tab w:val="left" w:pos="720"/>
        </w:tabs>
        <w:spacing w:after="0" w:line="240" w:lineRule="auto"/>
        <w:rPr>
          <w:rFonts w:ascii="Times New Roman" w:hAnsi="Times New Roman" w:cs="Times New Roman"/>
          <w:b/>
          <w:sz w:val="24"/>
          <w:szCs w:val="24"/>
          <w:lang w:val="pt-BR"/>
        </w:rPr>
      </w:pPr>
    </w:p>
    <w:p w:rsidR="002751B5" w:rsidRPr="002978C0" w:rsidRDefault="002751B5" w:rsidP="00A673C2">
      <w:pPr>
        <w:tabs>
          <w:tab w:val="left" w:pos="720"/>
        </w:tabs>
        <w:spacing w:after="0" w:line="240" w:lineRule="auto"/>
        <w:jc w:val="both"/>
        <w:rPr>
          <w:rFonts w:ascii="Times New Roman" w:hAnsi="Times New Roman" w:cs="Times New Roman"/>
          <w:b/>
          <w:sz w:val="24"/>
          <w:szCs w:val="24"/>
          <w:lang w:val="pt-BR"/>
        </w:rPr>
      </w:pPr>
    </w:p>
    <w:sectPr w:rsidR="002751B5" w:rsidRPr="002978C0" w:rsidSect="009373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BBC" w:rsidRDefault="00CE0BBC" w:rsidP="00EF4F55">
      <w:pPr>
        <w:spacing w:after="0" w:line="240" w:lineRule="auto"/>
      </w:pPr>
      <w:r>
        <w:separator/>
      </w:r>
    </w:p>
  </w:endnote>
  <w:endnote w:type="continuationSeparator" w:id="0">
    <w:p w:rsidR="00CE0BBC" w:rsidRDefault="00CE0BBC" w:rsidP="00EF4F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TTdcr1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mmi10">
    <w:panose1 w:val="020B0500000000000000"/>
    <w:charset w:val="02"/>
    <w:family w:val="swiss"/>
    <w:pitch w:val="variable"/>
    <w:sig w:usb0="00000000" w:usb1="10000000" w:usb2="00000000" w:usb3="00000000" w:csb0="80000000" w:csb1="00000000"/>
  </w:font>
  <w:font w:name="cmr10">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BBC" w:rsidRDefault="00CE0BBC" w:rsidP="00EF4F55">
      <w:pPr>
        <w:spacing w:after="0" w:line="240" w:lineRule="auto"/>
      </w:pPr>
      <w:r>
        <w:separator/>
      </w:r>
    </w:p>
  </w:footnote>
  <w:footnote w:type="continuationSeparator" w:id="0">
    <w:p w:rsidR="00CE0BBC" w:rsidRDefault="00CE0BBC" w:rsidP="00EF4F55">
      <w:pPr>
        <w:spacing w:after="0" w:line="240" w:lineRule="auto"/>
      </w:pPr>
      <w:r>
        <w:continuationSeparator/>
      </w:r>
    </w:p>
  </w:footnote>
  <w:footnote w:id="1">
    <w:p w:rsidR="002751B5" w:rsidRPr="00150C30" w:rsidRDefault="002751B5" w:rsidP="00150C30">
      <w:pPr>
        <w:jc w:val="both"/>
        <w:rPr>
          <w:rFonts w:ascii="Times New Roman" w:hAnsi="Times New Roman" w:cs="Times New Roman"/>
          <w:sz w:val="20"/>
          <w:szCs w:val="20"/>
          <w:lang w:val="pt-BR"/>
        </w:rPr>
      </w:pPr>
      <w:r w:rsidRPr="00150C30">
        <w:rPr>
          <w:rStyle w:val="Refdenotaderodap"/>
          <w:rFonts w:ascii="Times New Roman" w:hAnsi="Times New Roman" w:cs="Times New Roman"/>
          <w:sz w:val="20"/>
          <w:szCs w:val="20"/>
        </w:rPr>
        <w:footnoteRef/>
      </w:r>
      <w:r w:rsidRPr="00150C30">
        <w:rPr>
          <w:rFonts w:ascii="Times New Roman" w:hAnsi="Times New Roman" w:cs="Times New Roman"/>
          <w:sz w:val="20"/>
          <w:szCs w:val="20"/>
          <w:lang w:val="pt-BR"/>
        </w:rPr>
        <w:t xml:space="preserve"> </w:t>
      </w:r>
      <w:r w:rsidRPr="00150C30">
        <w:rPr>
          <w:rFonts w:ascii="Times New Roman" w:eastAsia="Calibri" w:hAnsi="Times New Roman" w:cs="Times New Roman"/>
          <w:sz w:val="20"/>
          <w:szCs w:val="20"/>
          <w:lang w:val="pt-BR"/>
        </w:rPr>
        <w:t>Montiel (2003) aponta três objeções comuns a medida de uma taxa de câmbio de equilíbrio: i) Alguns economistas acham inútil distinguir entre a taxa de câmbio real e uma de equilíbrio, porque acreditam que qualquer taxa de câmbio real observada é uma taxa de equilíbrio; ii) Alguns diriam que</w:t>
      </w:r>
      <w:r>
        <w:rPr>
          <w:rFonts w:ascii="Times New Roman" w:eastAsia="Calibri" w:hAnsi="Times New Roman" w:cs="Times New Roman"/>
          <w:sz w:val="20"/>
          <w:szCs w:val="20"/>
          <w:lang w:val="pt-BR"/>
        </w:rPr>
        <w:t>,</w:t>
      </w:r>
      <w:r w:rsidRPr="00150C30">
        <w:rPr>
          <w:rFonts w:ascii="Times New Roman" w:eastAsia="Calibri" w:hAnsi="Times New Roman" w:cs="Times New Roman"/>
          <w:sz w:val="20"/>
          <w:szCs w:val="20"/>
          <w:lang w:val="pt-BR"/>
        </w:rPr>
        <w:t xml:space="preserve"> mesmo que haja significado em fazer tal distinção, é inútil fazê-lo, uma vez que os </w:t>
      </w:r>
      <w:r w:rsidRPr="00150C30">
        <w:rPr>
          <w:rFonts w:ascii="Times New Roman" w:eastAsia="Calibri" w:hAnsi="Times New Roman" w:cs="Times New Roman"/>
          <w:i/>
          <w:sz w:val="20"/>
          <w:szCs w:val="20"/>
          <w:lang w:val="pt-BR"/>
        </w:rPr>
        <w:t>gaps</w:t>
      </w:r>
      <w:r w:rsidRPr="00150C30">
        <w:rPr>
          <w:rFonts w:ascii="Times New Roman" w:eastAsia="Calibri" w:hAnsi="Times New Roman" w:cs="Times New Roman"/>
          <w:sz w:val="20"/>
          <w:szCs w:val="20"/>
          <w:lang w:val="pt-BR"/>
        </w:rPr>
        <w:t xml:space="preserve"> entre a taxa real e de equilíbrio não tem implicações de política econômica; iii) Por fim, mesmo que a distinção entre as taxas seja útil, medir a taxa de cambio real de equilíbrio é impossível.</w:t>
      </w:r>
    </w:p>
  </w:footnote>
  <w:footnote w:id="2">
    <w:p w:rsidR="002751B5" w:rsidRDefault="002751B5" w:rsidP="00937324">
      <w:pPr>
        <w:tabs>
          <w:tab w:val="left" w:pos="9270"/>
        </w:tabs>
        <w:spacing w:after="0" w:line="240" w:lineRule="auto"/>
        <w:jc w:val="both"/>
        <w:rPr>
          <w:sz w:val="20"/>
          <w:szCs w:val="20"/>
          <w:lang w:val="pt-BR"/>
        </w:rPr>
      </w:pPr>
      <w:r w:rsidRPr="00150C30">
        <w:rPr>
          <w:rStyle w:val="Refdenotaderodap"/>
          <w:rFonts w:ascii="Times New Roman" w:hAnsi="Times New Roman" w:cs="Times New Roman"/>
          <w:sz w:val="20"/>
          <w:szCs w:val="20"/>
        </w:rPr>
        <w:footnoteRef/>
      </w:r>
      <w:r w:rsidRPr="00150C30">
        <w:rPr>
          <w:rFonts w:ascii="Times New Roman" w:hAnsi="Times New Roman" w:cs="Times New Roman"/>
          <w:sz w:val="20"/>
          <w:szCs w:val="20"/>
          <w:lang w:val="pt-BR"/>
        </w:rPr>
        <w:t xml:space="preserve"> </w:t>
      </w:r>
      <w:r w:rsidRPr="00150C30">
        <w:rPr>
          <w:rFonts w:ascii="Times New Roman" w:eastAsia="Calibri" w:hAnsi="Times New Roman" w:cs="Times New Roman"/>
          <w:sz w:val="20"/>
          <w:szCs w:val="20"/>
          <w:lang w:val="pt-BR"/>
        </w:rPr>
        <w:t>Na maioria dos casos</w:t>
      </w:r>
      <w:r w:rsidRPr="00150C30">
        <w:rPr>
          <w:rFonts w:ascii="Times New Roman" w:hAnsi="Times New Roman" w:cs="Times New Roman"/>
          <w:sz w:val="20"/>
          <w:szCs w:val="20"/>
          <w:lang w:val="pt-BR"/>
        </w:rPr>
        <w:t>,</w:t>
      </w:r>
      <w:r w:rsidRPr="00150C30">
        <w:rPr>
          <w:rFonts w:ascii="Times New Roman" w:eastAsia="Calibri" w:hAnsi="Times New Roman" w:cs="Times New Roman"/>
          <w:sz w:val="20"/>
          <w:szCs w:val="20"/>
          <w:lang w:val="pt-BR"/>
        </w:rPr>
        <w:t xml:space="preserve"> as políticas monetárias expansivas não só geram pressões nos preços dos não comercializáveis, mas também se traduz em perdas de reservas internacionais, aumento os empréstimos estrangeiros líquidos acima do seu nível de longo prazo sustentável, aumentando o </w:t>
      </w:r>
      <w:r w:rsidRPr="00150C30">
        <w:rPr>
          <w:rFonts w:ascii="Times New Roman" w:eastAsia="Calibri" w:hAnsi="Times New Roman" w:cs="Times New Roman"/>
          <w:i/>
          <w:sz w:val="20"/>
          <w:szCs w:val="20"/>
          <w:lang w:val="pt-BR"/>
        </w:rPr>
        <w:t xml:space="preserve">gap </w:t>
      </w:r>
      <w:r w:rsidRPr="00150C30">
        <w:rPr>
          <w:rFonts w:ascii="Times New Roman" w:eastAsia="Calibri" w:hAnsi="Times New Roman" w:cs="Times New Roman"/>
          <w:sz w:val="20"/>
          <w:szCs w:val="20"/>
          <w:lang w:val="pt-BR"/>
        </w:rPr>
        <w:t>do desalinhamento.</w:t>
      </w:r>
      <w:r w:rsidRPr="00DB7227">
        <w:rPr>
          <w:rStyle w:val="Refdenotaderodap"/>
          <w:sz w:val="20"/>
          <w:szCs w:val="20"/>
          <w:lang w:val="pt-BR"/>
        </w:rPr>
        <w:t xml:space="preserve"> </w:t>
      </w:r>
    </w:p>
    <w:p w:rsidR="002751B5" w:rsidRPr="00EF4F55" w:rsidRDefault="002751B5" w:rsidP="00937324">
      <w:pPr>
        <w:tabs>
          <w:tab w:val="left" w:pos="9270"/>
        </w:tabs>
        <w:spacing w:after="0" w:line="240" w:lineRule="auto"/>
        <w:jc w:val="both"/>
        <w:rPr>
          <w:lang w:val="pt-BR"/>
        </w:rPr>
      </w:pPr>
      <w:r w:rsidRPr="00F177DD">
        <w:rPr>
          <w:rStyle w:val="Refdenotaderodap"/>
          <w:sz w:val="20"/>
          <w:szCs w:val="20"/>
          <w:lang w:val="pt-BR"/>
        </w:rPr>
        <w:t>4</w:t>
      </w:r>
      <w:r w:rsidRPr="00BC412E">
        <w:rPr>
          <w:sz w:val="20"/>
          <w:szCs w:val="20"/>
          <w:lang w:val="pt-BR"/>
        </w:rPr>
        <w:t xml:space="preserve"> </w:t>
      </w:r>
      <w:r w:rsidRPr="00BC412E">
        <w:rPr>
          <w:rFonts w:ascii="Times New Roman" w:eastAsia="Calibri" w:hAnsi="Times New Roman" w:cs="Times New Roman"/>
          <w:sz w:val="20"/>
          <w:szCs w:val="20"/>
          <w:lang w:val="pt-BR"/>
        </w:rPr>
        <w:t>Uma questão importante que surge é se as mudanças nos determinantes reais da RER são percebidas como temporários ou permanentes. Mudanças temporárias nestas variáveis podem às vezes resultar em divergências significantes entra a taxa de cambio corrente real e a de equilíbrio. Naturalmente, o principal problema com esta situação está em se reconhecer a natureza temporária dos choques quando se trata de políticas macroeconômicas de correção.</w:t>
      </w:r>
      <w:r>
        <w:rPr>
          <w:rFonts w:ascii="Times New Roman" w:eastAsia="Calibri" w:hAnsi="Times New Roman" w:cs="Times New Roman"/>
          <w:sz w:val="20"/>
          <w:szCs w:val="20"/>
          <w:lang w:val="pt-BR"/>
        </w:rPr>
        <w:t xml:space="preserve"> </w:t>
      </w:r>
    </w:p>
  </w:footnote>
  <w:footnote w:id="3">
    <w:p w:rsidR="002751B5" w:rsidRPr="00BC412E" w:rsidRDefault="002751B5" w:rsidP="00937324">
      <w:pPr>
        <w:pStyle w:val="Textodenotaderodap"/>
        <w:rPr>
          <w:lang w:val="pt-BR"/>
        </w:rPr>
      </w:pPr>
    </w:p>
  </w:footnote>
  <w:footnote w:id="4">
    <w:p w:rsidR="002751B5" w:rsidRPr="000010AC" w:rsidRDefault="002751B5" w:rsidP="000010AC">
      <w:pPr>
        <w:pStyle w:val="Textodenotaderodap"/>
        <w:jc w:val="both"/>
        <w:rPr>
          <w:lang w:val="pt-BR"/>
        </w:rPr>
      </w:pPr>
      <w:r w:rsidRPr="000010AC">
        <w:rPr>
          <w:rStyle w:val="Refdenotaderodap"/>
        </w:rPr>
        <w:footnoteRef/>
      </w:r>
      <w:r w:rsidRPr="000010AC">
        <w:rPr>
          <w:lang w:val="pt-BR"/>
        </w:rPr>
        <w:t xml:space="preserve"> </w:t>
      </w:r>
      <w:r w:rsidRPr="000010AC">
        <w:rPr>
          <w:rFonts w:ascii="Times New Roman" w:hAnsi="Times New Roman"/>
          <w:lang w:val="pt-BR"/>
        </w:rPr>
        <w:t>Como aponta Edwards (1999), enquanto a maior parte do mundo no período pós Segunda Guerra Mundial tinham por objetivo evitar a flutuação do capital, mais recentemente os países têm tentado evitar ou reduzir grandes influxos de capitais: controles da taxa de câmbio, seja para impedir sobrevalorizações, seja como parte de estratégias de crescimento orientadas às exportações, são o que muitas vezes estão subjacente a estas políticas. Há, entretanto, muitos analistas que apontam que os impedimentos legais na mobilidade dos capitais nem sempre são exitosos em se tornar reais restrições de movimentos nesses fluxos. Portanto, existe uma distinção razoável entre a mobilidade de capital observada e a efetiva, que tem sido sujeita a muito debate entre os economistas</w:t>
      </w:r>
    </w:p>
  </w:footnote>
  <w:footnote w:id="5">
    <w:p w:rsidR="002751B5" w:rsidRPr="000010AC" w:rsidRDefault="002751B5" w:rsidP="000010AC">
      <w:pPr>
        <w:tabs>
          <w:tab w:val="left" w:pos="720"/>
        </w:tabs>
        <w:spacing w:after="0" w:line="240" w:lineRule="auto"/>
        <w:jc w:val="both"/>
        <w:rPr>
          <w:rFonts w:ascii="Times New Roman" w:hAnsi="Times New Roman" w:cs="Times New Roman"/>
          <w:sz w:val="20"/>
          <w:szCs w:val="20"/>
          <w:lang w:val="pt-BR"/>
        </w:rPr>
      </w:pPr>
      <w:r w:rsidRPr="000010AC">
        <w:rPr>
          <w:rStyle w:val="Refdenotaderodap"/>
          <w:sz w:val="20"/>
          <w:szCs w:val="20"/>
        </w:rPr>
        <w:footnoteRef/>
      </w:r>
      <w:r w:rsidRPr="000010AC">
        <w:rPr>
          <w:sz w:val="20"/>
          <w:szCs w:val="20"/>
          <w:lang w:val="pt-BR"/>
        </w:rPr>
        <w:t xml:space="preserve"> </w:t>
      </w:r>
      <w:r w:rsidRPr="000010AC">
        <w:rPr>
          <w:rFonts w:ascii="Times New Roman" w:hAnsi="Times New Roman" w:cs="Times New Roman"/>
          <w:sz w:val="20"/>
          <w:szCs w:val="20"/>
          <w:lang w:val="pt-BR"/>
        </w:rPr>
        <w:t xml:space="preserve">Como exemplo, suponhamos que o mercado paralelo determine depreciação significante e sustentada, mas que a taxa oficial permaneça fixa. Então a política monetária subjacente é inflacionária, mas os efeitos sobre a taxa nominal de câmbio são efetivamente mascarados – pelo menos no curto prazo – por uma tarifa sempre crescente. Na maioria dos casos o resultado comum destas circunstâncias é de que a taxa de câmbio termina por se desvalorizar, validando o que acontecia no mercado livre. Por isso, Reinhart e Rogoff constroem um novo algoritmo de determinação cambial para captar o elemento </w:t>
      </w:r>
      <w:r w:rsidRPr="000010AC">
        <w:rPr>
          <w:rFonts w:ascii="Times New Roman" w:hAnsi="Times New Roman" w:cs="Times New Roman"/>
          <w:i/>
          <w:sz w:val="20"/>
          <w:szCs w:val="20"/>
          <w:lang w:val="pt-BR"/>
        </w:rPr>
        <w:t>de facto</w:t>
      </w:r>
      <w:r w:rsidRPr="000010AC">
        <w:rPr>
          <w:rFonts w:ascii="Times New Roman" w:hAnsi="Times New Roman" w:cs="Times New Roman"/>
          <w:sz w:val="20"/>
          <w:szCs w:val="20"/>
          <w:lang w:val="pt-BR"/>
        </w:rPr>
        <w:t xml:space="preserve"> do comportamento destes, mais do que a classificação oficial do FMI.</w:t>
      </w:r>
    </w:p>
    <w:p w:rsidR="002751B5" w:rsidRPr="000010AC" w:rsidRDefault="002751B5">
      <w:pPr>
        <w:pStyle w:val="Textodenotaderodap"/>
        <w:rPr>
          <w:lang w:val="pt-BR"/>
        </w:rPr>
      </w:pPr>
    </w:p>
  </w:footnote>
  <w:footnote w:id="6">
    <w:p w:rsidR="002751B5" w:rsidRPr="00A46E70" w:rsidRDefault="002751B5" w:rsidP="00937324">
      <w:pPr>
        <w:spacing w:after="0" w:line="240" w:lineRule="auto"/>
        <w:jc w:val="both"/>
        <w:rPr>
          <w:lang w:val="pt-BR"/>
        </w:rPr>
      </w:pPr>
      <w:r w:rsidRPr="00A46E70">
        <w:rPr>
          <w:rStyle w:val="Refdenotaderodap"/>
          <w:sz w:val="20"/>
          <w:szCs w:val="20"/>
        </w:rPr>
        <w:footnoteRef/>
      </w:r>
      <w:r w:rsidRPr="00A46E70">
        <w:rPr>
          <w:sz w:val="20"/>
          <w:szCs w:val="20"/>
          <w:lang w:val="pt-BR"/>
        </w:rPr>
        <w:t xml:space="preserve"> </w:t>
      </w:r>
      <w:r w:rsidRPr="00A46E70">
        <w:rPr>
          <w:rFonts w:ascii="Times New Roman" w:hAnsi="Times New Roman"/>
          <w:sz w:val="20"/>
          <w:szCs w:val="20"/>
          <w:lang w:val="pt-BR"/>
        </w:rPr>
        <w:t xml:space="preserve">O Fundo, reconhecendo as limitações de sua classificação inicial, revisou e renovou a classificação oficial a partir de 1997, embora não tenha re-avaliado sua classificação histórica depois disso. Um problema com a classificação pré-1997 que têm recebido substancial atenção na literatura recente é a freqüência de episódios onde o regime é classificado como flutuante (gerenciado ou não) quando, de fato, o país tinha um regime de câmbio de </w:t>
      </w:r>
      <w:r w:rsidRPr="00E04230">
        <w:rPr>
          <w:rFonts w:ascii="Times New Roman" w:hAnsi="Times New Roman"/>
          <w:i/>
          <w:sz w:val="20"/>
          <w:szCs w:val="20"/>
          <w:lang w:val="pt-BR"/>
        </w:rPr>
        <w:t>facto</w:t>
      </w:r>
      <w:r w:rsidRPr="00A46E70">
        <w:rPr>
          <w:rFonts w:ascii="Times New Roman" w:hAnsi="Times New Roman"/>
          <w:sz w:val="20"/>
          <w:szCs w:val="20"/>
          <w:lang w:val="pt-BR"/>
        </w:rPr>
        <w:t xml:space="preserve"> fixo ou </w:t>
      </w:r>
      <w:r w:rsidRPr="00E04230">
        <w:rPr>
          <w:rFonts w:ascii="Times New Roman" w:hAnsi="Times New Roman"/>
          <w:i/>
          <w:sz w:val="20"/>
          <w:szCs w:val="20"/>
          <w:lang w:val="pt-BR"/>
        </w:rPr>
        <w:t>crawling peg</w:t>
      </w:r>
      <w:r w:rsidRPr="00A46E70">
        <w:rPr>
          <w:rFonts w:ascii="Times New Roman" w:hAnsi="Times New Roman"/>
          <w:sz w:val="20"/>
          <w:szCs w:val="20"/>
          <w:lang w:val="pt-BR"/>
        </w:rPr>
        <w:t>.</w:t>
      </w:r>
    </w:p>
  </w:footnote>
  <w:footnote w:id="7">
    <w:p w:rsidR="002751B5" w:rsidRPr="000010AC" w:rsidRDefault="002751B5" w:rsidP="000010AC">
      <w:pPr>
        <w:pStyle w:val="Textodenotaderodap"/>
        <w:jc w:val="both"/>
        <w:rPr>
          <w:lang w:val="pt-BR"/>
        </w:rPr>
      </w:pPr>
      <w:r w:rsidRPr="000010AC">
        <w:rPr>
          <w:rStyle w:val="Refdenotaderodap"/>
        </w:rPr>
        <w:footnoteRef/>
      </w:r>
      <w:r w:rsidRPr="000010AC">
        <w:rPr>
          <w:lang w:val="pt-BR"/>
        </w:rPr>
        <w:t xml:space="preserve"> </w:t>
      </w:r>
      <w:r w:rsidRPr="000010AC">
        <w:rPr>
          <w:rFonts w:ascii="Times New Roman" w:hAnsi="Times New Roman"/>
          <w:lang w:val="pt-BR"/>
        </w:rPr>
        <w:t xml:space="preserve">Esses autores também se mostram insatisfeitos com a incapacidade de bases de dados anteriores quantificarem a intensidade dos controles de capitais. Para eles, além de ser meramente uma variável binária, as categorias do </w:t>
      </w:r>
      <w:r w:rsidRPr="000010AC">
        <w:rPr>
          <w:rFonts w:ascii="Times New Roman" w:hAnsi="Times New Roman"/>
          <w:i/>
          <w:lang w:val="pt-BR"/>
        </w:rPr>
        <w:t>Annual Report on Exchange Arrangements and Exchange Restrictions</w:t>
      </w:r>
      <w:r w:rsidRPr="000010AC">
        <w:rPr>
          <w:rFonts w:ascii="Times New Roman" w:hAnsi="Times New Roman"/>
          <w:lang w:val="pt-BR"/>
        </w:rPr>
        <w:t xml:space="preserve"> do FMI é muito agregada para captar a sutileza envolvida em controles de capitais. Além disso, a distinção </w:t>
      </w:r>
      <w:r w:rsidRPr="000010AC">
        <w:rPr>
          <w:rFonts w:ascii="Times New Roman" w:hAnsi="Times New Roman"/>
          <w:i/>
          <w:lang w:val="pt-BR"/>
        </w:rPr>
        <w:t xml:space="preserve">de jure </w:t>
      </w:r>
      <w:r w:rsidRPr="000010AC">
        <w:rPr>
          <w:rFonts w:ascii="Times New Roman" w:hAnsi="Times New Roman"/>
          <w:lang w:val="pt-BR"/>
        </w:rPr>
        <w:t xml:space="preserve">e </w:t>
      </w:r>
      <w:r w:rsidRPr="000010AC">
        <w:rPr>
          <w:rFonts w:ascii="Times New Roman" w:hAnsi="Times New Roman"/>
          <w:i/>
          <w:lang w:val="pt-BR"/>
        </w:rPr>
        <w:t>de facto</w:t>
      </w:r>
      <w:r w:rsidRPr="000010AC">
        <w:rPr>
          <w:rFonts w:ascii="Times New Roman" w:hAnsi="Times New Roman"/>
          <w:lang w:val="pt-BR"/>
        </w:rPr>
        <w:t xml:space="preserve"> é bastante prejudicada nessas classificações oficiais. Muitas vezes, as políticas de controle de capitais são executadas sem metas políticas específicas para que haja controle do volume ou tipo de controle de capitais. De forma diversa, como aponta Edwards (1999), é muito comum que o setor privado circunscreva as restrições na conta de capitais, anulando o efeito esperado desses controles regulatórios. Por isso, uma classificação </w:t>
      </w:r>
      <w:r w:rsidRPr="000010AC">
        <w:rPr>
          <w:rFonts w:ascii="Times New Roman" w:hAnsi="Times New Roman"/>
          <w:i/>
          <w:lang w:val="pt-BR"/>
        </w:rPr>
        <w:t>de facto</w:t>
      </w:r>
      <w:r w:rsidRPr="000010AC">
        <w:rPr>
          <w:rFonts w:ascii="Times New Roman" w:hAnsi="Times New Roman"/>
          <w:lang w:val="pt-BR"/>
        </w:rPr>
        <w:t xml:space="preserve"> se torna crucial para entender como as medidas efetivamente afetam os fluxos comerciais e, para nossos propósitos, o câmbio real.</w:t>
      </w:r>
    </w:p>
  </w:footnote>
  <w:footnote w:id="8">
    <w:p w:rsidR="002751B5" w:rsidRPr="001D4F52" w:rsidRDefault="002751B5" w:rsidP="001D4F52">
      <w:pPr>
        <w:pStyle w:val="Textodenotaderodap"/>
        <w:jc w:val="both"/>
        <w:rPr>
          <w:lang w:val="pt-BR"/>
        </w:rPr>
      </w:pPr>
      <w:r w:rsidRPr="001D4F52">
        <w:rPr>
          <w:rStyle w:val="Refdenotaderodap"/>
        </w:rPr>
        <w:footnoteRef/>
      </w:r>
      <w:r w:rsidRPr="001D4F52">
        <w:rPr>
          <w:lang w:val="pt-BR"/>
        </w:rPr>
        <w:t xml:space="preserve"> </w:t>
      </w:r>
      <w:r w:rsidRPr="001D4F52">
        <w:rPr>
          <w:rFonts w:ascii="Times New Roman" w:hAnsi="Times New Roman" w:cs="Times New Roman"/>
          <w:lang w:val="pt-BR"/>
        </w:rPr>
        <w:t>Nesse caso, é notável que a variável ‘</w:t>
      </w:r>
      <w:r w:rsidRPr="001D4F52">
        <w:rPr>
          <w:rFonts w:ascii="Times New Roman" w:hAnsi="Times New Roman" w:cs="Times New Roman"/>
          <w:i/>
          <w:lang w:val="pt-BR"/>
        </w:rPr>
        <w:t>Termos de Troca’</w:t>
      </w:r>
      <w:r w:rsidRPr="001D4F52">
        <w:rPr>
          <w:rFonts w:ascii="Times New Roman" w:hAnsi="Times New Roman" w:cs="Times New Roman"/>
          <w:lang w:val="pt-BR"/>
        </w:rPr>
        <w:t xml:space="preserve"> não faça parte da equação de determinação do câmbio no longo prazo, ou “</w:t>
      </w:r>
      <w:r w:rsidRPr="001D4F52">
        <w:rPr>
          <w:rFonts w:ascii="Times New Roman" w:hAnsi="Times New Roman" w:cs="Times New Roman"/>
          <w:i/>
          <w:lang w:val="pt-BR"/>
        </w:rPr>
        <w:t>Inflação Relativa”</w:t>
      </w:r>
      <w:r w:rsidRPr="001D4F52">
        <w:rPr>
          <w:rFonts w:ascii="Times New Roman" w:hAnsi="Times New Roman" w:cs="Times New Roman"/>
          <w:lang w:val="pt-BR"/>
        </w:rPr>
        <w:t>; todavia, para a amostra em questão, esta variável se mostrou estacionária estatisticamente. Configura, portanto, um elemento de natureza mais transitória do que os outros componentes da determinação do câmbio de longo prazo comumente apontadas nos modelos teóricos como Ativos Estrangeiros Líquidos, por exemplo, variável integrada de ordem I(1).</w:t>
      </w:r>
    </w:p>
  </w:footnote>
  <w:footnote w:id="9">
    <w:p w:rsidR="002751B5" w:rsidRPr="00473103" w:rsidRDefault="002751B5" w:rsidP="00120630">
      <w:pPr>
        <w:spacing w:after="0" w:line="240" w:lineRule="auto"/>
        <w:jc w:val="both"/>
        <w:rPr>
          <w:lang w:val="pt-BR"/>
        </w:rPr>
      </w:pPr>
      <w:r w:rsidRPr="00473103">
        <w:rPr>
          <w:rStyle w:val="Refdenotaderodap"/>
          <w:sz w:val="20"/>
          <w:szCs w:val="20"/>
        </w:rPr>
        <w:footnoteRef/>
      </w:r>
      <w:r w:rsidRPr="00473103">
        <w:rPr>
          <w:sz w:val="20"/>
          <w:szCs w:val="20"/>
          <w:lang w:val="pt-BR"/>
        </w:rPr>
        <w:t xml:space="preserve"> </w:t>
      </w:r>
      <w:r w:rsidRPr="00473103">
        <w:rPr>
          <w:rFonts w:ascii="Times New Roman" w:hAnsi="Times New Roman" w:cs="Times New Roman"/>
          <w:sz w:val="20"/>
          <w:szCs w:val="20"/>
          <w:lang w:val="pt-BR"/>
        </w:rPr>
        <w:t>A visão bipolar sublinha os benefícios de arranjos super-fixos ou “</w:t>
      </w:r>
      <w:r w:rsidRPr="00473103">
        <w:rPr>
          <w:rFonts w:ascii="Times New Roman" w:hAnsi="Times New Roman" w:cs="Times New Roman"/>
          <w:i/>
          <w:sz w:val="20"/>
          <w:szCs w:val="20"/>
          <w:lang w:val="pt-BR"/>
        </w:rPr>
        <w:t>hard pegs</w:t>
      </w:r>
      <w:r w:rsidRPr="00473103">
        <w:rPr>
          <w:rFonts w:ascii="Times New Roman" w:hAnsi="Times New Roman" w:cs="Times New Roman"/>
          <w:sz w:val="20"/>
          <w:szCs w:val="20"/>
          <w:lang w:val="pt-BR"/>
        </w:rPr>
        <w:t xml:space="preserve">” (como comitês de moeda ou dolarização unilateral) como forma de comprar credibilidade necessária para evitar ataques especulativos à moeda. Uma vez que regimes fixos convencionais são separados de </w:t>
      </w:r>
      <w:r w:rsidRPr="00473103">
        <w:rPr>
          <w:rFonts w:ascii="Times New Roman" w:hAnsi="Times New Roman" w:cs="Times New Roman"/>
          <w:i/>
          <w:sz w:val="20"/>
          <w:szCs w:val="20"/>
          <w:lang w:val="pt-BR"/>
        </w:rPr>
        <w:t>hard pegs</w:t>
      </w:r>
      <w:r w:rsidRPr="00473103">
        <w:rPr>
          <w:rFonts w:ascii="Times New Roman" w:hAnsi="Times New Roman" w:cs="Times New Roman"/>
          <w:sz w:val="20"/>
          <w:szCs w:val="20"/>
          <w:lang w:val="pt-BR"/>
        </w:rPr>
        <w:t xml:space="preserve"> e adicionados ao grupo intermediário, a classificação dos autores revela uma polarização durante os anos 1990. No texto dos autores, é constatado que o comportamento para países desenvolvidos e emergentes são parecidos. Entretanto, o padrão para países não industrializados e não emergentes indica que regimes flutuantes são menos comuns neste grupo e que o movimento para os extremos é quase inexistente nesse caso. </w:t>
      </w:r>
    </w:p>
  </w:footnote>
  <w:footnote w:id="10">
    <w:p w:rsidR="002751B5" w:rsidRPr="00725358" w:rsidRDefault="002751B5" w:rsidP="001D4F52">
      <w:pPr>
        <w:tabs>
          <w:tab w:val="left" w:pos="720"/>
        </w:tabs>
        <w:spacing w:after="0" w:line="240" w:lineRule="auto"/>
        <w:jc w:val="both"/>
        <w:rPr>
          <w:sz w:val="20"/>
          <w:szCs w:val="20"/>
          <w:lang w:val="pt-BR"/>
        </w:rPr>
      </w:pPr>
      <w:r w:rsidRPr="000010AC">
        <w:rPr>
          <w:rStyle w:val="Refdenotaderodap"/>
          <w:sz w:val="20"/>
          <w:szCs w:val="20"/>
        </w:rPr>
        <w:footnoteRef/>
      </w:r>
      <w:r w:rsidRPr="000010AC">
        <w:rPr>
          <w:sz w:val="20"/>
          <w:szCs w:val="20"/>
          <w:lang w:val="pt-BR"/>
        </w:rPr>
        <w:t xml:space="preserve"> </w:t>
      </w:r>
      <w:r w:rsidRPr="000010AC">
        <w:rPr>
          <w:rFonts w:ascii="Times New Roman" w:hAnsi="Times New Roman" w:cs="Times New Roman"/>
          <w:sz w:val="20"/>
          <w:szCs w:val="20"/>
          <w:lang w:val="pt-BR"/>
        </w:rPr>
        <w:t>Além de testar várias configurações com instrumentos alternativos e obter os mesmos resultados, vale ressaltar que as variáveis endógenas que maior simultaneidade potencial teria com a determinação do câmbio, como inflação e termos de troca, além de serem instrumentadas, são em nossa análise variáveis de controle, mais do que o objeto central de análise. Ou seja, elas ocupam o papel de captar os efeitos marginais e controlar viés de omissão de variável, reservando espaço para que as variáveis que ocupam nossa atenção principal tenham seus coeficientes</w:t>
      </w:r>
      <w:r w:rsidRPr="00725358">
        <w:rPr>
          <w:rFonts w:ascii="Times New Roman" w:hAnsi="Times New Roman" w:cs="Times New Roman"/>
          <w:sz w:val="20"/>
          <w:szCs w:val="20"/>
          <w:lang w:val="pt-BR"/>
        </w:rPr>
        <w:t xml:space="preserve"> ajustados para explicar desalinhamento </w:t>
      </w:r>
      <w:r w:rsidRPr="00725358">
        <w:rPr>
          <w:rFonts w:ascii="Times New Roman" w:hAnsi="Times New Roman" w:cs="Times New Roman"/>
          <w:i/>
          <w:sz w:val="20"/>
          <w:szCs w:val="20"/>
          <w:lang w:val="pt-BR"/>
        </w:rPr>
        <w:t>uma vez que</w:t>
      </w:r>
      <w:r w:rsidRPr="00725358">
        <w:rPr>
          <w:rFonts w:ascii="Times New Roman" w:hAnsi="Times New Roman" w:cs="Times New Roman"/>
          <w:sz w:val="20"/>
          <w:szCs w:val="20"/>
          <w:lang w:val="pt-BR"/>
        </w:rPr>
        <w:t xml:space="preserve"> essas variáveis de controle já ocuparam seus espaços na explicação geral. </w:t>
      </w:r>
    </w:p>
  </w:footnote>
  <w:footnote w:id="11">
    <w:p w:rsidR="002751B5" w:rsidRPr="001D4F52" w:rsidRDefault="002751B5" w:rsidP="001D4F52">
      <w:pPr>
        <w:tabs>
          <w:tab w:val="left" w:pos="720"/>
        </w:tabs>
        <w:spacing w:after="0" w:line="240" w:lineRule="auto"/>
        <w:jc w:val="both"/>
        <w:rPr>
          <w:rFonts w:ascii="Times New Roman" w:hAnsi="Times New Roman" w:cs="Times New Roman"/>
          <w:sz w:val="20"/>
          <w:szCs w:val="20"/>
          <w:lang w:val="pt-BR"/>
        </w:rPr>
      </w:pPr>
      <w:r w:rsidRPr="001D4F52">
        <w:rPr>
          <w:rStyle w:val="Refdenotaderodap"/>
          <w:sz w:val="20"/>
          <w:szCs w:val="20"/>
        </w:rPr>
        <w:footnoteRef/>
      </w:r>
      <w:r w:rsidRPr="001D4F52">
        <w:rPr>
          <w:sz w:val="20"/>
          <w:szCs w:val="20"/>
          <w:lang w:val="pt-BR"/>
        </w:rPr>
        <w:t xml:space="preserve"> </w:t>
      </w:r>
      <w:r w:rsidRPr="001D4F52">
        <w:rPr>
          <w:rFonts w:ascii="Times New Roman" w:hAnsi="Times New Roman" w:cs="Times New Roman"/>
          <w:sz w:val="20"/>
          <w:szCs w:val="20"/>
          <w:lang w:val="pt-BR"/>
        </w:rPr>
        <w:t>Isso significa que elas são, por hipótese, não correlacionadas com as realizações futuras das variáveis explicativas. Essa hipótese é testada pelo teste Sargan de sobre-identificação que avalia o conjunto inteiro de condições de momentos para examinar a validade global dos instrumentos. Os testes de todos os exercícios empíricos mostram que a validade global dos instrumentos utilizados não pode ser rejeitada. Um segundo teste comum em painel dinâmico avalia se o termo erro diferenciado é correlacionado em segunda ordem (o teste AR(2)), uma condição necessária para que a estimação seja consistente. Em todas as regressões, este teste igualmente rejeita correlação serial de segunda ordem.</w:t>
      </w:r>
    </w:p>
    <w:p w:rsidR="002751B5" w:rsidRPr="001D4F52" w:rsidRDefault="002751B5">
      <w:pPr>
        <w:pStyle w:val="Textodenotaderodap"/>
        <w:rPr>
          <w:lang w:val="pt-B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724991"/>
      <w:docPartObj>
        <w:docPartGallery w:val="Page Numbers (Top of Page)"/>
        <w:docPartUnique/>
      </w:docPartObj>
    </w:sdtPr>
    <w:sdtContent>
      <w:p w:rsidR="000229DC" w:rsidRDefault="006E1488">
        <w:pPr>
          <w:pStyle w:val="Cabealho"/>
          <w:jc w:val="center"/>
        </w:pPr>
        <w:fldSimple w:instr=" PAGE   \* MERGEFORMAT ">
          <w:r w:rsidR="00DB1F12">
            <w:rPr>
              <w:noProof/>
            </w:rPr>
            <w:t>1</w:t>
          </w:r>
        </w:fldSimple>
      </w:p>
    </w:sdtContent>
  </w:sdt>
  <w:p w:rsidR="002751B5" w:rsidRDefault="002751B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540"/>
    <w:multiLevelType w:val="hybridMultilevel"/>
    <w:tmpl w:val="365012C0"/>
    <w:lvl w:ilvl="0" w:tplc="2962FCB4">
      <w:start w:val="3"/>
      <w:numFmt w:val="lowerLetter"/>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725A9"/>
    <w:multiLevelType w:val="hybridMultilevel"/>
    <w:tmpl w:val="E2A8C8A4"/>
    <w:lvl w:ilvl="0" w:tplc="769E0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347D93"/>
    <w:multiLevelType w:val="hybridMultilevel"/>
    <w:tmpl w:val="5324F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75D94"/>
    <w:multiLevelType w:val="hybridMultilevel"/>
    <w:tmpl w:val="5802B594"/>
    <w:lvl w:ilvl="0" w:tplc="1D08032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092097"/>
    <w:multiLevelType w:val="hybridMultilevel"/>
    <w:tmpl w:val="06F8BCAC"/>
    <w:lvl w:ilvl="0" w:tplc="AA7E409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537755"/>
    <w:multiLevelType w:val="hybridMultilevel"/>
    <w:tmpl w:val="8D4E93EE"/>
    <w:lvl w:ilvl="0" w:tplc="58008422">
      <w:start w:val="1"/>
      <w:numFmt w:val="lowerLetter"/>
      <w:lvlText w:val="%1)"/>
      <w:lvlJc w:val="left"/>
      <w:pPr>
        <w:tabs>
          <w:tab w:val="num" w:pos="-180"/>
        </w:tabs>
        <w:ind w:left="-180" w:hanging="360"/>
      </w:pPr>
      <w:rPr>
        <w:rFonts w:hint="default"/>
      </w:rPr>
    </w:lvl>
    <w:lvl w:ilvl="1" w:tplc="04160019" w:tentative="1">
      <w:start w:val="1"/>
      <w:numFmt w:val="lowerLetter"/>
      <w:lvlText w:val="%2."/>
      <w:lvlJc w:val="left"/>
      <w:pPr>
        <w:tabs>
          <w:tab w:val="num" w:pos="540"/>
        </w:tabs>
        <w:ind w:left="540" w:hanging="360"/>
      </w:pPr>
    </w:lvl>
    <w:lvl w:ilvl="2" w:tplc="0416001B" w:tentative="1">
      <w:start w:val="1"/>
      <w:numFmt w:val="lowerRoman"/>
      <w:lvlText w:val="%3."/>
      <w:lvlJc w:val="right"/>
      <w:pPr>
        <w:tabs>
          <w:tab w:val="num" w:pos="1260"/>
        </w:tabs>
        <w:ind w:left="1260" w:hanging="180"/>
      </w:pPr>
    </w:lvl>
    <w:lvl w:ilvl="3" w:tplc="0416000F" w:tentative="1">
      <w:start w:val="1"/>
      <w:numFmt w:val="decimal"/>
      <w:lvlText w:val="%4."/>
      <w:lvlJc w:val="left"/>
      <w:pPr>
        <w:tabs>
          <w:tab w:val="num" w:pos="1980"/>
        </w:tabs>
        <w:ind w:left="1980" w:hanging="360"/>
      </w:pPr>
    </w:lvl>
    <w:lvl w:ilvl="4" w:tplc="04160019" w:tentative="1">
      <w:start w:val="1"/>
      <w:numFmt w:val="lowerLetter"/>
      <w:lvlText w:val="%5."/>
      <w:lvlJc w:val="left"/>
      <w:pPr>
        <w:tabs>
          <w:tab w:val="num" w:pos="2700"/>
        </w:tabs>
        <w:ind w:left="2700" w:hanging="360"/>
      </w:pPr>
    </w:lvl>
    <w:lvl w:ilvl="5" w:tplc="0416001B" w:tentative="1">
      <w:start w:val="1"/>
      <w:numFmt w:val="lowerRoman"/>
      <w:lvlText w:val="%6."/>
      <w:lvlJc w:val="right"/>
      <w:pPr>
        <w:tabs>
          <w:tab w:val="num" w:pos="3420"/>
        </w:tabs>
        <w:ind w:left="3420" w:hanging="180"/>
      </w:pPr>
    </w:lvl>
    <w:lvl w:ilvl="6" w:tplc="0416000F" w:tentative="1">
      <w:start w:val="1"/>
      <w:numFmt w:val="decimal"/>
      <w:lvlText w:val="%7."/>
      <w:lvlJc w:val="left"/>
      <w:pPr>
        <w:tabs>
          <w:tab w:val="num" w:pos="4140"/>
        </w:tabs>
        <w:ind w:left="4140" w:hanging="360"/>
      </w:pPr>
    </w:lvl>
    <w:lvl w:ilvl="7" w:tplc="04160019" w:tentative="1">
      <w:start w:val="1"/>
      <w:numFmt w:val="lowerLetter"/>
      <w:lvlText w:val="%8."/>
      <w:lvlJc w:val="left"/>
      <w:pPr>
        <w:tabs>
          <w:tab w:val="num" w:pos="4860"/>
        </w:tabs>
        <w:ind w:left="4860" w:hanging="360"/>
      </w:pPr>
    </w:lvl>
    <w:lvl w:ilvl="8" w:tplc="0416001B" w:tentative="1">
      <w:start w:val="1"/>
      <w:numFmt w:val="lowerRoman"/>
      <w:lvlText w:val="%9."/>
      <w:lvlJc w:val="right"/>
      <w:pPr>
        <w:tabs>
          <w:tab w:val="num" w:pos="5580"/>
        </w:tabs>
        <w:ind w:left="5580" w:hanging="180"/>
      </w:pPr>
    </w:lvl>
  </w:abstractNum>
  <w:abstractNum w:abstractNumId="6">
    <w:nsid w:val="6EB30DB6"/>
    <w:multiLevelType w:val="hybridMultilevel"/>
    <w:tmpl w:val="18A6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806F2B"/>
    <w:multiLevelType w:val="hybridMultilevel"/>
    <w:tmpl w:val="3C5621B8"/>
    <w:lvl w:ilvl="0" w:tplc="D9648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85623"/>
    <w:rsid w:val="000010AC"/>
    <w:rsid w:val="0001505D"/>
    <w:rsid w:val="000229DC"/>
    <w:rsid w:val="00036775"/>
    <w:rsid w:val="00040C7F"/>
    <w:rsid w:val="00044E04"/>
    <w:rsid w:val="00076E8A"/>
    <w:rsid w:val="000777E8"/>
    <w:rsid w:val="00077D77"/>
    <w:rsid w:val="00085B1E"/>
    <w:rsid w:val="00085F42"/>
    <w:rsid w:val="000B6913"/>
    <w:rsid w:val="000B766C"/>
    <w:rsid w:val="000B7F03"/>
    <w:rsid w:val="000C0E22"/>
    <w:rsid w:val="000C2A44"/>
    <w:rsid w:val="000C3E9A"/>
    <w:rsid w:val="000D1C2E"/>
    <w:rsid w:val="000D37AB"/>
    <w:rsid w:val="000E1572"/>
    <w:rsid w:val="000E3EB0"/>
    <w:rsid w:val="000F1F8B"/>
    <w:rsid w:val="000F3B76"/>
    <w:rsid w:val="000F5339"/>
    <w:rsid w:val="000F5E58"/>
    <w:rsid w:val="00111334"/>
    <w:rsid w:val="00120630"/>
    <w:rsid w:val="001426A7"/>
    <w:rsid w:val="00146C03"/>
    <w:rsid w:val="001471BC"/>
    <w:rsid w:val="00150C30"/>
    <w:rsid w:val="0016069C"/>
    <w:rsid w:val="00181215"/>
    <w:rsid w:val="001910E2"/>
    <w:rsid w:val="001A1665"/>
    <w:rsid w:val="001A21CD"/>
    <w:rsid w:val="001B21C8"/>
    <w:rsid w:val="001B43B6"/>
    <w:rsid w:val="001B63E5"/>
    <w:rsid w:val="001C023E"/>
    <w:rsid w:val="001C02C4"/>
    <w:rsid w:val="001C62ED"/>
    <w:rsid w:val="001C68D2"/>
    <w:rsid w:val="001D4F52"/>
    <w:rsid w:val="001D5D7F"/>
    <w:rsid w:val="001D6BE8"/>
    <w:rsid w:val="001D7435"/>
    <w:rsid w:val="001E28B7"/>
    <w:rsid w:val="001F1C32"/>
    <w:rsid w:val="00211B07"/>
    <w:rsid w:val="0021287D"/>
    <w:rsid w:val="002231A9"/>
    <w:rsid w:val="00227EA2"/>
    <w:rsid w:val="002300F8"/>
    <w:rsid w:val="00264162"/>
    <w:rsid w:val="002751B5"/>
    <w:rsid w:val="002753F6"/>
    <w:rsid w:val="002907E5"/>
    <w:rsid w:val="0029599C"/>
    <w:rsid w:val="002978C0"/>
    <w:rsid w:val="002A4002"/>
    <w:rsid w:val="002C1296"/>
    <w:rsid w:val="002F271D"/>
    <w:rsid w:val="003000B1"/>
    <w:rsid w:val="0030359D"/>
    <w:rsid w:val="003073D4"/>
    <w:rsid w:val="00311FDF"/>
    <w:rsid w:val="003124F3"/>
    <w:rsid w:val="00312A27"/>
    <w:rsid w:val="00315A93"/>
    <w:rsid w:val="00322B47"/>
    <w:rsid w:val="003302D8"/>
    <w:rsid w:val="003427AA"/>
    <w:rsid w:val="00344532"/>
    <w:rsid w:val="0035618A"/>
    <w:rsid w:val="003847E7"/>
    <w:rsid w:val="00385623"/>
    <w:rsid w:val="00391F7C"/>
    <w:rsid w:val="003949EF"/>
    <w:rsid w:val="00394BB1"/>
    <w:rsid w:val="003E38AD"/>
    <w:rsid w:val="003F6E05"/>
    <w:rsid w:val="004010C2"/>
    <w:rsid w:val="00413ABC"/>
    <w:rsid w:val="00414EB3"/>
    <w:rsid w:val="00415451"/>
    <w:rsid w:val="004177B4"/>
    <w:rsid w:val="00421117"/>
    <w:rsid w:val="004500B0"/>
    <w:rsid w:val="00450216"/>
    <w:rsid w:val="004610E9"/>
    <w:rsid w:val="00472344"/>
    <w:rsid w:val="00473103"/>
    <w:rsid w:val="0047721F"/>
    <w:rsid w:val="0049209A"/>
    <w:rsid w:val="004A0EA5"/>
    <w:rsid w:val="004A572A"/>
    <w:rsid w:val="004C0DFC"/>
    <w:rsid w:val="004C6890"/>
    <w:rsid w:val="004E13D0"/>
    <w:rsid w:val="004F12E3"/>
    <w:rsid w:val="004F3698"/>
    <w:rsid w:val="004F7009"/>
    <w:rsid w:val="00500AE4"/>
    <w:rsid w:val="00506AC6"/>
    <w:rsid w:val="00511EB0"/>
    <w:rsid w:val="00516FD2"/>
    <w:rsid w:val="005171EE"/>
    <w:rsid w:val="00524EA0"/>
    <w:rsid w:val="00531C74"/>
    <w:rsid w:val="005330C8"/>
    <w:rsid w:val="005337FD"/>
    <w:rsid w:val="00533858"/>
    <w:rsid w:val="00552F90"/>
    <w:rsid w:val="0055535A"/>
    <w:rsid w:val="005702DD"/>
    <w:rsid w:val="005714C2"/>
    <w:rsid w:val="005A168F"/>
    <w:rsid w:val="005B2FC5"/>
    <w:rsid w:val="005C7587"/>
    <w:rsid w:val="005D361F"/>
    <w:rsid w:val="005D6260"/>
    <w:rsid w:val="005D6DAA"/>
    <w:rsid w:val="005F389F"/>
    <w:rsid w:val="005F5A17"/>
    <w:rsid w:val="005F74F0"/>
    <w:rsid w:val="00607F79"/>
    <w:rsid w:val="006120DF"/>
    <w:rsid w:val="00630FCC"/>
    <w:rsid w:val="00631A33"/>
    <w:rsid w:val="00632C57"/>
    <w:rsid w:val="00635FFF"/>
    <w:rsid w:val="006423BC"/>
    <w:rsid w:val="00652A75"/>
    <w:rsid w:val="006614F0"/>
    <w:rsid w:val="00663F45"/>
    <w:rsid w:val="00680764"/>
    <w:rsid w:val="00685399"/>
    <w:rsid w:val="006C4E81"/>
    <w:rsid w:val="006E1488"/>
    <w:rsid w:val="006E2652"/>
    <w:rsid w:val="006E50E3"/>
    <w:rsid w:val="00713B33"/>
    <w:rsid w:val="00721BB8"/>
    <w:rsid w:val="00725188"/>
    <w:rsid w:val="00725358"/>
    <w:rsid w:val="0072686E"/>
    <w:rsid w:val="00731A20"/>
    <w:rsid w:val="00735C3C"/>
    <w:rsid w:val="00747433"/>
    <w:rsid w:val="00753273"/>
    <w:rsid w:val="0075457F"/>
    <w:rsid w:val="00757882"/>
    <w:rsid w:val="007770A5"/>
    <w:rsid w:val="00781D44"/>
    <w:rsid w:val="00782911"/>
    <w:rsid w:val="007A67D2"/>
    <w:rsid w:val="007B07AF"/>
    <w:rsid w:val="007B392F"/>
    <w:rsid w:val="007B3C2C"/>
    <w:rsid w:val="007B617B"/>
    <w:rsid w:val="007C0337"/>
    <w:rsid w:val="007C3D96"/>
    <w:rsid w:val="007E137F"/>
    <w:rsid w:val="007E4941"/>
    <w:rsid w:val="007E6556"/>
    <w:rsid w:val="007E772C"/>
    <w:rsid w:val="007F7CF2"/>
    <w:rsid w:val="00810F3D"/>
    <w:rsid w:val="00812181"/>
    <w:rsid w:val="00823874"/>
    <w:rsid w:val="00833B53"/>
    <w:rsid w:val="0086014D"/>
    <w:rsid w:val="00877717"/>
    <w:rsid w:val="00895B3E"/>
    <w:rsid w:val="00897229"/>
    <w:rsid w:val="008A2B13"/>
    <w:rsid w:val="008C21B0"/>
    <w:rsid w:val="008C30DD"/>
    <w:rsid w:val="008D1FF4"/>
    <w:rsid w:val="008D566B"/>
    <w:rsid w:val="008F1013"/>
    <w:rsid w:val="008F2076"/>
    <w:rsid w:val="008F7C7C"/>
    <w:rsid w:val="009071E3"/>
    <w:rsid w:val="00911DD0"/>
    <w:rsid w:val="00915F4A"/>
    <w:rsid w:val="009279D4"/>
    <w:rsid w:val="00937324"/>
    <w:rsid w:val="0096399B"/>
    <w:rsid w:val="0096500A"/>
    <w:rsid w:val="009672F1"/>
    <w:rsid w:val="00967FE5"/>
    <w:rsid w:val="009823C0"/>
    <w:rsid w:val="00983166"/>
    <w:rsid w:val="00995D87"/>
    <w:rsid w:val="009A0297"/>
    <w:rsid w:val="009B504B"/>
    <w:rsid w:val="009B5F82"/>
    <w:rsid w:val="009C4F29"/>
    <w:rsid w:val="009E2CA7"/>
    <w:rsid w:val="009E432B"/>
    <w:rsid w:val="009F3DD0"/>
    <w:rsid w:val="00A107D3"/>
    <w:rsid w:val="00A250B4"/>
    <w:rsid w:val="00A32167"/>
    <w:rsid w:val="00A45998"/>
    <w:rsid w:val="00A673C2"/>
    <w:rsid w:val="00A72404"/>
    <w:rsid w:val="00A84420"/>
    <w:rsid w:val="00A854C4"/>
    <w:rsid w:val="00A91E6A"/>
    <w:rsid w:val="00A92014"/>
    <w:rsid w:val="00A96FC2"/>
    <w:rsid w:val="00A970D6"/>
    <w:rsid w:val="00AA2147"/>
    <w:rsid w:val="00AA4A00"/>
    <w:rsid w:val="00AA51C9"/>
    <w:rsid w:val="00AB0277"/>
    <w:rsid w:val="00AC4CCD"/>
    <w:rsid w:val="00AE01DC"/>
    <w:rsid w:val="00AE0B99"/>
    <w:rsid w:val="00AE1D5E"/>
    <w:rsid w:val="00AF508E"/>
    <w:rsid w:val="00AF76FB"/>
    <w:rsid w:val="00AF7753"/>
    <w:rsid w:val="00B0065C"/>
    <w:rsid w:val="00B13276"/>
    <w:rsid w:val="00B22224"/>
    <w:rsid w:val="00B24472"/>
    <w:rsid w:val="00B3182F"/>
    <w:rsid w:val="00B31CE2"/>
    <w:rsid w:val="00B33508"/>
    <w:rsid w:val="00B43F79"/>
    <w:rsid w:val="00B44BC5"/>
    <w:rsid w:val="00B5130D"/>
    <w:rsid w:val="00B74037"/>
    <w:rsid w:val="00B818B5"/>
    <w:rsid w:val="00BA0B7E"/>
    <w:rsid w:val="00BB339E"/>
    <w:rsid w:val="00BC189D"/>
    <w:rsid w:val="00BC412E"/>
    <w:rsid w:val="00BD3C3B"/>
    <w:rsid w:val="00BE05CC"/>
    <w:rsid w:val="00BF03D5"/>
    <w:rsid w:val="00C1570F"/>
    <w:rsid w:val="00C25246"/>
    <w:rsid w:val="00C27E24"/>
    <w:rsid w:val="00C30321"/>
    <w:rsid w:val="00C40D15"/>
    <w:rsid w:val="00C41B3A"/>
    <w:rsid w:val="00C422BB"/>
    <w:rsid w:val="00C462F6"/>
    <w:rsid w:val="00C50943"/>
    <w:rsid w:val="00C804BC"/>
    <w:rsid w:val="00C851E9"/>
    <w:rsid w:val="00C87CD4"/>
    <w:rsid w:val="00C939BF"/>
    <w:rsid w:val="00C97A9B"/>
    <w:rsid w:val="00CA65D3"/>
    <w:rsid w:val="00CC1CB1"/>
    <w:rsid w:val="00CD629E"/>
    <w:rsid w:val="00CE0BBC"/>
    <w:rsid w:val="00CE320A"/>
    <w:rsid w:val="00CE6F25"/>
    <w:rsid w:val="00CF2103"/>
    <w:rsid w:val="00D0606B"/>
    <w:rsid w:val="00D125E5"/>
    <w:rsid w:val="00D14DB9"/>
    <w:rsid w:val="00D20D6B"/>
    <w:rsid w:val="00D26310"/>
    <w:rsid w:val="00D366EE"/>
    <w:rsid w:val="00D412CF"/>
    <w:rsid w:val="00D415D6"/>
    <w:rsid w:val="00D44283"/>
    <w:rsid w:val="00D55B6B"/>
    <w:rsid w:val="00D5781F"/>
    <w:rsid w:val="00D6002E"/>
    <w:rsid w:val="00D828CE"/>
    <w:rsid w:val="00D904C9"/>
    <w:rsid w:val="00D93D38"/>
    <w:rsid w:val="00D95DC0"/>
    <w:rsid w:val="00DA10E3"/>
    <w:rsid w:val="00DA4519"/>
    <w:rsid w:val="00DA67F6"/>
    <w:rsid w:val="00DB1F12"/>
    <w:rsid w:val="00DB7227"/>
    <w:rsid w:val="00DC09BE"/>
    <w:rsid w:val="00DC0DF8"/>
    <w:rsid w:val="00DC0E87"/>
    <w:rsid w:val="00DD69B4"/>
    <w:rsid w:val="00DE747E"/>
    <w:rsid w:val="00DF69DA"/>
    <w:rsid w:val="00E02F60"/>
    <w:rsid w:val="00E04230"/>
    <w:rsid w:val="00E05C4E"/>
    <w:rsid w:val="00E117B9"/>
    <w:rsid w:val="00E202A9"/>
    <w:rsid w:val="00E2114A"/>
    <w:rsid w:val="00E3730D"/>
    <w:rsid w:val="00E37A77"/>
    <w:rsid w:val="00E47061"/>
    <w:rsid w:val="00E73F8D"/>
    <w:rsid w:val="00E74092"/>
    <w:rsid w:val="00E936DA"/>
    <w:rsid w:val="00EA1AFF"/>
    <w:rsid w:val="00EF09D4"/>
    <w:rsid w:val="00EF4F55"/>
    <w:rsid w:val="00F01E48"/>
    <w:rsid w:val="00F07F5E"/>
    <w:rsid w:val="00F12540"/>
    <w:rsid w:val="00F177DD"/>
    <w:rsid w:val="00F3317B"/>
    <w:rsid w:val="00F424DB"/>
    <w:rsid w:val="00F55601"/>
    <w:rsid w:val="00F76028"/>
    <w:rsid w:val="00F80550"/>
    <w:rsid w:val="00F82D51"/>
    <w:rsid w:val="00F96C99"/>
    <w:rsid w:val="00FB4CB2"/>
    <w:rsid w:val="00FC757D"/>
    <w:rsid w:val="00FE0F50"/>
    <w:rsid w:val="00FF4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F4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C3D96"/>
    <w:pPr>
      <w:ind w:left="720"/>
      <w:contextualSpacing/>
    </w:pPr>
  </w:style>
  <w:style w:type="paragraph" w:styleId="Textodenotaderodap">
    <w:name w:val="footnote text"/>
    <w:basedOn w:val="Normal"/>
    <w:link w:val="TextodenotaderodapChar"/>
    <w:uiPriority w:val="99"/>
    <w:semiHidden/>
    <w:unhideWhenUsed/>
    <w:rsid w:val="00EF4F5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F4F55"/>
    <w:rPr>
      <w:sz w:val="20"/>
      <w:szCs w:val="20"/>
    </w:rPr>
  </w:style>
  <w:style w:type="character" w:styleId="Refdenotaderodap">
    <w:name w:val="footnote reference"/>
    <w:basedOn w:val="Fontepargpadro"/>
    <w:uiPriority w:val="99"/>
    <w:semiHidden/>
    <w:unhideWhenUsed/>
    <w:rsid w:val="00EF4F55"/>
    <w:rPr>
      <w:vertAlign w:val="superscript"/>
    </w:rPr>
  </w:style>
  <w:style w:type="table" w:styleId="Tabelacomgrade">
    <w:name w:val="Table Grid"/>
    <w:basedOn w:val="Tabelanormal"/>
    <w:rsid w:val="00BC41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35F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5FFF"/>
    <w:rPr>
      <w:rFonts w:ascii="Tahoma" w:hAnsi="Tahoma" w:cs="Tahoma"/>
      <w:sz w:val="16"/>
      <w:szCs w:val="16"/>
    </w:rPr>
  </w:style>
  <w:style w:type="paragraph" w:styleId="Corpodetexto">
    <w:name w:val="Body Text"/>
    <w:aliases w:val="Char1 Char Char Char,Char1 Char Char"/>
    <w:basedOn w:val="Normal"/>
    <w:link w:val="CorpodetextoChar"/>
    <w:rsid w:val="0047721F"/>
    <w:pPr>
      <w:spacing w:after="240" w:line="360" w:lineRule="auto"/>
      <w:ind w:firstLine="720"/>
    </w:pPr>
    <w:rPr>
      <w:rFonts w:ascii="Times New Roman" w:eastAsia="SimSun" w:hAnsi="Times New Roman" w:cs="Times New Roman"/>
      <w:sz w:val="24"/>
      <w:szCs w:val="20"/>
      <w:lang w:val="pt-BR" w:eastAsia="zh-CN"/>
    </w:rPr>
  </w:style>
  <w:style w:type="character" w:customStyle="1" w:styleId="CorpodetextoChar">
    <w:name w:val="Corpo de texto Char"/>
    <w:aliases w:val="Char1 Char Char Char Char,Char1 Char Char Char1"/>
    <w:basedOn w:val="Fontepargpadro"/>
    <w:link w:val="Corpodetexto"/>
    <w:rsid w:val="0047721F"/>
    <w:rPr>
      <w:rFonts w:ascii="Times New Roman" w:eastAsia="SimSun" w:hAnsi="Times New Roman" w:cs="Times New Roman"/>
      <w:sz w:val="24"/>
      <w:szCs w:val="20"/>
      <w:lang w:val="pt-BR" w:eastAsia="zh-CN"/>
    </w:rPr>
  </w:style>
  <w:style w:type="character" w:styleId="TextodoEspaoReservado">
    <w:name w:val="Placeholder Text"/>
    <w:basedOn w:val="Fontepargpadro"/>
    <w:uiPriority w:val="99"/>
    <w:semiHidden/>
    <w:rsid w:val="00BD3C3B"/>
    <w:rPr>
      <w:color w:val="808080"/>
    </w:rPr>
  </w:style>
  <w:style w:type="character" w:customStyle="1" w:styleId="apple-style-span">
    <w:name w:val="apple-style-span"/>
    <w:basedOn w:val="Fontepargpadro"/>
    <w:rsid w:val="00E73F8D"/>
  </w:style>
  <w:style w:type="paragraph" w:styleId="Textodecomentrio">
    <w:name w:val="annotation text"/>
    <w:basedOn w:val="Normal"/>
    <w:link w:val="TextodecomentrioChar"/>
    <w:rsid w:val="00E73F8D"/>
    <w:pPr>
      <w:spacing w:after="0" w:line="240" w:lineRule="auto"/>
    </w:pPr>
    <w:rPr>
      <w:rFonts w:ascii="Times New Roman" w:eastAsia="Times New Roman" w:hAnsi="Times New Roman" w:cs="Times New Roman"/>
      <w:sz w:val="20"/>
      <w:szCs w:val="20"/>
      <w:lang w:val="pt-BR" w:eastAsia="pt-BR"/>
    </w:rPr>
  </w:style>
  <w:style w:type="character" w:customStyle="1" w:styleId="TextodecomentrioChar">
    <w:name w:val="Texto de comentário Char"/>
    <w:basedOn w:val="Fontepargpadro"/>
    <w:link w:val="Textodecomentrio"/>
    <w:rsid w:val="00E73F8D"/>
    <w:rPr>
      <w:rFonts w:ascii="Times New Roman" w:eastAsia="Times New Roman" w:hAnsi="Times New Roman" w:cs="Times New Roman"/>
      <w:sz w:val="20"/>
      <w:szCs w:val="20"/>
      <w:lang w:val="pt-BR" w:eastAsia="pt-BR"/>
    </w:rPr>
  </w:style>
  <w:style w:type="character" w:styleId="Hyperlink">
    <w:name w:val="Hyperlink"/>
    <w:basedOn w:val="Fontepargpadro"/>
    <w:rsid w:val="00E73F8D"/>
    <w:rPr>
      <w:color w:val="0000FF"/>
      <w:u w:val="single"/>
    </w:rPr>
  </w:style>
  <w:style w:type="character" w:customStyle="1" w:styleId="apple-converted-space">
    <w:name w:val="apple-converted-space"/>
    <w:basedOn w:val="Fontepargpadro"/>
    <w:rsid w:val="00E73F8D"/>
  </w:style>
  <w:style w:type="paragraph" w:styleId="Ttulo">
    <w:name w:val="Title"/>
    <w:basedOn w:val="Normal"/>
    <w:link w:val="TtuloChar"/>
    <w:qFormat/>
    <w:rsid w:val="00E73F8D"/>
    <w:pPr>
      <w:spacing w:after="0" w:line="240" w:lineRule="auto"/>
      <w:jc w:val="center"/>
    </w:pPr>
    <w:rPr>
      <w:rFonts w:ascii="Times New Roman" w:eastAsia="Times New Roman" w:hAnsi="Times New Roman" w:cs="Times New Roman"/>
      <w:b/>
      <w:bCs/>
      <w:sz w:val="28"/>
      <w:szCs w:val="24"/>
      <w:lang w:val="pt-BR" w:eastAsia="pt-BR"/>
    </w:rPr>
  </w:style>
  <w:style w:type="character" w:customStyle="1" w:styleId="TtuloChar">
    <w:name w:val="Título Char"/>
    <w:basedOn w:val="Fontepargpadro"/>
    <w:link w:val="Ttulo"/>
    <w:rsid w:val="00E73F8D"/>
    <w:rPr>
      <w:rFonts w:ascii="Times New Roman" w:eastAsia="Times New Roman" w:hAnsi="Times New Roman" w:cs="Times New Roman"/>
      <w:b/>
      <w:bCs/>
      <w:sz w:val="28"/>
      <w:szCs w:val="24"/>
      <w:lang w:val="pt-BR" w:eastAsia="pt-BR"/>
    </w:rPr>
  </w:style>
  <w:style w:type="character" w:styleId="Forte">
    <w:name w:val="Strong"/>
    <w:basedOn w:val="Fontepargpadro"/>
    <w:qFormat/>
    <w:rsid w:val="00E73F8D"/>
    <w:rPr>
      <w:b/>
      <w:bCs/>
    </w:rPr>
  </w:style>
  <w:style w:type="paragraph" w:styleId="Cabealho">
    <w:name w:val="header"/>
    <w:basedOn w:val="Normal"/>
    <w:link w:val="CabealhoChar"/>
    <w:uiPriority w:val="99"/>
    <w:unhideWhenUsed/>
    <w:rsid w:val="00227EA2"/>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227EA2"/>
  </w:style>
  <w:style w:type="paragraph" w:styleId="Rodap">
    <w:name w:val="footer"/>
    <w:basedOn w:val="Normal"/>
    <w:link w:val="RodapChar"/>
    <w:uiPriority w:val="99"/>
    <w:semiHidden/>
    <w:unhideWhenUsed/>
    <w:rsid w:val="00227EA2"/>
    <w:pPr>
      <w:tabs>
        <w:tab w:val="center" w:pos="4680"/>
        <w:tab w:val="right" w:pos="9360"/>
      </w:tabs>
      <w:spacing w:after="0" w:line="240" w:lineRule="auto"/>
    </w:pPr>
  </w:style>
  <w:style w:type="character" w:customStyle="1" w:styleId="RodapChar">
    <w:name w:val="Rodapé Char"/>
    <w:basedOn w:val="Fontepargpadro"/>
    <w:link w:val="Rodap"/>
    <w:uiPriority w:val="99"/>
    <w:semiHidden/>
    <w:rsid w:val="00227EA2"/>
  </w:style>
</w:styles>
</file>

<file path=word/webSettings.xml><?xml version="1.0" encoding="utf-8"?>
<w:webSettings xmlns:r="http://schemas.openxmlformats.org/officeDocument/2006/relationships" xmlns:w="http://schemas.openxmlformats.org/wordprocessingml/2006/main">
  <w:divs>
    <w:div w:id="252248567">
      <w:bodyDiv w:val="1"/>
      <w:marLeft w:val="0"/>
      <w:marRight w:val="0"/>
      <w:marTop w:val="0"/>
      <w:marBottom w:val="0"/>
      <w:divBdr>
        <w:top w:val="none" w:sz="0" w:space="0" w:color="auto"/>
        <w:left w:val="none" w:sz="0" w:space="0" w:color="auto"/>
        <w:bottom w:val="none" w:sz="0" w:space="0" w:color="auto"/>
        <w:right w:val="none" w:sz="0" w:space="0" w:color="auto"/>
      </w:divBdr>
    </w:div>
    <w:div w:id="310520083">
      <w:bodyDiv w:val="1"/>
      <w:marLeft w:val="0"/>
      <w:marRight w:val="0"/>
      <w:marTop w:val="0"/>
      <w:marBottom w:val="0"/>
      <w:divBdr>
        <w:top w:val="none" w:sz="0" w:space="0" w:color="auto"/>
        <w:left w:val="none" w:sz="0" w:space="0" w:color="auto"/>
        <w:bottom w:val="none" w:sz="0" w:space="0" w:color="auto"/>
        <w:right w:val="none" w:sz="0" w:space="0" w:color="auto"/>
      </w:divBdr>
    </w:div>
    <w:div w:id="452985136">
      <w:bodyDiv w:val="1"/>
      <w:marLeft w:val="0"/>
      <w:marRight w:val="0"/>
      <w:marTop w:val="0"/>
      <w:marBottom w:val="0"/>
      <w:divBdr>
        <w:top w:val="none" w:sz="0" w:space="0" w:color="auto"/>
        <w:left w:val="none" w:sz="0" w:space="0" w:color="auto"/>
        <w:bottom w:val="none" w:sz="0" w:space="0" w:color="auto"/>
        <w:right w:val="none" w:sz="0" w:space="0" w:color="auto"/>
      </w:divBdr>
    </w:div>
    <w:div w:id="511729003">
      <w:bodyDiv w:val="1"/>
      <w:marLeft w:val="0"/>
      <w:marRight w:val="0"/>
      <w:marTop w:val="0"/>
      <w:marBottom w:val="0"/>
      <w:divBdr>
        <w:top w:val="none" w:sz="0" w:space="0" w:color="auto"/>
        <w:left w:val="none" w:sz="0" w:space="0" w:color="auto"/>
        <w:bottom w:val="none" w:sz="0" w:space="0" w:color="auto"/>
        <w:right w:val="none" w:sz="0" w:space="0" w:color="auto"/>
      </w:divBdr>
    </w:div>
    <w:div w:id="612631452">
      <w:bodyDiv w:val="1"/>
      <w:marLeft w:val="0"/>
      <w:marRight w:val="0"/>
      <w:marTop w:val="0"/>
      <w:marBottom w:val="0"/>
      <w:divBdr>
        <w:top w:val="none" w:sz="0" w:space="0" w:color="auto"/>
        <w:left w:val="none" w:sz="0" w:space="0" w:color="auto"/>
        <w:bottom w:val="none" w:sz="0" w:space="0" w:color="auto"/>
        <w:right w:val="none" w:sz="0" w:space="0" w:color="auto"/>
      </w:divBdr>
    </w:div>
    <w:div w:id="650138142">
      <w:bodyDiv w:val="1"/>
      <w:marLeft w:val="0"/>
      <w:marRight w:val="0"/>
      <w:marTop w:val="0"/>
      <w:marBottom w:val="0"/>
      <w:divBdr>
        <w:top w:val="none" w:sz="0" w:space="0" w:color="auto"/>
        <w:left w:val="none" w:sz="0" w:space="0" w:color="auto"/>
        <w:bottom w:val="none" w:sz="0" w:space="0" w:color="auto"/>
        <w:right w:val="none" w:sz="0" w:space="0" w:color="auto"/>
      </w:divBdr>
    </w:div>
    <w:div w:id="733313021">
      <w:bodyDiv w:val="1"/>
      <w:marLeft w:val="0"/>
      <w:marRight w:val="0"/>
      <w:marTop w:val="0"/>
      <w:marBottom w:val="0"/>
      <w:divBdr>
        <w:top w:val="none" w:sz="0" w:space="0" w:color="auto"/>
        <w:left w:val="none" w:sz="0" w:space="0" w:color="auto"/>
        <w:bottom w:val="none" w:sz="0" w:space="0" w:color="auto"/>
        <w:right w:val="none" w:sz="0" w:space="0" w:color="auto"/>
      </w:divBdr>
    </w:div>
    <w:div w:id="914513638">
      <w:bodyDiv w:val="1"/>
      <w:marLeft w:val="0"/>
      <w:marRight w:val="0"/>
      <w:marTop w:val="0"/>
      <w:marBottom w:val="0"/>
      <w:divBdr>
        <w:top w:val="none" w:sz="0" w:space="0" w:color="auto"/>
        <w:left w:val="none" w:sz="0" w:space="0" w:color="auto"/>
        <w:bottom w:val="none" w:sz="0" w:space="0" w:color="auto"/>
        <w:right w:val="none" w:sz="0" w:space="0" w:color="auto"/>
      </w:divBdr>
    </w:div>
    <w:div w:id="1070616500">
      <w:bodyDiv w:val="1"/>
      <w:marLeft w:val="0"/>
      <w:marRight w:val="0"/>
      <w:marTop w:val="0"/>
      <w:marBottom w:val="0"/>
      <w:divBdr>
        <w:top w:val="none" w:sz="0" w:space="0" w:color="auto"/>
        <w:left w:val="none" w:sz="0" w:space="0" w:color="auto"/>
        <w:bottom w:val="none" w:sz="0" w:space="0" w:color="auto"/>
        <w:right w:val="none" w:sz="0" w:space="0" w:color="auto"/>
      </w:divBdr>
    </w:div>
    <w:div w:id="180191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nderson.ucla.edu/faculty/sebastian.edwards/w1117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pers.ssrn.com/sol3/papers.cfm?abstract_id=8880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eas.repec.org/s/cii/cepid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480C8-F248-4209-8178-AE955739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7905</Words>
  <Characters>45061</Characters>
  <Application>Microsoft Office Word</Application>
  <DocSecurity>0</DocSecurity>
  <Lines>375</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Marcos Rocha</cp:lastModifiedBy>
  <cp:revision>5</cp:revision>
  <cp:lastPrinted>2010-06-14T15:03:00Z</cp:lastPrinted>
  <dcterms:created xsi:type="dcterms:W3CDTF">2010-07-20T14:06:00Z</dcterms:created>
  <dcterms:modified xsi:type="dcterms:W3CDTF">2010-07-20T15:56:00Z</dcterms:modified>
</cp:coreProperties>
</file>