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90" w:rsidRPr="004235FB" w:rsidRDefault="00056F90" w:rsidP="007463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5FB">
        <w:rPr>
          <w:rFonts w:ascii="Times New Roman" w:hAnsi="Times New Roman" w:cs="Times New Roman"/>
          <w:b/>
          <w:bCs/>
          <w:sz w:val="24"/>
          <w:szCs w:val="24"/>
        </w:rPr>
        <w:t xml:space="preserve">Repercussões setoriais e regionais da Crise </w:t>
      </w:r>
      <w:r>
        <w:rPr>
          <w:rFonts w:ascii="Times New Roman" w:hAnsi="Times New Roman" w:cs="Times New Roman"/>
          <w:b/>
          <w:bCs/>
          <w:sz w:val="24"/>
          <w:szCs w:val="24"/>
        </w:rPr>
        <w:t>Econômica</w:t>
      </w:r>
      <w:r w:rsidRPr="004235FB">
        <w:rPr>
          <w:rFonts w:ascii="Times New Roman" w:hAnsi="Times New Roman" w:cs="Times New Roman"/>
          <w:b/>
          <w:bCs/>
          <w:sz w:val="24"/>
          <w:szCs w:val="24"/>
        </w:rPr>
        <w:t xml:space="preserve"> de 2009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Brasil</w:t>
      </w:r>
      <w:r w:rsidRPr="004235FB">
        <w:rPr>
          <w:rFonts w:ascii="Times New Roman" w:hAnsi="Times New Roman" w:cs="Times New Roman"/>
          <w:b/>
          <w:bCs/>
          <w:sz w:val="24"/>
          <w:szCs w:val="24"/>
        </w:rPr>
        <w:t xml:space="preserve">: simulações </w:t>
      </w:r>
      <w:r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4235FB">
        <w:rPr>
          <w:rFonts w:ascii="Times New Roman" w:hAnsi="Times New Roman" w:cs="Times New Roman"/>
          <w:b/>
          <w:bCs/>
          <w:sz w:val="24"/>
          <w:szCs w:val="24"/>
        </w:rPr>
        <w:t xml:space="preserve"> um modelo de equilíbrio geral computável de dinâmica recursiva</w:t>
      </w:r>
    </w:p>
    <w:p w:rsidR="00056F90" w:rsidRPr="004235FB" w:rsidRDefault="00056F90" w:rsidP="00CD69C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4235FB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056F90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A crise financeira desencadeada a partir do segundo semestre de 2008 significou uma inflexão da trajetória de crescimento da economia brasileira, que entre 2006 e 2008 cresceu a uma taxa média </w:t>
      </w:r>
      <w:r>
        <w:rPr>
          <w:rFonts w:ascii="Times New Roman" w:hAnsi="Times New Roman" w:cs="Times New Roman"/>
          <w:sz w:val="24"/>
          <w:szCs w:val="24"/>
        </w:rPr>
        <w:t>próxima de</w:t>
      </w:r>
      <w:r w:rsidRPr="00896923">
        <w:rPr>
          <w:rFonts w:ascii="Times New Roman" w:hAnsi="Times New Roman" w:cs="Times New Roman"/>
          <w:sz w:val="24"/>
          <w:szCs w:val="24"/>
        </w:rPr>
        <w:t xml:space="preserve"> 5%. Números recentemente divulgados revelaram que em 2009 o crescimento do PIB foi negativo, -0,19%. </w:t>
      </w:r>
    </w:p>
    <w:p w:rsidR="00056F90" w:rsidRPr="00896923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O pleno conhecimento dos impactos reais da crise, tanto setorial como regional, ainda não </w:t>
      </w:r>
      <w:r>
        <w:rPr>
          <w:rFonts w:ascii="Times New Roman" w:hAnsi="Times New Roman" w:cs="Times New Roman"/>
          <w:sz w:val="24"/>
          <w:szCs w:val="24"/>
        </w:rPr>
        <w:t>foi revelado</w:t>
      </w:r>
      <w:r w:rsidRPr="00896923">
        <w:rPr>
          <w:rFonts w:ascii="Times New Roman" w:hAnsi="Times New Roman" w:cs="Times New Roman"/>
          <w:sz w:val="24"/>
          <w:szCs w:val="24"/>
        </w:rPr>
        <w:t>, em virtude da demora na produção de algumas estatísticas econômicas. Alguns dados de comércio externo são apurados mais rapidamente, e a partir destes pode-se inferir o impacto da crise sobre alguns produtos e mercados. Por exemplo, as exportações mais afetadas foram as de</w:t>
      </w:r>
      <w:r>
        <w:rPr>
          <w:rFonts w:ascii="Times New Roman" w:hAnsi="Times New Roman" w:cs="Times New Roman"/>
          <w:sz w:val="24"/>
          <w:szCs w:val="24"/>
        </w:rPr>
        <w:t xml:space="preserve"> Equipamentos de Transportes e Veículos, com reduções de cerca de -40% na quantidade exportada,</w:t>
      </w:r>
      <w:r w:rsidRPr="00FD5F12">
        <w:rPr>
          <w:rFonts w:ascii="Times New Roman" w:hAnsi="Times New Roman" w:cs="Times New Roman"/>
          <w:sz w:val="24"/>
          <w:szCs w:val="24"/>
        </w:rPr>
        <w:t xml:space="preserve"> em 2009.</w:t>
      </w:r>
    </w:p>
    <w:p w:rsidR="00056F90" w:rsidRPr="00896923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Os efeitos da retração econômica sobre setores e regiões do país estão conectados à retração do mercado externo e à própria desaceleração no mercado interno, como pode ser observado pela queda dos investimentos (-17,51%). A Tabela 1 mostra que o consumo das famílias e do governo foram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896923">
        <w:rPr>
          <w:rFonts w:ascii="Times New Roman" w:hAnsi="Times New Roman" w:cs="Times New Roman"/>
          <w:sz w:val="24"/>
          <w:szCs w:val="24"/>
        </w:rPr>
        <w:t>componentes menos afetados pela crise, com taxas de crescimento de 4,05% e 3,69%, respectivamente. Estes indicadores do impacto da crise refletem os impactos setoriais e regionais de forma agregada, mas informações sobre seus componentes não estão disponíveis.</w:t>
      </w:r>
    </w:p>
    <w:p w:rsidR="00056F90" w:rsidRDefault="00056F90" w:rsidP="0074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F90" w:rsidRDefault="00056F90" w:rsidP="00746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Tabela 1: </w:t>
      </w:r>
      <w:r w:rsidRPr="00703EA8">
        <w:rPr>
          <w:rFonts w:ascii="Times New Roman" w:hAnsi="Times New Roman" w:cs="Times New Roman"/>
          <w:sz w:val="24"/>
          <w:szCs w:val="24"/>
        </w:rPr>
        <w:t>Indicadores macroeconômicos 2006-2009 (var % real a.a.)</w:t>
      </w:r>
    </w:p>
    <w:p w:rsidR="00056F90" w:rsidRDefault="00056F90" w:rsidP="00746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EDD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5" o:spid="_x0000_i1025" type="#_x0000_t75" style="width:349.5pt;height:180.75pt;visibility:visible">
            <v:imagedata r:id="rId7" o:title=""/>
          </v:shape>
        </w:pict>
      </w:r>
    </w:p>
    <w:p w:rsidR="00056F90" w:rsidRDefault="00056F90" w:rsidP="0074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896923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O objetivo deste trabalho é </w:t>
      </w:r>
      <w:r>
        <w:rPr>
          <w:rFonts w:ascii="Times New Roman" w:hAnsi="Times New Roman" w:cs="Times New Roman"/>
          <w:sz w:val="24"/>
          <w:szCs w:val="24"/>
        </w:rPr>
        <w:t>projetar</w:t>
      </w:r>
      <w:r w:rsidRPr="00896923">
        <w:rPr>
          <w:rFonts w:ascii="Times New Roman" w:hAnsi="Times New Roman" w:cs="Times New Roman"/>
          <w:sz w:val="24"/>
          <w:szCs w:val="24"/>
        </w:rPr>
        <w:t xml:space="preserve"> estes impactos de forma consistente, levando em consideração as inter-relações setoriais (insumo-produto), a composição setorial da demanda final (exportações, consumo das famílias, investimento, consumo do governo e estoques) e a participação das regiões (estados) nestes componentes. Uma forma de tratar estas informações</w:t>
      </w:r>
      <w:r>
        <w:rPr>
          <w:rFonts w:ascii="Times New Roman" w:hAnsi="Times New Roman" w:cs="Times New Roman"/>
          <w:sz w:val="24"/>
          <w:szCs w:val="24"/>
        </w:rPr>
        <w:t xml:space="preserve"> consistentemente</w:t>
      </w:r>
      <w:r w:rsidRPr="00896923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 xml:space="preserve">através </w:t>
      </w:r>
      <w:r w:rsidRPr="00896923">
        <w:rPr>
          <w:rFonts w:ascii="Times New Roman" w:hAnsi="Times New Roman" w:cs="Times New Roman"/>
          <w:sz w:val="24"/>
          <w:szCs w:val="24"/>
        </w:rPr>
        <w:t xml:space="preserve">dos modelos de equilíbrio geral computável (EGC), </w:t>
      </w:r>
      <w:r>
        <w:rPr>
          <w:rFonts w:ascii="Times New Roman" w:hAnsi="Times New Roman" w:cs="Times New Roman"/>
          <w:sz w:val="24"/>
          <w:szCs w:val="24"/>
        </w:rPr>
        <w:t xml:space="preserve">de forma que </w:t>
      </w:r>
      <w:r w:rsidRPr="00896923">
        <w:rPr>
          <w:rFonts w:ascii="Times New Roman" w:hAnsi="Times New Roman" w:cs="Times New Roman"/>
          <w:sz w:val="24"/>
          <w:szCs w:val="24"/>
        </w:rPr>
        <w:t xml:space="preserve">tanto a estrutura empírica da economia brasileira é tomada explicitamente, como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896923">
        <w:rPr>
          <w:rFonts w:ascii="Times New Roman" w:hAnsi="Times New Roman" w:cs="Times New Roman"/>
          <w:sz w:val="24"/>
          <w:szCs w:val="24"/>
        </w:rPr>
        <w:t>princípios econômicos e identidades contáveis são atendidos.</w:t>
      </w:r>
      <w:r>
        <w:rPr>
          <w:rFonts w:ascii="Times New Roman" w:hAnsi="Times New Roman" w:cs="Times New Roman"/>
          <w:sz w:val="24"/>
          <w:szCs w:val="24"/>
        </w:rPr>
        <w:t xml:space="preserve"> Simulações com modelos EGC permitem projetar o resultado dos setores e regiões em </w:t>
      </w:r>
      <w:smartTag w:uri="urn:schemas-microsoft-com:office:smarttags" w:element="metricconverter">
        <w:smartTagPr>
          <w:attr w:name="ProductID" w:val="2009 a"/>
        </w:smartTagPr>
        <w:r>
          <w:rPr>
            <w:rFonts w:ascii="Times New Roman" w:hAnsi="Times New Roman" w:cs="Times New Roman"/>
            <w:sz w:val="24"/>
            <w:szCs w:val="24"/>
          </w:rPr>
          <w:t>2009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partir dos componentes macroeconômicos da crise e alguns indicadores setoriais.</w:t>
      </w:r>
    </w:p>
    <w:p w:rsidR="00056F90" w:rsidRPr="00896923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Os exercícios de simulação consistem em </w:t>
      </w:r>
      <w:r>
        <w:rPr>
          <w:rFonts w:ascii="Times New Roman" w:hAnsi="Times New Roman" w:cs="Times New Roman"/>
          <w:sz w:val="24"/>
          <w:szCs w:val="24"/>
        </w:rPr>
        <w:t xml:space="preserve">empregar </w:t>
      </w:r>
      <w:r w:rsidRPr="00896923">
        <w:rPr>
          <w:rFonts w:ascii="Times New Roman" w:hAnsi="Times New Roman" w:cs="Times New Roman"/>
          <w:sz w:val="24"/>
          <w:szCs w:val="24"/>
        </w:rPr>
        <w:t xml:space="preserve">um modelo EGC calibrado com dados </w:t>
      </w:r>
      <w:r>
        <w:rPr>
          <w:rFonts w:ascii="Times New Roman" w:hAnsi="Times New Roman" w:cs="Times New Roman"/>
          <w:sz w:val="24"/>
          <w:szCs w:val="24"/>
        </w:rPr>
        <w:t xml:space="preserve">mais </w:t>
      </w:r>
      <w:r w:rsidRPr="00896923">
        <w:rPr>
          <w:rFonts w:ascii="Times New Roman" w:hAnsi="Times New Roman" w:cs="Times New Roman"/>
          <w:sz w:val="24"/>
          <w:szCs w:val="24"/>
        </w:rPr>
        <w:t xml:space="preserve">recente </w:t>
      </w:r>
      <w:r>
        <w:rPr>
          <w:rFonts w:ascii="Times New Roman" w:hAnsi="Times New Roman" w:cs="Times New Roman"/>
          <w:sz w:val="24"/>
          <w:szCs w:val="24"/>
        </w:rPr>
        <w:t>das</w:t>
      </w:r>
      <w:r w:rsidRPr="0089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contas nacionais e </w:t>
      </w:r>
      <w:r w:rsidRPr="00896923">
        <w:rPr>
          <w:rFonts w:ascii="Times New Roman" w:hAnsi="Times New Roman" w:cs="Times New Roman"/>
          <w:sz w:val="24"/>
          <w:szCs w:val="24"/>
        </w:rPr>
        <w:t>insumo-produto disponível para o Brasil (2005). A partir desse ponto inicial, o modelo é alimentado por informações econômicas disponíveis anualmente, entre 2006 e 2009, formando uma sequ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896923">
        <w:rPr>
          <w:rFonts w:ascii="Times New Roman" w:hAnsi="Times New Roman" w:cs="Times New Roman"/>
          <w:sz w:val="24"/>
          <w:szCs w:val="24"/>
        </w:rPr>
        <w:t xml:space="preserve">ncia de </w:t>
      </w:r>
      <w:r>
        <w:rPr>
          <w:rFonts w:ascii="Times New Roman" w:hAnsi="Times New Roman" w:cs="Times New Roman"/>
          <w:sz w:val="24"/>
          <w:szCs w:val="24"/>
        </w:rPr>
        <w:t>quatro</w:t>
      </w:r>
      <w:r w:rsidRPr="00896923">
        <w:rPr>
          <w:rFonts w:ascii="Times New Roman" w:hAnsi="Times New Roman" w:cs="Times New Roman"/>
          <w:sz w:val="24"/>
          <w:szCs w:val="24"/>
        </w:rPr>
        <w:t xml:space="preserve"> simulações encadeadas. </w:t>
      </w:r>
      <w:r>
        <w:rPr>
          <w:rFonts w:ascii="Times New Roman" w:hAnsi="Times New Roman" w:cs="Times New Roman"/>
          <w:sz w:val="24"/>
          <w:szCs w:val="24"/>
        </w:rPr>
        <w:t>Deste modo, ao</w:t>
      </w:r>
      <w:r w:rsidRPr="0089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896923">
        <w:rPr>
          <w:rFonts w:ascii="Times New Roman" w:hAnsi="Times New Roman" w:cs="Times New Roman"/>
          <w:sz w:val="24"/>
          <w:szCs w:val="24"/>
        </w:rPr>
        <w:t xml:space="preserve">analisar os resultados de 2009, parte-se de um retrato da economia brasileira </w:t>
      </w:r>
      <w:r>
        <w:rPr>
          <w:rFonts w:ascii="Times New Roman" w:hAnsi="Times New Roman" w:cs="Times New Roman"/>
          <w:sz w:val="24"/>
          <w:szCs w:val="24"/>
        </w:rPr>
        <w:t>incorporando o</w:t>
      </w:r>
      <w:r w:rsidRPr="00896923">
        <w:rPr>
          <w:rFonts w:ascii="Times New Roman" w:hAnsi="Times New Roman" w:cs="Times New Roman"/>
          <w:sz w:val="24"/>
          <w:szCs w:val="24"/>
        </w:rPr>
        <w:t>s efeitos do cenário econômico observado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6923">
        <w:rPr>
          <w:rFonts w:ascii="Times New Roman" w:hAnsi="Times New Roman" w:cs="Times New Roman"/>
          <w:sz w:val="24"/>
          <w:szCs w:val="24"/>
        </w:rPr>
        <w:t xml:space="preserve"> entre 2006 e 2008. O modelo </w:t>
      </w:r>
      <w:r>
        <w:rPr>
          <w:rFonts w:ascii="Times New Roman" w:hAnsi="Times New Roman" w:cs="Times New Roman"/>
          <w:sz w:val="24"/>
          <w:szCs w:val="24"/>
        </w:rPr>
        <w:t>produz</w:t>
      </w:r>
      <w:r w:rsidRPr="00896923">
        <w:rPr>
          <w:rFonts w:ascii="Times New Roman" w:hAnsi="Times New Roman" w:cs="Times New Roman"/>
          <w:sz w:val="24"/>
          <w:szCs w:val="24"/>
        </w:rPr>
        <w:t xml:space="preserve"> um amplo conjunto de resultados setoriais (55), por produto (110) e estados (27), o que permite </w:t>
      </w:r>
      <w:r>
        <w:rPr>
          <w:rFonts w:ascii="Times New Roman" w:hAnsi="Times New Roman" w:cs="Times New Roman"/>
          <w:sz w:val="24"/>
          <w:szCs w:val="24"/>
        </w:rPr>
        <w:t xml:space="preserve">avaliar </w:t>
      </w:r>
      <w:r w:rsidRPr="00896923">
        <w:rPr>
          <w:rFonts w:ascii="Times New Roman" w:hAnsi="Times New Roman" w:cs="Times New Roman"/>
          <w:sz w:val="24"/>
          <w:szCs w:val="24"/>
        </w:rPr>
        <w:t>detalhadamente os impactos da crise financeira de 2009.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9FB">
        <w:rPr>
          <w:rFonts w:ascii="Times New Roman" w:hAnsi="Times New Roman" w:cs="Times New Roman"/>
          <w:sz w:val="24"/>
          <w:szCs w:val="24"/>
        </w:rPr>
        <w:t>Este trabalho pretende</w:t>
      </w:r>
      <w:r>
        <w:rPr>
          <w:rFonts w:ascii="Times New Roman" w:hAnsi="Times New Roman" w:cs="Times New Roman"/>
          <w:sz w:val="24"/>
          <w:szCs w:val="24"/>
        </w:rPr>
        <w:t xml:space="preserve"> assim</w:t>
      </w:r>
      <w:r w:rsidRPr="002E79FB">
        <w:rPr>
          <w:rFonts w:ascii="Times New Roman" w:hAnsi="Times New Roman" w:cs="Times New Roman"/>
          <w:sz w:val="24"/>
          <w:szCs w:val="24"/>
        </w:rPr>
        <w:t xml:space="preserve"> contribuir também com uma metodologia de auxílio e subsídios para o planejamento de políticas públicas em cenários de desaceleração econômica</w:t>
      </w:r>
    </w:p>
    <w:p w:rsidR="00056F90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>Este trabalho está organizado da seguinte form</w:t>
      </w:r>
      <w:r>
        <w:rPr>
          <w:rFonts w:ascii="Times New Roman" w:hAnsi="Times New Roman" w:cs="Times New Roman"/>
          <w:sz w:val="24"/>
          <w:szCs w:val="24"/>
        </w:rPr>
        <w:t>a. Além desta introdução, mais três</w:t>
      </w:r>
      <w:r w:rsidRPr="00896923">
        <w:rPr>
          <w:rFonts w:ascii="Times New Roman" w:hAnsi="Times New Roman" w:cs="Times New Roman"/>
          <w:sz w:val="24"/>
          <w:szCs w:val="24"/>
        </w:rPr>
        <w:t xml:space="preserve"> seções compõe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96923">
        <w:rPr>
          <w:rFonts w:ascii="Times New Roman" w:hAnsi="Times New Roman" w:cs="Times New Roman"/>
          <w:sz w:val="24"/>
          <w:szCs w:val="24"/>
        </w:rPr>
        <w:t xml:space="preserve"> o artigo. A seção 2 apresenta o modelo EGC utilizado e as simulações r</w:t>
      </w:r>
      <w:r>
        <w:rPr>
          <w:rFonts w:ascii="Times New Roman" w:hAnsi="Times New Roman" w:cs="Times New Roman"/>
          <w:sz w:val="24"/>
          <w:szCs w:val="24"/>
        </w:rPr>
        <w:t xml:space="preserve">ealizadas. A seção 3 discute os </w:t>
      </w:r>
      <w:r w:rsidRPr="00896923">
        <w:rPr>
          <w:rFonts w:ascii="Times New Roman" w:hAnsi="Times New Roman" w:cs="Times New Roman"/>
          <w:sz w:val="24"/>
          <w:szCs w:val="24"/>
        </w:rPr>
        <w:t>resultados obtidos, e a seção 4 tece as considerações finais.</w:t>
      </w:r>
    </w:p>
    <w:p w:rsidR="00056F90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4235FB" w:rsidRDefault="00056F90" w:rsidP="00CD69C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4235FB">
        <w:rPr>
          <w:rFonts w:ascii="Times New Roman" w:hAnsi="Times New Roman" w:cs="Times New Roman"/>
          <w:b/>
          <w:bCs/>
          <w:sz w:val="24"/>
          <w:szCs w:val="24"/>
        </w:rPr>
        <w:t>METODOLOGIA E SIMULAÇÕES</w:t>
      </w:r>
    </w:p>
    <w:p w:rsidR="00056F90" w:rsidRPr="00896923" w:rsidRDefault="00056F90" w:rsidP="0074631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Default="00056F90" w:rsidP="00CF37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O modelo </w:t>
      </w:r>
      <w:r>
        <w:rPr>
          <w:rFonts w:ascii="Times New Roman" w:hAnsi="Times New Roman" w:cs="Times New Roman"/>
          <w:sz w:val="24"/>
          <w:szCs w:val="24"/>
        </w:rPr>
        <w:t>de equilíbrio geral computável (EGC) utilizado n</w:t>
      </w:r>
      <w:r w:rsidRPr="00896923">
        <w:rPr>
          <w:rFonts w:ascii="Times New Roman" w:hAnsi="Times New Roman" w:cs="Times New Roman"/>
          <w:sz w:val="24"/>
          <w:szCs w:val="24"/>
        </w:rPr>
        <w:t>este trabalho</w:t>
      </w:r>
      <w:r>
        <w:rPr>
          <w:rFonts w:ascii="Times New Roman" w:hAnsi="Times New Roman" w:cs="Times New Roman"/>
          <w:sz w:val="24"/>
          <w:szCs w:val="24"/>
        </w:rPr>
        <w:t xml:space="preserve"> é denominado BRIDGE (</w:t>
      </w:r>
      <w:r w:rsidRPr="00CF3783">
        <w:rPr>
          <w:rFonts w:ascii="Times New Roman" w:hAnsi="Times New Roman" w:cs="Times New Roman"/>
          <w:sz w:val="24"/>
          <w:szCs w:val="24"/>
        </w:rPr>
        <w:t>Brazilian Recursive Dynamic General Equilibrium Model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9692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BRIDGE</w:t>
      </w:r>
      <w:r w:rsidRPr="00896923">
        <w:rPr>
          <w:rFonts w:ascii="Times New Roman" w:hAnsi="Times New Roman" w:cs="Times New Roman"/>
          <w:sz w:val="24"/>
          <w:szCs w:val="24"/>
        </w:rPr>
        <w:t xml:space="preserve"> foi desenvolvido a partir da estrutura teórica do modelo ORANI (DIXON </w:t>
      </w:r>
      <w:r w:rsidRPr="00CF3783">
        <w:rPr>
          <w:rFonts w:ascii="Times New Roman" w:hAnsi="Times New Roman" w:cs="Times New Roman"/>
          <w:sz w:val="24"/>
          <w:szCs w:val="24"/>
        </w:rPr>
        <w:t>et alii</w:t>
      </w:r>
      <w:r w:rsidRPr="00896923">
        <w:rPr>
          <w:rFonts w:ascii="Times New Roman" w:hAnsi="Times New Roman" w:cs="Times New Roman"/>
          <w:sz w:val="24"/>
          <w:szCs w:val="24"/>
        </w:rPr>
        <w:t>, 1982)</w:t>
      </w:r>
      <w:r>
        <w:rPr>
          <w:rFonts w:ascii="Times New Roman" w:hAnsi="Times New Roman" w:cs="Times New Roman"/>
          <w:sz w:val="24"/>
          <w:szCs w:val="24"/>
        </w:rPr>
        <w:t xml:space="preserve"> e ORANIG (HORRIDGE, 2006)</w:t>
      </w:r>
      <w:r w:rsidRPr="00896923">
        <w:rPr>
          <w:rFonts w:ascii="Times New Roman" w:hAnsi="Times New Roman" w:cs="Times New Roman"/>
          <w:sz w:val="24"/>
          <w:szCs w:val="24"/>
        </w:rPr>
        <w:t>, incorporando</w:t>
      </w:r>
      <w:r>
        <w:rPr>
          <w:rFonts w:ascii="Times New Roman" w:hAnsi="Times New Roman" w:cs="Times New Roman"/>
          <w:sz w:val="24"/>
          <w:szCs w:val="24"/>
        </w:rPr>
        <w:t xml:space="preserve"> duas modificações:</w:t>
      </w:r>
      <w:r w:rsidRPr="00896923">
        <w:rPr>
          <w:rFonts w:ascii="Times New Roman" w:hAnsi="Times New Roman" w:cs="Times New Roman"/>
          <w:sz w:val="24"/>
          <w:szCs w:val="24"/>
        </w:rPr>
        <w:t xml:space="preserve"> uma estrutura de decomposição </w:t>
      </w:r>
      <w:r w:rsidRPr="00CF3783">
        <w:rPr>
          <w:rFonts w:ascii="Times New Roman" w:hAnsi="Times New Roman" w:cs="Times New Roman"/>
          <w:sz w:val="24"/>
          <w:szCs w:val="24"/>
        </w:rPr>
        <w:t>top-down</w:t>
      </w:r>
      <w:r w:rsidRPr="00896923">
        <w:rPr>
          <w:rFonts w:ascii="Times New Roman" w:hAnsi="Times New Roman" w:cs="Times New Roman"/>
          <w:sz w:val="24"/>
          <w:szCs w:val="24"/>
        </w:rPr>
        <w:t xml:space="preserve"> estadual e </w:t>
      </w:r>
      <w:r>
        <w:rPr>
          <w:rFonts w:ascii="Times New Roman" w:hAnsi="Times New Roman" w:cs="Times New Roman"/>
          <w:sz w:val="24"/>
          <w:szCs w:val="24"/>
        </w:rPr>
        <w:t xml:space="preserve">outra </w:t>
      </w:r>
      <w:r w:rsidRPr="00896923">
        <w:rPr>
          <w:rFonts w:ascii="Times New Roman" w:hAnsi="Times New Roman" w:cs="Times New Roman"/>
          <w:sz w:val="24"/>
          <w:szCs w:val="24"/>
        </w:rPr>
        <w:t xml:space="preserve">de dinâmica recursiva. Estes </w:t>
      </w:r>
      <w:r>
        <w:rPr>
          <w:rFonts w:ascii="Times New Roman" w:hAnsi="Times New Roman" w:cs="Times New Roman"/>
          <w:sz w:val="24"/>
          <w:szCs w:val="24"/>
        </w:rPr>
        <w:t>dois</w:t>
      </w:r>
      <w:r w:rsidRPr="00896923">
        <w:rPr>
          <w:rFonts w:ascii="Times New Roman" w:hAnsi="Times New Roman" w:cs="Times New Roman"/>
          <w:sz w:val="24"/>
          <w:szCs w:val="24"/>
        </w:rPr>
        <w:t xml:space="preserve"> últimos elementos são importantes para a produção de resultados regionais (estaduais) e para a implementação de simulações em que o estoque de capital se acumula ao longo do tempo, assim como o ajustamento no mercado de trabalho apresenta certa inércia no ajustamento dos salários e do emprego. </w:t>
      </w:r>
      <w:r>
        <w:rPr>
          <w:rFonts w:ascii="Times New Roman" w:hAnsi="Times New Roman" w:cs="Times New Roman"/>
          <w:sz w:val="24"/>
          <w:szCs w:val="24"/>
        </w:rPr>
        <w:t>Ademais, o modelo é calibrado para os dados mais recentes das contas nacionais e da matriz de insumo-produto (2005), o que ainda não foi utilizado na literatura destes modelos para o Brasil.</w:t>
      </w:r>
    </w:p>
    <w:p w:rsidR="00056F90" w:rsidRDefault="00056F90" w:rsidP="00CF37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Estas características </w:t>
      </w:r>
      <w:smartTag w:uri="urn:schemas-microsoft-com:office:smarttags" w:element="PersonName">
        <w:smartTagPr>
          <w:attr w:name="ProductID" w:val="em modelos EGC"/>
        </w:smartTagPr>
        <w:r w:rsidRPr="00896923">
          <w:rPr>
            <w:rFonts w:ascii="Times New Roman" w:hAnsi="Times New Roman" w:cs="Times New Roman"/>
            <w:sz w:val="24"/>
            <w:szCs w:val="24"/>
          </w:rPr>
          <w:t>em modelos EGC</w:t>
        </w:r>
      </w:smartTag>
      <w:r w:rsidRPr="0089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3783">
        <w:rPr>
          <w:rFonts w:ascii="Times New Roman" w:hAnsi="Times New Roman" w:cs="Times New Roman"/>
          <w:sz w:val="24"/>
          <w:szCs w:val="24"/>
        </w:rPr>
        <w:t xml:space="preserve">top-down </w:t>
      </w:r>
      <w:r>
        <w:rPr>
          <w:rFonts w:ascii="Times New Roman" w:hAnsi="Times New Roman" w:cs="Times New Roman"/>
          <w:sz w:val="24"/>
          <w:szCs w:val="24"/>
        </w:rPr>
        <w:t xml:space="preserve">estadual e dinâmica recursiva) </w:t>
      </w:r>
      <w:r w:rsidRPr="00896923">
        <w:rPr>
          <w:rFonts w:ascii="Times New Roman" w:hAnsi="Times New Roman" w:cs="Times New Roman"/>
          <w:sz w:val="24"/>
          <w:szCs w:val="24"/>
        </w:rPr>
        <w:t>são relativamente novas na literatura brasileira.</w:t>
      </w:r>
      <w:r>
        <w:rPr>
          <w:rFonts w:ascii="Times New Roman" w:hAnsi="Times New Roman" w:cs="Times New Roman"/>
          <w:sz w:val="24"/>
          <w:szCs w:val="24"/>
        </w:rPr>
        <w:t xml:space="preserve"> Em linhas gerais, os modelos EGC nacionais e regionais aplicados a economia brasileira têm como base uma análise de estática comparativa. Dentre estes modelos, sob a abordagem de Johansen, pode-se destacar: a) o modelo PAPA (GUILHOTO, 1995), desenvolvido para a economia nacional, que foi utilizado para análise de políticas agrícolas; b) o modelo TERM-BR (FERREIRA FILHO, 1997), utilizado para análise do desenvolvimento agrícola; c) o modelo B-MARIA (HADDAD, 1999), calibrado para três regiões (Norte, Nordeste e Centro-Sul), implementado para discutir aspectos da desigualdade regional e de mudança estrutural na economia brasileira; d) o modelo SPARTA (DOMINGUES, 2002), aplicado para análise da dimensão regional e setorial da integração brasileira na Área de Livre Comércio das Américas; e) o modelo MINAS-SPACE (ALMEIDA, 2003), modelo EGC espacial, utilizado no planejamento e análise de políticas de transporte; f) o modelo B-MARIA-IT (PEROBELLI, 2004) elaborado para analisar as interações entre as unidades federativas e suas relações mercantis com o restante do mundo; e g) o modelo IMAGEM-B (DOMINGUES </w:t>
      </w:r>
      <w:r w:rsidRPr="007D7243">
        <w:rPr>
          <w:rFonts w:ascii="Times New Roman" w:hAnsi="Times New Roman" w:cs="Times New Roman"/>
          <w:i/>
          <w:iCs/>
          <w:sz w:val="24"/>
          <w:szCs w:val="24"/>
        </w:rPr>
        <w:t>et alii</w:t>
      </w:r>
      <w:r>
        <w:rPr>
          <w:rFonts w:ascii="Times New Roman" w:hAnsi="Times New Roman" w:cs="Times New Roman"/>
          <w:sz w:val="24"/>
          <w:szCs w:val="24"/>
        </w:rPr>
        <w:t xml:space="preserve">, 2009), modelo multi-regional, aplicado à avaliação de impactos de investimentos em infraestrutura, transportes e comércio inter-regional. </w:t>
      </w:r>
    </w:p>
    <w:p w:rsidR="00056F90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alguns modelos com características recursivas e que foram aplicados para a economia brasileira merecem destaque. O modelo de Fochezato &amp; Souza (2000), calibrado para o ano base de 1994 é um dos poucos modelos no Brasil, que utiliza a estrutura de dinâmica recursiva. Desenvolvido para análise nacional, projeta impactos de políticas de estabilização e reformas estruturais da economia brasileira.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 xml:space="preserve"> modelo MIBRA (HASEGAWA, 2003),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por sua vez, ao 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>incorpora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 xml:space="preserve"> endogenamente os investimentos numa estrutura recursiva, ex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aminou as propostas efetivas do 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>governo federal diante de uma combinação entre aumento de investimentos, gastos públicos e produtividade dos fatores de produção.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 por fim, o</w:t>
      </w:r>
      <w:r>
        <w:rPr>
          <w:rFonts w:ascii="Times New Roman" w:hAnsi="Times New Roman" w:cs="Times New Roman"/>
          <w:sz w:val="24"/>
          <w:szCs w:val="24"/>
        </w:rPr>
        <w:t xml:space="preserve"> modelo EFES (HADDAD &amp; DOMINGUES, 2001), projeta cenários macroeconômicos via análise de projeção. Este modelo também é uma referência importante dado à análise de projeção desenvolvida, embora não se trate explicitamente de um modelo dinâmico recursivo.</w:t>
      </w:r>
    </w:p>
    <w:p w:rsidR="00056F90" w:rsidRPr="00896923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modelo</w:t>
      </w:r>
      <w:r w:rsidRPr="0089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BRIDGE, utilizado neste trabalho, </w:t>
      </w:r>
      <w:r w:rsidRPr="00896923">
        <w:rPr>
          <w:rFonts w:ascii="Times New Roman" w:hAnsi="Times New Roman" w:cs="Times New Roman"/>
          <w:sz w:val="24"/>
          <w:szCs w:val="24"/>
        </w:rPr>
        <w:t>está configurado</w:t>
      </w:r>
      <w:r>
        <w:rPr>
          <w:rFonts w:ascii="Times New Roman" w:hAnsi="Times New Roman" w:cs="Times New Roman"/>
          <w:sz w:val="24"/>
          <w:szCs w:val="24"/>
        </w:rPr>
        <w:t xml:space="preserve"> para o ano de 2005, de acordo com a classificação setorial e de produtos da matriz insumo-produto do IBGE:</w:t>
      </w:r>
      <w:r w:rsidRPr="00896923">
        <w:rPr>
          <w:rFonts w:ascii="Times New Roman" w:hAnsi="Times New Roman" w:cs="Times New Roman"/>
          <w:sz w:val="24"/>
          <w:szCs w:val="24"/>
        </w:rPr>
        <w:t xml:space="preserve"> 55 setores, 110 produtos, </w:t>
      </w:r>
      <w:r>
        <w:rPr>
          <w:rFonts w:ascii="Times New Roman" w:hAnsi="Times New Roman" w:cs="Times New Roman"/>
          <w:sz w:val="24"/>
          <w:szCs w:val="24"/>
        </w:rPr>
        <w:t>cinco</w:t>
      </w:r>
      <w:r w:rsidRPr="00896923">
        <w:rPr>
          <w:rFonts w:ascii="Times New Roman" w:hAnsi="Times New Roman" w:cs="Times New Roman"/>
          <w:sz w:val="24"/>
          <w:szCs w:val="24"/>
        </w:rPr>
        <w:t xml:space="preserve"> componentes da demanda final (consumo das famílias, consumo do governo, investimento, exportações e estoques), dois elementos de fatores primários (capital e trabalho), dois setores de margens (comércio e transportes), importações por produto para cada um dos 55 setores e </w:t>
      </w:r>
      <w:r>
        <w:rPr>
          <w:rFonts w:ascii="Times New Roman" w:hAnsi="Times New Roman" w:cs="Times New Roman"/>
          <w:sz w:val="24"/>
          <w:szCs w:val="24"/>
        </w:rPr>
        <w:t>cinco</w:t>
      </w:r>
      <w:r w:rsidRPr="00896923">
        <w:rPr>
          <w:rFonts w:ascii="Times New Roman" w:hAnsi="Times New Roman" w:cs="Times New Roman"/>
          <w:sz w:val="24"/>
          <w:szCs w:val="24"/>
        </w:rPr>
        <w:t xml:space="preserve"> componentes da demanda final, um agregado de impostos indiretos e um agregado de impostos sobre a produção. 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6923">
        <w:rPr>
          <w:rFonts w:ascii="Times New Roman" w:hAnsi="Times New Roman" w:cs="Times New Roman"/>
          <w:sz w:val="24"/>
          <w:szCs w:val="24"/>
        </w:rPr>
        <w:t xml:space="preserve">nexo 1 apresenta o procedimento de ajuste 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896923">
        <w:rPr>
          <w:rFonts w:ascii="Times New Roman" w:hAnsi="Times New Roman" w:cs="Times New Roman"/>
          <w:sz w:val="24"/>
          <w:szCs w:val="24"/>
        </w:rPr>
        <w:t xml:space="preserve"> dados</w:t>
      </w:r>
      <w:r>
        <w:rPr>
          <w:rFonts w:ascii="Times New Roman" w:hAnsi="Times New Roman" w:cs="Times New Roman"/>
          <w:sz w:val="24"/>
          <w:szCs w:val="24"/>
        </w:rPr>
        <w:t xml:space="preserve"> da matriz do IBGE</w:t>
      </w:r>
      <w:r w:rsidRPr="00896923">
        <w:rPr>
          <w:rFonts w:ascii="Times New Roman" w:hAnsi="Times New Roman" w:cs="Times New Roman"/>
          <w:sz w:val="24"/>
          <w:szCs w:val="24"/>
        </w:rPr>
        <w:t xml:space="preserve"> para a estrutura do modelo.</w:t>
      </w:r>
    </w:p>
    <w:p w:rsidR="00056F90" w:rsidRPr="00896923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A especificação teórica do modelo segue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96923">
        <w:rPr>
          <w:rFonts w:ascii="Times New Roman" w:hAnsi="Times New Roman" w:cs="Times New Roman"/>
          <w:sz w:val="24"/>
          <w:szCs w:val="24"/>
        </w:rPr>
        <w:t xml:space="preserve"> padrão em modelos EGC</w:t>
      </w:r>
      <w:r>
        <w:rPr>
          <w:rFonts w:ascii="Times New Roman" w:hAnsi="Times New Roman" w:cs="Times New Roman"/>
          <w:sz w:val="24"/>
          <w:szCs w:val="24"/>
        </w:rPr>
        <w:t xml:space="preserve"> nacionais</w:t>
      </w:r>
      <w:r w:rsidRPr="00896923">
        <w:rPr>
          <w:rFonts w:ascii="Times New Roman" w:hAnsi="Times New Roman" w:cs="Times New Roman"/>
          <w:sz w:val="24"/>
          <w:szCs w:val="24"/>
        </w:rPr>
        <w:t xml:space="preserve">. Os setores produtivos minimizam custos de produção sujeitos a uma tecnologia de retornos constantes de escala, em que a combinação de insumos intermediários e fator primário (agregado) é determinada por coeficientes fixos (Leontief). Na composição dos insumos há substituição via preços entre produto doméstico e importado, por meio de funções de elasticidade de substituição constante (CES). Na composição do fator primário também há substituição via preço entre capital e trabalho </w:t>
      </w:r>
      <w:r>
        <w:rPr>
          <w:rFonts w:ascii="Times New Roman" w:hAnsi="Times New Roman" w:cs="Times New Roman"/>
          <w:sz w:val="24"/>
          <w:szCs w:val="24"/>
        </w:rPr>
        <w:t>por</w:t>
      </w:r>
      <w:r w:rsidRPr="00896923">
        <w:rPr>
          <w:rFonts w:ascii="Times New Roman" w:hAnsi="Times New Roman" w:cs="Times New Roman"/>
          <w:sz w:val="24"/>
          <w:szCs w:val="24"/>
        </w:rPr>
        <w:t xml:space="preserve"> funções CES. Embora todos os setores apresentem a mesma especificação teórica, os efeitos substituição via preços se diferenciam de acordo com a composição doméstico/importado dos insumos do setor (presente na base de dados). </w:t>
      </w:r>
    </w:p>
    <w:p w:rsidR="00056F90" w:rsidRPr="00896923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>A demanda das famílias é especificada a partir de uma função de utilidade não-homotética de Stone-Geary (</w:t>
      </w:r>
      <w:r w:rsidRPr="00106C1C">
        <w:rPr>
          <w:rFonts w:ascii="Times New Roman" w:hAnsi="Times New Roman" w:cs="Times New Roman"/>
          <w:spacing w:val="-2"/>
          <w:sz w:val="24"/>
          <w:szCs w:val="24"/>
        </w:rPr>
        <w:t xml:space="preserve">PETER </w:t>
      </w:r>
      <w:r w:rsidRPr="00106C1C">
        <w:rPr>
          <w:rFonts w:ascii="Times New Roman" w:hAnsi="Times New Roman" w:cs="Times New Roman"/>
          <w:i/>
          <w:iCs/>
          <w:spacing w:val="-2"/>
          <w:sz w:val="24"/>
          <w:szCs w:val="24"/>
        </w:rPr>
        <w:t>et alii</w:t>
      </w:r>
      <w:r w:rsidRPr="00106C1C">
        <w:rPr>
          <w:rFonts w:ascii="Times New Roman" w:hAnsi="Times New Roman" w:cs="Times New Roman"/>
          <w:spacing w:val="-2"/>
          <w:sz w:val="24"/>
          <w:szCs w:val="24"/>
        </w:rPr>
        <w:t>, 1996</w:t>
      </w:r>
      <w:r w:rsidRPr="00896923">
        <w:rPr>
          <w:rFonts w:ascii="Times New Roman" w:hAnsi="Times New Roman" w:cs="Times New Roman"/>
          <w:sz w:val="24"/>
          <w:szCs w:val="24"/>
        </w:rPr>
        <w:t>), a composição do consumo por produto entre doméstico e importado é controlada por meio de funções de elasticidade de substituição constante (CES). As exportações setoriais respondem a curvas de demanda negativamente associadas aos custos domésticos de produção e positivamente afetadas pela expansão exógena da renda internacional, adotando-se a hipótese</w:t>
      </w:r>
      <w:r>
        <w:rPr>
          <w:rFonts w:ascii="Times New Roman" w:hAnsi="Times New Roman" w:cs="Times New Roman"/>
          <w:sz w:val="24"/>
          <w:szCs w:val="24"/>
        </w:rPr>
        <w:t xml:space="preserve"> de paí</w:t>
      </w:r>
      <w:r w:rsidRPr="00896923">
        <w:rPr>
          <w:rFonts w:ascii="Times New Roman" w:hAnsi="Times New Roman" w:cs="Times New Roman"/>
          <w:sz w:val="24"/>
          <w:szCs w:val="24"/>
        </w:rPr>
        <w:t>s pequeno no com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96923">
        <w:rPr>
          <w:rFonts w:ascii="Times New Roman" w:hAnsi="Times New Roman" w:cs="Times New Roman"/>
          <w:sz w:val="24"/>
          <w:szCs w:val="24"/>
        </w:rPr>
        <w:t xml:space="preserve">rcio internacional. O consumo do governo é tipicamente endógeno, podendo estar associado ou não ao consumo das famílias ou à arrecadação de impostos. Os estoques se acumulam de acordo com a variação da produção. </w:t>
      </w:r>
    </w:p>
    <w:p w:rsidR="00056F90" w:rsidRDefault="00056F9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O investimento e o estoque de capital seguem </w:t>
      </w:r>
      <w:r>
        <w:rPr>
          <w:rFonts w:ascii="Times New Roman" w:hAnsi="Times New Roman" w:cs="Times New Roman"/>
          <w:sz w:val="24"/>
          <w:szCs w:val="24"/>
        </w:rPr>
        <w:t xml:space="preserve">mecanismos </w:t>
      </w:r>
      <w:r w:rsidRPr="00896923">
        <w:rPr>
          <w:rFonts w:ascii="Times New Roman" w:hAnsi="Times New Roman" w:cs="Times New Roman"/>
          <w:sz w:val="24"/>
          <w:szCs w:val="24"/>
        </w:rPr>
        <w:t xml:space="preserve">de acumulação e de deslocamento inter-setorial a partir de regras pré-estabelecidas, associadas à taxa de depreciação e retorno. </w:t>
      </w:r>
      <w:r>
        <w:rPr>
          <w:rFonts w:ascii="Times New Roman" w:hAnsi="Times New Roman" w:cs="Times New Roman"/>
          <w:sz w:val="24"/>
          <w:szCs w:val="24"/>
        </w:rPr>
        <w:t xml:space="preserve">Conforme </w:t>
      </w:r>
      <w:r w:rsidRPr="00896923">
        <w:rPr>
          <w:rFonts w:ascii="Times New Roman" w:hAnsi="Times New Roman" w:cs="Times New Roman"/>
          <w:sz w:val="24"/>
          <w:szCs w:val="24"/>
        </w:rPr>
        <w:t xml:space="preserve">Dixon e Rimmer (1998), em cada ano de simulação, assumem-se que as taxas de crescimento do capital da indústria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896923">
        <w:rPr>
          <w:rFonts w:ascii="Times New Roman" w:hAnsi="Times New Roman" w:cs="Times New Roman"/>
          <w:sz w:val="24"/>
          <w:szCs w:val="24"/>
        </w:rPr>
        <w:t xml:space="preserve"> (e dessa forma, os níveis de investimento) são determinadas </w:t>
      </w:r>
      <w:r>
        <w:rPr>
          <w:rFonts w:ascii="Times New Roman" w:hAnsi="Times New Roman" w:cs="Times New Roman"/>
          <w:sz w:val="24"/>
          <w:szCs w:val="24"/>
        </w:rPr>
        <w:t xml:space="preserve">pela disposição dos investidores em </w:t>
      </w:r>
      <w:r w:rsidRPr="00896923">
        <w:rPr>
          <w:rFonts w:ascii="Times New Roman" w:hAnsi="Times New Roman" w:cs="Times New Roman"/>
          <w:sz w:val="24"/>
          <w:szCs w:val="24"/>
        </w:rPr>
        <w:t xml:space="preserve">fornecer fundos à indústria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89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frente aos </w:t>
      </w:r>
      <w:r w:rsidRPr="00896923">
        <w:rPr>
          <w:rFonts w:ascii="Times New Roman" w:hAnsi="Times New Roman" w:cs="Times New Roman"/>
          <w:sz w:val="24"/>
          <w:szCs w:val="24"/>
        </w:rPr>
        <w:t xml:space="preserve">aumentos na taxa de retorno esperada em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é limitado e os prováveis distúrbios da sua taxa de retorno são limitados gradualmente. </w:t>
      </w:r>
      <w:r w:rsidRPr="0089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outras palavras, 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 xml:space="preserve">admite-se que o crescimento do capital de </w:t>
      </w:r>
      <w:r w:rsidRPr="00785D7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j 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 xml:space="preserve">no ano </w:t>
      </w:r>
      <w:r w:rsidRPr="00785D7A">
        <w:rPr>
          <w:rFonts w:ascii="Times New Roman" w:hAnsi="Times New Roman" w:cs="Times New Roman"/>
          <w:i/>
          <w:iCs/>
          <w:spacing w:val="-2"/>
          <w:sz w:val="24"/>
          <w:szCs w:val="24"/>
        </w:rPr>
        <w:t>t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 xml:space="preserve"> é limitado pelas percepções de risco do investidor, ao invés dos custos de instalação crescentes (via seus efeitos nos custos unitários da construção e outras indústrias fornecedoras de capital). Basicamente a taxa de crescimento do capital na indústria </w:t>
      </w:r>
      <w:r w:rsidRPr="00785D7A">
        <w:rPr>
          <w:rFonts w:ascii="Times New Roman" w:hAnsi="Times New Roman" w:cs="Times New Roman"/>
          <w:i/>
          <w:iCs/>
          <w:spacing w:val="-2"/>
          <w:sz w:val="24"/>
          <w:szCs w:val="24"/>
        </w:rPr>
        <w:t>j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 xml:space="preserve"> no ano </w:t>
      </w:r>
      <w:r w:rsidRPr="00785D7A">
        <w:rPr>
          <w:rFonts w:ascii="Times New Roman" w:hAnsi="Times New Roman" w:cs="Times New Roman"/>
          <w:i/>
          <w:iCs/>
          <w:spacing w:val="-2"/>
          <w:sz w:val="24"/>
          <w:szCs w:val="24"/>
        </w:rPr>
        <w:t>t</w:t>
      </w:r>
      <w:r w:rsidRPr="00785D7A">
        <w:rPr>
          <w:rFonts w:ascii="Times New Roman" w:hAnsi="Times New Roman" w:cs="Times New Roman"/>
          <w:spacing w:val="-2"/>
          <w:sz w:val="24"/>
          <w:szCs w:val="24"/>
        </w:rPr>
        <w:t xml:space="preserve"> só será maior que sua taxa normal (estado estacionário do crescimento de capital) à medida que a taxa de retorno esperada pelos investidores for superior a taxa de retorno normal (DIXON e RIMMER, 1998). </w:t>
      </w:r>
    </w:p>
    <w:p w:rsidR="00056F90" w:rsidRDefault="00056F90" w:rsidP="006C77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salientar na modelagem de </w:t>
      </w:r>
      <w:r w:rsidRPr="00896923">
        <w:rPr>
          <w:rFonts w:ascii="Times New Roman" w:hAnsi="Times New Roman" w:cs="Times New Roman"/>
          <w:sz w:val="24"/>
          <w:szCs w:val="24"/>
        </w:rPr>
        <w:t xml:space="preserve">EGC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896923">
        <w:rPr>
          <w:rFonts w:ascii="Times New Roman" w:hAnsi="Times New Roman" w:cs="Times New Roman"/>
          <w:sz w:val="24"/>
          <w:szCs w:val="24"/>
        </w:rPr>
        <w:t>dinâmic</w:t>
      </w:r>
      <w:r>
        <w:rPr>
          <w:rFonts w:ascii="Times New Roman" w:hAnsi="Times New Roman" w:cs="Times New Roman"/>
          <w:sz w:val="24"/>
          <w:szCs w:val="24"/>
        </w:rPr>
        <w:t>a recursiva</w:t>
      </w:r>
      <w:r w:rsidRPr="0089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há um amortecimento das </w:t>
      </w:r>
      <w:r w:rsidRPr="00896923">
        <w:rPr>
          <w:rFonts w:ascii="Times New Roman" w:hAnsi="Times New Roman" w:cs="Times New Roman"/>
          <w:sz w:val="24"/>
          <w:szCs w:val="24"/>
        </w:rPr>
        <w:t>respostas do investimento</w:t>
      </w:r>
      <w:r>
        <w:rPr>
          <w:rFonts w:ascii="Times New Roman" w:hAnsi="Times New Roman" w:cs="Times New Roman"/>
          <w:sz w:val="24"/>
          <w:szCs w:val="24"/>
        </w:rPr>
        <w:t xml:space="preserve">, uma vez que o </w:t>
      </w:r>
      <w:r w:rsidRPr="00896923">
        <w:rPr>
          <w:rFonts w:ascii="Times New Roman" w:hAnsi="Times New Roman" w:cs="Times New Roman"/>
          <w:sz w:val="24"/>
          <w:szCs w:val="24"/>
        </w:rPr>
        <w:t>custo de uma unidade extra de capital instalado na indústria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896923">
        <w:rPr>
          <w:rFonts w:ascii="Times New Roman" w:hAnsi="Times New Roman" w:cs="Times New Roman"/>
          <w:sz w:val="24"/>
          <w:szCs w:val="24"/>
        </w:rPr>
        <w:t xml:space="preserve">no ano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96923">
        <w:rPr>
          <w:rFonts w:ascii="Times New Roman" w:hAnsi="Times New Roman" w:cs="Times New Roman"/>
          <w:sz w:val="24"/>
          <w:szCs w:val="24"/>
        </w:rPr>
        <w:t xml:space="preserve"> é uma função crescente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96923">
        <w:rPr>
          <w:rFonts w:ascii="Times New Roman" w:hAnsi="Times New Roman" w:cs="Times New Roman"/>
          <w:sz w:val="24"/>
          <w:szCs w:val="24"/>
        </w:rPr>
        <w:t>investimento da indústria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896923">
        <w:rPr>
          <w:rFonts w:ascii="Times New Roman" w:hAnsi="Times New Roman" w:cs="Times New Roman"/>
          <w:sz w:val="24"/>
          <w:szCs w:val="24"/>
        </w:rPr>
        <w:t xml:space="preserve"> durante o ano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969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maioria das firmas, os custos por unidade de serviços de construção e outros insumos para criação de </w:t>
      </w:r>
      <w:r w:rsidRPr="00896923">
        <w:rPr>
          <w:rFonts w:ascii="Times New Roman" w:hAnsi="Times New Roman" w:cs="Times New Roman"/>
          <w:sz w:val="24"/>
          <w:szCs w:val="24"/>
        </w:rPr>
        <w:t xml:space="preserve">capital são fracamente dependentes das variações no próprio investimento da firma (DIXON e RIMMER, 2002). </w:t>
      </w:r>
    </w:p>
    <w:p w:rsidR="00056F90" w:rsidRDefault="00056F90" w:rsidP="006C774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O mercado de trabalho, por </w:t>
      </w:r>
      <w:r>
        <w:rPr>
          <w:rFonts w:ascii="Times New Roman" w:hAnsi="Times New Roman" w:cs="Times New Roman"/>
          <w:sz w:val="24"/>
          <w:szCs w:val="24"/>
        </w:rPr>
        <w:t>sua vez</w:t>
      </w:r>
      <w:r w:rsidRPr="00896923">
        <w:rPr>
          <w:rFonts w:ascii="Times New Roman" w:hAnsi="Times New Roman" w:cs="Times New Roman"/>
          <w:sz w:val="24"/>
          <w:szCs w:val="24"/>
        </w:rPr>
        <w:t xml:space="preserve">, apresenta um elemento de ajuste intertemporal. Ele envolve basicamente três variáveis: salário real, emprego atual e emprego tendencial. No seu mecanismo de ajuste, quando o nível de emprego em </w:t>
      </w:r>
      <w:r w:rsidRPr="00896923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26" type="#_x0000_t75" style="width:24pt;height:12.75pt" o:ole="">
            <v:imagedata r:id="rId8" o:title=""/>
          </v:shape>
          <o:OLEObject Type="Embed" ProgID="Equation.3" ShapeID="_x0000_i1026" DrawAspect="Content" ObjectID="_1340804090" r:id="rId9"/>
        </w:object>
      </w:r>
      <w:r w:rsidRPr="00896923">
        <w:rPr>
          <w:rFonts w:ascii="Times New Roman" w:hAnsi="Times New Roman" w:cs="Times New Roman"/>
          <w:sz w:val="24"/>
          <w:szCs w:val="24"/>
        </w:rPr>
        <w:t xml:space="preserve">exceder </w:t>
      </w:r>
      <w:r w:rsidRPr="00896923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27" type="#_x0000_t75" style="width:21pt;height:12.75pt" o:ole="">
            <v:imagedata r:id="rId10" o:title=""/>
          </v:shape>
          <o:OLEObject Type="Embed" ProgID="Equation.3" ShapeID="_x0000_i1027" DrawAspect="Content" ObjectID="_1340804091" r:id="rId11"/>
        </w:object>
      </w:r>
      <w:r w:rsidRPr="00896923">
        <w:rPr>
          <w:rFonts w:ascii="Times New Roman" w:hAnsi="Times New Roman" w:cs="Times New Roman"/>
          <w:sz w:val="24"/>
          <w:szCs w:val="24"/>
        </w:rPr>
        <w:t xml:space="preserve">em relação ao emprego tendencial da economia, o salário real aumenta em </w:t>
      </w:r>
      <w:r w:rsidRPr="00896923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28" type="#_x0000_t75" style="width:24pt;height:15.75pt" o:ole="">
            <v:imagedata r:id="rId12" o:title=""/>
          </v:shape>
          <o:OLEObject Type="Embed" ProgID="Equation.3" ShapeID="_x0000_i1028" DrawAspect="Content" ObjectID="_1340804092" r:id="rId13"/>
        </w:object>
      </w:r>
      <w:r w:rsidRPr="00896923">
        <w:rPr>
          <w:rFonts w:ascii="Times New Roman" w:hAnsi="Times New Roman" w:cs="Times New Roman"/>
          <w:sz w:val="24"/>
          <w:szCs w:val="24"/>
        </w:rPr>
        <w:t xml:space="preserve">. Dessa maneira, visto que existe uma relação negativa entre emprego e salário real no mercado de trabalho, o aumento de </w:t>
      </w:r>
      <w:r w:rsidRPr="00896923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29" type="#_x0000_t75" style="width:24pt;height:15.75pt" o:ole="">
            <v:imagedata r:id="rId12" o:title=""/>
          </v:shape>
          <o:OLEObject Type="Embed" ProgID="Equation.3" ShapeID="_x0000_i1029" DrawAspect="Content" ObjectID="_1340804093" r:id="rId14"/>
        </w:object>
      </w:r>
      <w:r w:rsidRPr="00896923">
        <w:rPr>
          <w:rFonts w:ascii="Times New Roman" w:hAnsi="Times New Roman" w:cs="Times New Roman"/>
          <w:sz w:val="24"/>
          <w:szCs w:val="24"/>
        </w:rPr>
        <w:t xml:space="preserve">ajustará o nível de emprego em períodos posteriores até convergir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896923">
        <w:rPr>
          <w:rFonts w:ascii="Times New Roman" w:hAnsi="Times New Roman" w:cs="Times New Roman"/>
          <w:sz w:val="24"/>
          <w:szCs w:val="24"/>
        </w:rPr>
        <w:t xml:space="preserve"> o nível tendencial.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2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6923">
        <w:rPr>
          <w:rFonts w:ascii="Times New Roman" w:hAnsi="Times New Roman" w:cs="Times New Roman"/>
          <w:sz w:val="24"/>
          <w:szCs w:val="24"/>
        </w:rPr>
        <w:t xml:space="preserve">nexo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96923">
        <w:rPr>
          <w:rFonts w:ascii="Times New Roman" w:hAnsi="Times New Roman" w:cs="Times New Roman"/>
          <w:sz w:val="24"/>
          <w:szCs w:val="24"/>
        </w:rPr>
        <w:t xml:space="preserve">apresenta </w:t>
      </w:r>
      <w:r>
        <w:rPr>
          <w:rFonts w:ascii="Times New Roman" w:hAnsi="Times New Roman" w:cs="Times New Roman"/>
          <w:sz w:val="24"/>
          <w:szCs w:val="24"/>
        </w:rPr>
        <w:t>a formalização matemática da acumulação de capital físico, investimento e mercado de trabalho.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56F90" w:rsidRPr="006C7743" w:rsidRDefault="00056F90" w:rsidP="006C774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96923">
        <w:rPr>
          <w:rFonts w:ascii="Times New Roman" w:hAnsi="Times New Roman" w:cs="Times New Roman"/>
          <w:sz w:val="24"/>
          <w:szCs w:val="24"/>
        </w:rPr>
        <w:t xml:space="preserve">A especificação </w:t>
      </w:r>
      <w:r w:rsidRPr="004235FB">
        <w:rPr>
          <w:rFonts w:ascii="Times New Roman" w:hAnsi="Times New Roman" w:cs="Times New Roman"/>
          <w:i/>
          <w:iCs/>
          <w:sz w:val="24"/>
          <w:szCs w:val="24"/>
        </w:rPr>
        <w:t>top-down</w:t>
      </w:r>
      <w:r w:rsidRPr="00896923">
        <w:rPr>
          <w:rFonts w:ascii="Times New Roman" w:hAnsi="Times New Roman" w:cs="Times New Roman"/>
          <w:sz w:val="24"/>
          <w:szCs w:val="24"/>
        </w:rPr>
        <w:t xml:space="preserve"> no modelo </w:t>
      </w:r>
      <w:r>
        <w:rPr>
          <w:rFonts w:ascii="Times New Roman" w:hAnsi="Times New Roman" w:cs="Times New Roman"/>
          <w:sz w:val="24"/>
          <w:szCs w:val="24"/>
        </w:rPr>
        <w:t>BRIDGE</w:t>
      </w:r>
      <w:r w:rsidRPr="00896923">
        <w:rPr>
          <w:rFonts w:ascii="Times New Roman" w:hAnsi="Times New Roman" w:cs="Times New Roman"/>
          <w:sz w:val="24"/>
          <w:szCs w:val="24"/>
        </w:rPr>
        <w:t xml:space="preserve"> permite a regionalização dos resultados setoriais para os 27 estados da federação, de forma a se ter indicadores estaduais consistentes com resultados agregados. A especificação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>top-down</w:t>
      </w:r>
      <w:r w:rsidRPr="00896923">
        <w:rPr>
          <w:rFonts w:ascii="Times New Roman" w:hAnsi="Times New Roman" w:cs="Times New Roman"/>
          <w:sz w:val="24"/>
          <w:szCs w:val="24"/>
        </w:rPr>
        <w:t xml:space="preserve"> segue uma adaptação da extensão ORES do modelo ORANI (Dixon </w:t>
      </w:r>
      <w:r w:rsidRPr="00896923">
        <w:rPr>
          <w:rFonts w:ascii="Times New Roman" w:hAnsi="Times New Roman" w:cs="Times New Roman"/>
          <w:i/>
          <w:iCs/>
          <w:sz w:val="24"/>
          <w:szCs w:val="24"/>
        </w:rPr>
        <w:t>et alii</w:t>
      </w:r>
      <w:r w:rsidRPr="00896923">
        <w:rPr>
          <w:rFonts w:ascii="Times New Roman" w:hAnsi="Times New Roman" w:cs="Times New Roman"/>
          <w:sz w:val="24"/>
          <w:szCs w:val="24"/>
        </w:rPr>
        <w:t>, 1982).</w:t>
      </w:r>
      <w:r>
        <w:rPr>
          <w:rFonts w:ascii="Times New Roman" w:hAnsi="Times New Roman" w:cs="Times New Roman"/>
          <w:sz w:val="24"/>
          <w:szCs w:val="24"/>
        </w:rPr>
        <w:t xml:space="preserve"> A descrição completa das equações do modelo pode ser vista em Horridge (2006).</w:t>
      </w:r>
    </w:p>
    <w:p w:rsidR="00056F90" w:rsidRDefault="00056F90" w:rsidP="00CD69C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CD69C1" w:rsidRDefault="00056F90" w:rsidP="00CD69C1">
      <w:pPr>
        <w:pStyle w:val="ListParagraph"/>
        <w:numPr>
          <w:ilvl w:val="1"/>
          <w:numId w:val="8"/>
          <w:numberingChange w:id="0" w:author="Unknown" w:date="2010-07-16T16:48:00Z" w:original="%1:2:0:.%2:1:0: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C1">
        <w:rPr>
          <w:rFonts w:ascii="Times New Roman" w:hAnsi="Times New Roman" w:cs="Times New Roman"/>
          <w:b/>
          <w:bCs/>
          <w:sz w:val="24"/>
          <w:szCs w:val="24"/>
        </w:rPr>
        <w:t>Simulações do cenário 2006-08 e 2009</w:t>
      </w:r>
    </w:p>
    <w:p w:rsidR="00056F90" w:rsidRDefault="00056F90" w:rsidP="0074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Default="00056F90" w:rsidP="00D14E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as simulações com o modelo EGC foram construídos dois conjuntos de choques agregados, para os anos de 2006 a 2008. O primeiro conjunto engloba as variações percentuais do consumo das famílias, do consumo do governo, dos investimentos e do Produto Interno Bruto (PIB) – medido pelo lado da renda. O cálculo dessas variações teve como fonte primária as Contas Nacionais do </w:t>
      </w:r>
      <w:r w:rsidRPr="00896923">
        <w:rPr>
          <w:rFonts w:ascii="Times New Roman" w:hAnsi="Times New Roman" w:cs="Times New Roman"/>
          <w:sz w:val="24"/>
          <w:szCs w:val="24"/>
        </w:rPr>
        <w:t>Instituto Brasileiro de Geografia e Estatística (IBGE)</w:t>
      </w:r>
      <w:r>
        <w:rPr>
          <w:rFonts w:ascii="Times New Roman" w:hAnsi="Times New Roman" w:cs="Times New Roman"/>
          <w:sz w:val="24"/>
          <w:szCs w:val="24"/>
        </w:rPr>
        <w:t xml:space="preserve"> (Tabela 1). Por outro lado, o segundo conjunto compreende as quantidades de exportações (índices quantum da FUNCEX) e dos preços das importações (FUNCEX).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Como esses dados não estão disponíveis para todos os 110 produtos do modelo EGC, os indicadores foram associados aos grupos de setores similares</w:t>
      </w:r>
      <w:r w:rsidRPr="00DA0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base na classificação do Anexo 4. A Tabela 2 apresenta as variações percentuais aplicadas para cada ano por atividade setorial. </w:t>
      </w:r>
    </w:p>
    <w:p w:rsidR="00056F90" w:rsidRDefault="00056F90" w:rsidP="0074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881005" w:rsidRDefault="00056F90" w:rsidP="0074631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735841">
        <w:rPr>
          <w:rFonts w:ascii="Times New Roman" w:hAnsi="Times New Roman" w:cs="Times New Roman"/>
          <w:b/>
          <w:bCs/>
          <w:sz w:val="24"/>
          <w:szCs w:val="24"/>
        </w:rPr>
        <w:t>TABELA 2:</w:t>
      </w:r>
      <w:r>
        <w:rPr>
          <w:rFonts w:ascii="Times New Roman" w:hAnsi="Times New Roman" w:cs="Times New Roman"/>
          <w:sz w:val="24"/>
          <w:szCs w:val="24"/>
        </w:rPr>
        <w:t xml:space="preserve"> Variações percentuais anuais do quantum exportado e índice de preço importado – choques nas simulações</w:t>
      </w:r>
    </w:p>
    <w:p w:rsidR="00056F90" w:rsidRDefault="00056F90" w:rsidP="00746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EDD">
        <w:rPr>
          <w:noProof/>
          <w:spacing w:val="-2"/>
          <w:lang w:eastAsia="pt-BR"/>
        </w:rPr>
        <w:pict>
          <v:shape id="Imagem 156" o:spid="_x0000_i1030" type="#_x0000_t75" style="width:363.75pt;height:298.5pt;visibility:visible">
            <v:imagedata r:id="rId15" o:title=""/>
          </v:shape>
        </w:pict>
      </w:r>
    </w:p>
    <w:p w:rsidR="00056F90" w:rsidRDefault="00056F90" w:rsidP="00927F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A273C3" w:rsidRDefault="00056F90" w:rsidP="00927F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3C3">
        <w:rPr>
          <w:rFonts w:ascii="Times New Roman" w:hAnsi="Times New Roman" w:cs="Times New Roman"/>
          <w:sz w:val="24"/>
          <w:szCs w:val="24"/>
        </w:rPr>
        <w:t xml:space="preserve">Na Tabela 2, observa-se que os setores de Veículos automotores, Produtos de madeira, Outros equipamentos de transportes, máquinas e equipamentos apresentaram as maiores quedas nas exportações em 2009, -40,9%, -32,8%, -46,3% e -38,8%, respectivamente. Alguns desses setores como Produtos de madeira, e veículos Automotores apresentaram queda nas exportações em todo o período 2006-2009. Entre as atividades que tiveram aumento de exportações em 2009 tem-se o setor de Agricultura e pecuária (10,5%), Celulose e papel (13,1%), Extração de petróleo (21,2%) e Produtos químicos (4,2%) e os demais apresentaram redução refletindo a crise do período. Em relação aos preços dos importados, as maiores quedas ocorreram na Agricultura e pecuária (-19,8%), Coque, refino de petróleo e combustíveis (-38,6%), Extração de minerais não-metálicos (-28,2%). Entre 2006 a 2008, apenas os setores de Equipamentos médico-hospitalares, e de Material eletrônico e de comunicações haviam apresentado alguma redução de preço.  Os poucos setores com aumento de preço em 2009 foram Máquinas e Equipamentos (2,5%), Indústrias diversas (3,2%), Preparação de couro (6,1%) e Veículos automotores (1,8%). </w:t>
      </w:r>
    </w:p>
    <w:p w:rsidR="00056F90" w:rsidRDefault="00056F90" w:rsidP="007463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Dois componentes de absorção são obtidos endogenamente pelo modelo: exportações e importações agregadas. A primeira é basicamente uma agregação dos choques setoriais enquanto o segundo é resolvido a partir de uma identidade contábil do PIB e de variações de preço e de demanda por importações. </w:t>
      </w:r>
    </w:p>
    <w:p w:rsidR="00056F90" w:rsidRDefault="00056F90" w:rsidP="00AC6E6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A figura 1 ilustra a </w:t>
      </w:r>
      <w:r>
        <w:rPr>
          <w:rFonts w:ascii="Times New Roman" w:hAnsi="Times New Roman" w:cs="Times New Roman"/>
          <w:spacing w:val="4"/>
          <w:sz w:val="24"/>
          <w:szCs w:val="24"/>
        </w:rPr>
        <w:t>dinâmica das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simulações </w:t>
      </w:r>
      <w:r>
        <w:rPr>
          <w:rFonts w:ascii="Times New Roman" w:hAnsi="Times New Roman" w:cs="Times New Roman"/>
          <w:spacing w:val="4"/>
          <w:sz w:val="24"/>
          <w:szCs w:val="24"/>
        </w:rPr>
        <w:t>e de que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forma o modelo é alimentado com informações complementares de 2005. </w:t>
      </w:r>
    </w:p>
    <w:p w:rsidR="00056F90" w:rsidRDefault="00056F90" w:rsidP="000D3474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FIGURA 1: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Simulações com o modelo EGC</w:t>
      </w:r>
    </w:p>
    <w:p w:rsidR="00056F90" w:rsidRPr="00C22C3A" w:rsidRDefault="00056F90" w:rsidP="000D3474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9F3EDD">
        <w:rPr>
          <w:noProof/>
          <w:lang w:eastAsia="pt-BR"/>
        </w:rPr>
        <w:pict>
          <v:shape id="Imagem 67" o:spid="_x0000_i1031" type="#_x0000_t75" style="width:414pt;height:155.25pt;visibility:visible">
            <v:imagedata r:id="rId16" o:title=""/>
          </v:shape>
        </w:pict>
      </w:r>
    </w:p>
    <w:p w:rsidR="00056F90" w:rsidRPr="00C22C3A" w:rsidRDefault="00056F90" w:rsidP="00610E7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102117">
        <w:rPr>
          <w:rFonts w:ascii="Times New Roman" w:hAnsi="Times New Roman" w:cs="Times New Roman"/>
          <w:spacing w:val="4"/>
          <w:sz w:val="20"/>
          <w:szCs w:val="20"/>
        </w:rPr>
        <w:t>Fonte: Elaboração própria dos autores.</w:t>
      </w:r>
    </w:p>
    <w:p w:rsidR="00056F90" w:rsidRDefault="00056F90" w:rsidP="00F06A7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F06A7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A primeira seq</w:t>
      </w:r>
      <w:r>
        <w:rPr>
          <w:rFonts w:ascii="Times New Roman" w:hAnsi="Times New Roman" w:cs="Times New Roman"/>
          <w:spacing w:val="4"/>
          <w:sz w:val="24"/>
          <w:szCs w:val="24"/>
        </w:rPr>
        <w:t>uê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ncia aplica-se como choque para o ano de 2006, cujos resultados setoriais e regionais são reproduzidos como um novo ano base do modelo. A partir daí o cenário de 2007 é aplicado, gerando novos conjuntos de resultados e originando um novo ano base para 2008. Ao final do processo tem-se a última simulação de resultados para o ano de 2009. Cabe notar que nesse último ano, além do conjunto dos resultados de 2008, integraram-se mais dois choques: i) uma redução média do IPI sobre os produtos da chamada linha branca – nas geladeiras e frízeres a redução foi de 10% para 5%, nas máquinas de lavar de 20% para 10%; e ii) a redução para zero do IPI sobre a produção de automóveis (conhecido como IPI zero).</w:t>
      </w:r>
    </w:p>
    <w:p w:rsidR="00056F90" w:rsidRDefault="00056F90" w:rsidP="00CD69C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CD69C1">
      <w:pPr>
        <w:pStyle w:val="ListParagraph"/>
        <w:numPr>
          <w:ilvl w:val="0"/>
          <w:numId w:val="8"/>
          <w:numberingChange w:id="1" w:author="Unknown" w:date="2010-07-16T16:48:00Z" w:original="%1:3:0: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RESULTADOS E DISCUSSÕES</w:t>
      </w:r>
    </w:p>
    <w:p w:rsidR="00056F90" w:rsidRDefault="00056F90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As seções que se seguem apresentam as projeções das simulações baseadas nos choques externos e de demanda interna decorrentes da crise mundial de 2009 sobre a economia brasileira. Vale destacar três aspectos gerais relacionados aos resultados alcançados. Primeir</w:t>
      </w:r>
      <w:r>
        <w:rPr>
          <w:rFonts w:ascii="Times New Roman" w:hAnsi="Times New Roman" w:cs="Times New Roman"/>
          <w:spacing w:val="4"/>
          <w:sz w:val="24"/>
          <w:szCs w:val="24"/>
        </w:rPr>
        <w:t>amente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, diante da tabela 3, observa-se que os resultados projetados indicam um bom ajuste macroeconômico nas simulações, pois os resultados endógenos para o agregado das exportações e das importações estão próximos ao efetivamente observados.</w:t>
      </w:r>
    </w:p>
    <w:p w:rsidR="00056F90" w:rsidRDefault="00056F90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22C3A" w:rsidRDefault="00056F90" w:rsidP="00125996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TABELA 3: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Resultados observados e projetados pelo modelo BRIDGE (exp. e imp</w:t>
      </w:r>
      <w:r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3EDD">
        <w:rPr>
          <w:noProof/>
          <w:spacing w:val="4"/>
          <w:lang w:eastAsia="pt-BR"/>
        </w:rPr>
        <w:pict>
          <v:shape id="Imagem 37" o:spid="_x0000_i1032" type="#_x0000_t75" style="width:372.75pt;height:111pt;visibility:visible">
            <v:imagedata r:id="rId17" o:title=""/>
          </v:shape>
        </w:pict>
      </w:r>
    </w:p>
    <w:p w:rsidR="00056F90" w:rsidRPr="00C22C3A" w:rsidRDefault="00056F90" w:rsidP="003801F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Segundo, os impactos setoriais refletem o comportamento dos setores frente ao choque externo simulado, sobretudo em relação à quantidade exportada e ao preço das importações dos produtos associados, e também frente à demanda interna (consumo das famílias, governo e investimento) e dinâmica de anos antecedentes. Por fim, em terceiro, os resultados regionais seguem um conjunto de indicadores de participação dos estados nos componentes de demanda final e na produção. Por exemplo, estados mais especializados em determinados produtos e setores afetados pela crise tendem a revelar impactos negativos, caso contrário o impacto é pequeno ou nulo. </w:t>
      </w:r>
    </w:p>
    <w:p w:rsidR="00056F90" w:rsidRDefault="00056F90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CD69C1">
      <w:pPr>
        <w:pStyle w:val="ListParagraph"/>
        <w:numPr>
          <w:ilvl w:val="1"/>
          <w:numId w:val="8"/>
          <w:numberingChange w:id="2" w:author="Unknown" w:date="2010-07-16T16:48:00Z" w:original="%1:3:0:.%2:1:0: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Resultados setoriais</w:t>
      </w:r>
    </w:p>
    <w:p w:rsidR="00056F90" w:rsidRDefault="00056F90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Nesta subseção apresentam-se os impactos setoriais projetados da crise, cujos valores dependem do cenário externo, interno e efeitos de anos anteriores. </w:t>
      </w:r>
      <w:r>
        <w:rPr>
          <w:rFonts w:ascii="Times New Roman" w:hAnsi="Times New Roman" w:cs="Times New Roman"/>
          <w:spacing w:val="4"/>
          <w:sz w:val="24"/>
          <w:szCs w:val="24"/>
        </w:rPr>
        <w:t>Nas simulações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conforme os dados da FUNCEX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, nem todos os setores sofreram choques negativos de exportações. Por outro lado, no cenário interno constata-se que o investimento configurou-se como o componente mais afetado pela crise (-17,4%), o que, por conseguinte, se manifesta mais fortemente sob a forma de impactos negativos nos setores ligados a este componente (construção civil e seus insumos). O consumo das famílias e do governo se mostraram relativamente estáveis em 2009, e em alguns casos, pode-se dizer que foram responsáveis por manter a demanda de setores mais relevantes nesses componentes, especialmente os de serviços.</w:t>
      </w:r>
    </w:p>
    <w:p w:rsidR="00056F90" w:rsidRDefault="00056F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a Tabela 4 reporta os impactos nos setores mais afetados pela crise de 2009, de acordo com os resultados do modelo.</w:t>
      </w:r>
      <w:r w:rsidRPr="002B5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90" w:rsidRPr="00C22C3A" w:rsidRDefault="00056F90" w:rsidP="00E50B0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CD69C1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TABELA 4: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Impactos projetados sobre os 20 setores </w:t>
      </w:r>
      <w:r w:rsidRPr="00CD69C1">
        <w:rPr>
          <w:rFonts w:ascii="Times New Roman" w:hAnsi="Times New Roman" w:cs="Times New Roman"/>
          <w:spacing w:val="4"/>
          <w:sz w:val="24"/>
          <w:szCs w:val="24"/>
        </w:rPr>
        <w:t xml:space="preserve">mais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afetados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(crise de 2009)</w:t>
      </w:r>
    </w:p>
    <w:p w:rsidR="00056F90" w:rsidRPr="00C22C3A" w:rsidRDefault="00056F90" w:rsidP="00CD69C1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9F3EDD">
        <w:rPr>
          <w:noProof/>
          <w:spacing w:val="4"/>
          <w:lang w:eastAsia="pt-BR"/>
        </w:rPr>
        <w:pict>
          <v:shape id="Imagem 154" o:spid="_x0000_i1033" type="#_x0000_t75" style="width:411.75pt;height:287.25pt;visibility:visible">
            <v:imagedata r:id="rId18" o:title=""/>
          </v:shape>
        </w:pic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colunas apresentam-se o crescimento setorial projetado para o ano de 2009, dados os choques das simulações e a dinâmica recursiva em curso, além da média de crescimento dos anos pré-crise (2006 a 2008) e a diferença de crescimento entre os períodos (2009 e 2006-2008), refletindo a idéia de desaceleração. Nota-se que o setor mais seriamente afetado foi o de </w:t>
      </w:r>
      <w:r w:rsidRPr="00203DC9">
        <w:rPr>
          <w:rFonts w:ascii="Times New Roman" w:hAnsi="Times New Roman" w:cs="Times New Roman"/>
          <w:i/>
          <w:iCs/>
          <w:sz w:val="24"/>
          <w:szCs w:val="24"/>
        </w:rPr>
        <w:t>Outros Equipamentos de Transporte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3D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queda de 28,9%), que </w:t>
      </w:r>
      <w:r w:rsidRPr="00203DC9">
        <w:rPr>
          <w:rFonts w:ascii="Times New Roman" w:hAnsi="Times New Roman" w:cs="Times New Roman"/>
          <w:sz w:val="24"/>
          <w:szCs w:val="24"/>
        </w:rPr>
        <w:t>compreende a construção de embarcações e estruturas flutuantes, veículos ferroviários, aeronaves, motocicletas e bicicletas.</w:t>
      </w:r>
      <w:r>
        <w:rPr>
          <w:rFonts w:ascii="Times New Roman" w:hAnsi="Times New Roman" w:cs="Times New Roman"/>
          <w:sz w:val="24"/>
          <w:szCs w:val="24"/>
        </w:rPr>
        <w:t xml:space="preserve"> O setor que vinha de um crescimento médio projetado de 13,1% ao ano (2006 a 2008), desacelerou -42% no ano da crise. Outros setores que estão interligados a transportes também tiveram impactos negativos em 2009, como Caminhões e Ônibus (-14,3%), e Peças para Veículos Automotores (-7,7%).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A explicação para estes resultados podem ser avaliados pela análise da tabela 5, que retrata a decomposição do impacto sobre a variação da produção de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bens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em três fatores: mercado externo, mercado local e participação doméstica (composição doméstico/importado).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A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decomposição do impacto por produto permite distinguir o fator mais relevante nas simulações para o resultado do setor.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Um maior detalhamento dessa decomposição pode ser encontrado no Anexo 3. 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Assim, conforme a tabela 5 percebe-se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que o mau desempenho dos setores de Transportes citados acima (Outros Equipamentos de Transporte, Caminhões e Ônibus e Peças para Veículos Automotores) está vinculado, principalmente, à desaceleração das exportações dos produtos a eles relacionados e de uma redução da demanda do mercado local. Embora se possa notar que no caso de Caminhões e Ônibus um aumento significativo da participação doméstica do produto, i.e, um ganho de participação doméstica na oferta do produto decorrente da mudança no preço relativo entre o bem doméstico e importado, não foi suficiente para reverter o resultado negativo atingido no setor.</w:t>
      </w:r>
    </w:p>
    <w:p w:rsidR="00056F90" w:rsidRPr="00C22C3A" w:rsidRDefault="00056F90" w:rsidP="00E50B0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CD69C1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TABELA 5: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Decomposição do efeito sobre a variação da produção (var.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% em 2009)</w:t>
      </w:r>
    </w:p>
    <w:p w:rsidR="00056F90" w:rsidRPr="00C22C3A" w:rsidRDefault="00056F90" w:rsidP="00CD69C1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9F3EDD">
        <w:rPr>
          <w:noProof/>
          <w:spacing w:val="4"/>
          <w:lang w:eastAsia="pt-BR"/>
        </w:rPr>
        <w:pict>
          <v:shape id="Imagem 164" o:spid="_x0000_i1034" type="#_x0000_t75" style="width:443.25pt;height:330.75pt;visibility:visible">
            <v:imagedata r:id="rId19" o:title=""/>
          </v:shape>
        </w:pict>
      </w:r>
    </w:p>
    <w:p w:rsidR="00056F90" w:rsidRPr="00C22C3A" w:rsidRDefault="00056F90" w:rsidP="00E50B0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2B54BC" w:rsidRDefault="00056F90" w:rsidP="002B54BC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Ademais, outros setores se destacam com fortes retrações projetadas. Entre eles, estão aqueles ligados à Construção Civil e à Metalurgia, diretamente influenciados pela retração do investimento em 2009, e que tiveram crescimento expressivo nos anos anteriores, intensificando ainda mais a desaceleração. Construção (-14,2%), Cimento (-9,4%), Outros Produtos Minerais não Metálicos (-9,4%) e Tintas (-3,9%), por exemplo, apresentaram recuos significativos na atividade econômica em 2009. Analisando a decomposição do impacto sobre a variação da produção dos produtos relacionados a eles, verifica-se, que em geral, a retração dos setores pode ser explicada pelo efeito do mercado local, uma vez que são setores notadamente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non-tradables</w:t>
      </w:r>
      <w:r w:rsidRPr="002B54BC">
        <w:rPr>
          <w:rFonts w:ascii="Times New Roman" w:hAnsi="Times New Roman" w:cs="Times New Roman"/>
          <w:spacing w:val="4"/>
          <w:sz w:val="24"/>
          <w:szCs w:val="24"/>
        </w:rPr>
        <w:t>, e a retração das exportações não os afeta diretamente.</w:t>
      </w:r>
    </w:p>
    <w:p w:rsidR="00056F90" w:rsidRPr="00C22C3A" w:rsidRDefault="00056F90" w:rsidP="002B54BC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No que se refere aos setores ligados à Metalurgia (Fabricação de Aço, -7,1%; Metais não Ferrosos, -6,8%; Produtos de Metal, -3,3%; e Minério de Ferro, -1,5%), a explicação para o desempenho se assenta numa conjugação do desaquecimento da demanda interna para certos produtos que servem de insumos para outros setores, tais como Semi Acabados e Fundidos de Aço, e também, de uma redução mais acentuada das exportações, como é o caso de Gusa e Ferro Ligas.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Máquinas, Equipamentos e Manutenção, por seu turno, apesar do efeito positivo de mudança no preço relativo entre bens domésticos e importados (aumento da participação doméstica), registram variações negativas derivadas do efeito do mercado local (setor especialmente dependente de crédito e investimentos), e das exportações, que tiveram um recuo considerável na projeção de 2009.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Por outro lado, a tabela 6 mostra os impactos projetados sobre os 20 setores menos afetados pela crise econômica de 2009. Observa-se, que entre estes setores estão àqueles beneficiados pela desoneração fiscal ocorrida com a redução temporária da cobrança do IPI. Neste caso, incluem-se Eletrodomésticos, que apresentou o maior crescimento no ano de 2009 (7,6%), e Automóveis e Utilitários com expansão projetada de 6.6%. Comparando este crescimento pela média dos anos pré-crise (2006 a 2008), pode-se concluir que a atividade dos setores subiu 2,6% e 8,5%, respectivamente. </w:t>
      </w:r>
    </w:p>
    <w:p w:rsidR="00056F90" w:rsidRPr="00C22C3A" w:rsidRDefault="00056F90" w:rsidP="00E50B0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CD69C1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TABELA 6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: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Impactos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projetados sobre os 20 setores </w:t>
      </w:r>
      <w:r w:rsidRPr="00CD69C1">
        <w:rPr>
          <w:rFonts w:ascii="Times New Roman" w:hAnsi="Times New Roman" w:cs="Times New Roman"/>
          <w:spacing w:val="4"/>
          <w:sz w:val="24"/>
          <w:szCs w:val="24"/>
        </w:rPr>
        <w:t xml:space="preserve">menos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afetados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crise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de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2009</w:t>
      </w:r>
      <w:r>
        <w:rPr>
          <w:rFonts w:ascii="Times New Roman" w:hAnsi="Times New Roman" w:cs="Times New Roman"/>
          <w:spacing w:val="4"/>
          <w:sz w:val="24"/>
          <w:szCs w:val="24"/>
        </w:rPr>
        <w:t>)</w:t>
      </w:r>
    </w:p>
    <w:p w:rsidR="00056F90" w:rsidRDefault="00056F90" w:rsidP="00CD69C1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9F3EDD">
        <w:rPr>
          <w:noProof/>
          <w:lang w:eastAsia="pt-BR"/>
        </w:rPr>
        <w:pict>
          <v:shape id="Imagem 33" o:spid="_x0000_i1035" type="#_x0000_t75" style="width:411pt;height:315.75pt;visibility:visible">
            <v:imagedata r:id="rId20" o:title=""/>
          </v:shape>
        </w:pict>
      </w:r>
    </w:p>
    <w:p w:rsidR="00056F90" w:rsidRPr="00C22C3A" w:rsidRDefault="00056F90" w:rsidP="00CB49E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A decomposição do efeito setorial pelos fatores anteriores, detalhado na tabela 7, possibilita elucidar algumas das razões para o comportamento setorial projetado. No setor de Eletrodomésticos, por exemplo, o efeito positivo do mercado local foi responsável por superar o impacto negativo das exportações. No caso de Automóveis e Utilitários, o crescimento positivo deriva do aumento da participação doméstica do produto dad</w:t>
      </w:r>
      <w:r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as mudanças nos preços relativos dos bens domésticos e importados (a redução do IPI altera o preço relativo do produto domestico em relação ao importado). Este aumento também sobrepujou o efeito negativo das exportações para o setor.</w:t>
      </w:r>
    </w:p>
    <w:p w:rsidR="00056F90" w:rsidRDefault="00056F90" w:rsidP="00C22C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C22C3A">
        <w:rPr>
          <w:rFonts w:ascii="Times New Roman" w:hAnsi="Times New Roman" w:cs="Times New Roman"/>
          <w:spacing w:val="4"/>
          <w:sz w:val="24"/>
          <w:szCs w:val="24"/>
        </w:rPr>
        <w:t>Outros resultados importantes podem ser vistos em Produtos Químicos (7,6%), Defensivos Agrícolas (7,2%) e Celulose e Papel (6,8%). Neste último, há particularmente um ponto interessante uma vez que expansão das exportações (11,0%) revelou-se a causa do aquecimento do setor, seguindo direção distinta do comportamento dos demais setores afetados pela crise.</w:t>
      </w:r>
    </w:p>
    <w:p w:rsidR="00056F90" w:rsidRDefault="00056F90" w:rsidP="008D6B5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O modelo permite ainda mensurar o impacto que a crise teria sobre os setores Eletrodomésticos e Automóveis e Utilitários se as políticas de redução do IPI não tivessem sido implementadas. Deste modo, numa simulação específica de cenário, pode-se estimar o impacto nos setores, isolando o efeito da redução de IPI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dos demais choques de 2009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. A tabela 8 apresenta a variação acumulada da atividade dos setores considerando a política de redução de IPI.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A redução do imposto foi de 50% para o setor Eletrodomésticos ao passo que para Automóveis, camionetas e utilitários a desoneração foi total (redução de 100% no IPI).  </w:t>
      </w:r>
    </w:p>
    <w:p w:rsidR="00056F90" w:rsidRPr="00C22C3A" w:rsidRDefault="00056F90" w:rsidP="00C22C3A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7D724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TABELA 7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: Decomposição do efeito sobre a variação da produção (var % em 2009)</w:t>
      </w:r>
    </w:p>
    <w:p w:rsidR="00056F90" w:rsidRPr="00C22C3A" w:rsidRDefault="00056F90" w:rsidP="00CD69C1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9F3EDD">
        <w:rPr>
          <w:noProof/>
          <w:spacing w:val="4"/>
          <w:lang w:eastAsia="pt-BR"/>
        </w:rPr>
        <w:pict>
          <v:shape id="Imagem 167" o:spid="_x0000_i1036" type="#_x0000_t75" style="width:418.5pt;height:309pt;visibility:visible">
            <v:imagedata r:id="rId21" o:title=""/>
          </v:shape>
        </w:pict>
      </w:r>
    </w:p>
    <w:p w:rsidR="00056F90" w:rsidRPr="00C22C3A" w:rsidRDefault="00056F90" w:rsidP="00E50B0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22C3A" w:rsidRDefault="00056F90" w:rsidP="004D23AF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TABELA 8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: Impactos projetados da desoneração de IPI no Brasil (var% em 2009)</w:t>
      </w: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7780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3600"/>
        <w:gridCol w:w="1540"/>
        <w:gridCol w:w="1680"/>
        <w:gridCol w:w="960"/>
      </w:tblGrid>
      <w:tr w:rsidR="00056F90" w:rsidRPr="00716904">
        <w:trPr>
          <w:trHeight w:val="600"/>
          <w:jc w:val="center"/>
        </w:trPr>
        <w:tc>
          <w:tcPr>
            <w:tcW w:w="3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Setores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Impacto </w:t>
            </w:r>
            <w:r w:rsidRPr="007D7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sem </w:t>
            </w: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redução do IPI</w:t>
            </w:r>
          </w:p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(A)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Impacto </w:t>
            </w:r>
            <w:r w:rsidRPr="007D7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</w:t>
            </w: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redução do IPI (B)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Efeito IPI</w:t>
            </w:r>
          </w:p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(B)/(A)-1</w:t>
            </w:r>
          </w:p>
        </w:tc>
      </w:tr>
      <w:tr w:rsidR="00056F90" w:rsidRPr="00716904">
        <w:trPr>
          <w:trHeight w:val="315"/>
          <w:jc w:val="center"/>
        </w:trPr>
        <w:tc>
          <w:tcPr>
            <w:tcW w:w="3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056F90" w:rsidRPr="007D7243" w:rsidRDefault="00056F90" w:rsidP="001A7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Var. %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056F90" w:rsidRPr="007D7243" w:rsidRDefault="00056F90" w:rsidP="001A7D7E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56F90" w:rsidRPr="00716904">
        <w:trPr>
          <w:trHeight w:val="30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6F90" w:rsidRPr="007D7243" w:rsidRDefault="00056F90" w:rsidP="001A7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Eletrodomésticos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4,04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61%</w:t>
            </w:r>
          </w:p>
        </w:tc>
      </w:tr>
      <w:tr w:rsidR="00056F90" w:rsidRPr="00716904">
        <w:trPr>
          <w:trHeight w:val="315"/>
          <w:jc w:val="center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056F90" w:rsidRPr="007D7243" w:rsidRDefault="00056F90" w:rsidP="001A7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Automóveis, camionetas e utilitários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3,96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056F90" w:rsidRPr="007D7243" w:rsidRDefault="00056F90" w:rsidP="001A7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72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52%</w:t>
            </w:r>
          </w:p>
        </w:tc>
      </w:tr>
    </w:tbl>
    <w:p w:rsidR="00056F90" w:rsidRDefault="00056F90" w:rsidP="00DF0E19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22C3A" w:rsidRDefault="00056F90" w:rsidP="004D23AF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Tendo em vista os resultados, avalia-se que os setores de Eletrodomésticos e Automóveis e Utilitários, considerando a política de redução do IPI, cresceram aproximadamente 40% acima do que seria observado em 2009 sem essa política. Desta forma, as projeções sugerem que a redução do IPI é responsável por 61% do efeito sobre a atividade econômica em Automóveis e Utilitários e 52% do efeito sobre Eletrodomésticos nas projeções de 2009. O restante do efeito nesses setores decorre de outros componentes do cenário macroeconômico.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Uma questão interessante refere-se à comparação dos resultados projetados a indicadores setoriais observados para 2009. Um indicador que pode servir de base para esta comparação é a variação da produção industrial, da Pesquisa Industrial Mensal, disponibilizada pelo IBGE. Outros equipamentos de transporte, por exemplo, corrobora o resultado auferido nas projeções (-28,9% de retração em 2009), visto que a variação da produção anual pela Pesquisa Industrial Mensal situou-se em -25%.</w:t>
      </w:r>
    </w:p>
    <w:p w:rsidR="00056F90" w:rsidRDefault="00056F90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br w:type="page"/>
      </w:r>
    </w:p>
    <w:p w:rsidR="00056F90" w:rsidRDefault="00056F90" w:rsidP="00CD69C1">
      <w:pPr>
        <w:pStyle w:val="ListParagraph"/>
        <w:numPr>
          <w:ilvl w:val="1"/>
          <w:numId w:val="8"/>
          <w:numberingChange w:id="3" w:author="Unknown" w:date="2010-07-16T16:48:00Z" w:original="%1:3:0:.%2:2:0: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Resultados regionais</w:t>
      </w:r>
    </w:p>
    <w:p w:rsidR="00056F90" w:rsidRPr="00C22C3A" w:rsidRDefault="00056F90" w:rsidP="005F462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Pr="00C22C3A" w:rsidRDefault="00056F90" w:rsidP="009D51FE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A decomposição dos resultados regionais segue um conjunto de indicadores de participação dos estados nos componentes de demanda final e na produção, que variam de acordo com os resultados setoriais de produção e consumo projetados no modelo. A partir do comportamento projetado das variáveis nas simulações, o modelo estima que estados brasileiros ostentaram um crescimento médio de 5% entre 2006 a 2008, com destaque para o crescimento dos estados exportadores de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commodities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(Minas Gerais, Espírito Santo) e de exploração de recursos naturais como o Petróleo (Rio de Janeiro, Bahia, Pernambuco). O ano de 2009 implica numa reversão do crescimento regional na maioria os estados, apesar da expansão dos gastos do governo e redução de impostos (gráfico 1).</w:t>
      </w:r>
    </w:p>
    <w:p w:rsidR="00056F90" w:rsidRPr="00C22C3A" w:rsidRDefault="00056F90" w:rsidP="000D3474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22C3A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noProof/>
          <w:lang w:eastAsia="pt-BR"/>
        </w:rPr>
        <w:pict>
          <v:shape id="Imagem 34" o:spid="_x0000_s1026" type="#_x0000_t75" style="position:absolute;left:0;text-align:left;margin-left:20.7pt;margin-top:5.65pt;width:362.85pt;height:342.45pt;z-index:-251658752;visibility:visible">
            <v:imagedata r:id="rId22" o:title=""/>
          </v:shape>
        </w:pict>
      </w: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GRÁFICO 1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: Desempenho do PIB dos estados no cenário projetado (Var. %)</w:t>
      </w: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22C3A" w:rsidRDefault="00056F90" w:rsidP="00D50159">
      <w:pPr>
        <w:tabs>
          <w:tab w:val="left" w:pos="2420"/>
        </w:tabs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rPr>
          <w:rFonts w:ascii="Times New Roman" w:hAnsi="Times New Roman" w:cs="Times New Roman"/>
          <w:spacing w:val="4"/>
          <w:sz w:val="18"/>
          <w:szCs w:val="18"/>
        </w:rPr>
      </w:pPr>
      <w:r w:rsidRPr="00102117">
        <w:rPr>
          <w:rFonts w:ascii="Times New Roman" w:hAnsi="Times New Roman" w:cs="Times New Roman"/>
          <w:spacing w:val="4"/>
          <w:sz w:val="18"/>
          <w:szCs w:val="18"/>
        </w:rPr>
        <w:t>Fonte: Resultados das simulações do modelo.</w:t>
      </w:r>
    </w:p>
    <w:p w:rsidR="00056F90" w:rsidRDefault="00056F90" w:rsidP="000D5D7C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22C3A" w:rsidRDefault="00056F90" w:rsidP="000D5D7C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Em relação à média dos anos anteriores, constata-se que o PIB dos estados brasileiros retraiu-se em -0,19% no agregado. As projeções indicam que o estado do Amazonas teria sido o que mais sofreu com a crise, pois passou de um crescimento médio de 5,6% entre 2006 a 2008 para uma compressão de -5,7% em 2009. Este resultado é explicado em virtude do estado comportar um complexo industrial com produtos bastante afetados pela crise, mesmo que uma parte das suas indústrias tenha sido beneficiada com a redução de IPI em eletrodomésticos (gráfico 1).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A Tabela 9 decompõe o resultado do PIB dos estados em seus componentes setoriais, de forma a explicitar os efeitos negativos e positivos na determinação do resultado desse ano. Nota-se que a política anticíclica adotada pelo governo (expansão do consumo do governo em 2009) surtiria maiores efeitos em economias estaduais pequenas (nos estados de Rorâima e Mato Grosso, se verifica até crescimento em 2009 frente à média entre 2006 e 2008). Tais efeitos positivos são oriundos do peso do nível de atividade da administração pública e serviços, cujos setores poderiam ser mais beneficiados pelos gastos públicos e pelo pouco impacto da crise em setores de serviços. Os estados potencialmente mais afetados com a crise seriam aqueles com economias mais dependentes de setores mais afetados com a crise, e principalmente onde o investimento tem papel mais destacado, relacionado à Construção Civil e Indústrias Extrativas. Ao contrário, os estados que tenderiam a apresentar crescimento econômico mesmo em 2009 são aqueles mais voltados para a agropecuária, serviços e administração pública. Como já explicitado anteriormente, essas atividades se beneficiariam em 2009 da dinâmica do gasto do governo e do consumo das famílias.</w:t>
      </w:r>
    </w:p>
    <w:p w:rsidR="00056F90" w:rsidRDefault="00056F9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TABELA 9: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Contribuição setorial para o PIB estadual em 2009 (% do PIB estadual)</w:t>
      </w: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9F3EDD">
        <w:rPr>
          <w:noProof/>
          <w:spacing w:val="4"/>
          <w:lang w:eastAsia="pt-BR"/>
        </w:rPr>
        <w:pict>
          <v:shape id="Imagem 639" o:spid="_x0000_i1037" type="#_x0000_t75" style="width:413.25pt;height:333.75pt;visibility:visible">
            <v:imagedata r:id="rId23" o:title=""/>
          </v:shape>
        </w:pict>
      </w:r>
    </w:p>
    <w:p w:rsidR="00056F90" w:rsidRPr="00C22C3A" w:rsidRDefault="00056F90" w:rsidP="007D2B5F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22C3A" w:rsidRDefault="00056F90" w:rsidP="007D2B5F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Os mapas da figura 3 ilustram os resultados regionais das simulações. O mapa 3a. ilustra a dinâmica de crescimento regional entre 2006 e 2008. O mapa 3b representa as projeções de crescimento em 2009. O mapa 3c indica o efeito de desaceleração de 2009 sobre a tendência projetada entre 2006 e 2008. Os mapas indicam que os estados mais dinâmicos no período 2006-08 (Minas Gerais, Espírito Santo, Amazonas e Pernambuco) também foram os mais afetados com a crise em 2009; enquanto estados como pouco dinamismo anterior à crise (Maranhão e Piauí) foram pouco afetados, devido ao efeito positivo da expansão do consumo do governo. Os efeitos negativos do PIB em estados como Espírito Santo, Minas Gerais e Bahia foram, em grande parte, impulsionados pelo setor de Construção Civil (setores de bens intermediários e de capital), cujo setor acompanhou a variação negativa do nível de investimentos no país no mesmo período. </w:t>
      </w:r>
    </w:p>
    <w:p w:rsidR="00056F90" w:rsidRPr="00C22C3A" w:rsidRDefault="00056F90" w:rsidP="007D2B5F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 w:rsidP="000617B1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</w:p>
    <w:p w:rsidR="00056F90" w:rsidRDefault="00056F90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F</w:t>
      </w: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IGURA 3: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Desempenho do PIB estaduais ao longo dos anos selecionados (Var. %).</w:t>
      </w:r>
    </w:p>
    <w:p w:rsidR="00056F90" w:rsidRDefault="00056F90" w:rsidP="00AC6E60">
      <w:pPr>
        <w:spacing w:after="0" w:line="240" w:lineRule="auto"/>
        <w:ind w:left="708"/>
        <w:jc w:val="center"/>
        <w:rPr>
          <w:rFonts w:ascii="Times New Roman" w:hAnsi="Times New Roman" w:cs="Times New Roman"/>
          <w:spacing w:val="4"/>
          <w:sz w:val="20"/>
          <w:szCs w:val="20"/>
        </w:rPr>
      </w:pPr>
      <w:r w:rsidRPr="00102117">
        <w:rPr>
          <w:rFonts w:ascii="Times New Roman" w:hAnsi="Times New Roman" w:cs="Times New Roman"/>
          <w:b/>
          <w:bCs/>
          <w:spacing w:val="4"/>
          <w:sz w:val="20"/>
          <w:szCs w:val="20"/>
        </w:rPr>
        <w:t>3a:</w:t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 xml:space="preserve"> PIB var % a.a. (2006-2008)</w:t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ab/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ab/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ab/>
      </w:r>
      <w:r w:rsidRPr="00102117">
        <w:rPr>
          <w:rFonts w:ascii="Times New Roman" w:hAnsi="Times New Roman" w:cs="Times New Roman"/>
          <w:b/>
          <w:bCs/>
          <w:spacing w:val="4"/>
          <w:sz w:val="20"/>
          <w:szCs w:val="20"/>
        </w:rPr>
        <w:t>3b:</w:t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 xml:space="preserve"> PIB var % a.a. (2009)</w:t>
      </w:r>
    </w:p>
    <w:p w:rsidR="00056F90" w:rsidRPr="00C22C3A" w:rsidRDefault="00056F90" w:rsidP="00CD69C1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0"/>
          <w:szCs w:val="20"/>
        </w:rPr>
      </w:pPr>
      <w:r w:rsidRPr="009F3EDD">
        <w:rPr>
          <w:rFonts w:ascii="Times New Roman" w:hAnsi="Times New Roman" w:cs="Times New Roman"/>
          <w:noProof/>
          <w:spacing w:val="4"/>
          <w:sz w:val="24"/>
          <w:szCs w:val="24"/>
          <w:lang w:eastAsia="pt-BR"/>
        </w:rPr>
        <w:pict>
          <v:shape id="Imagem 2" o:spid="_x0000_i1038" type="#_x0000_t75" alt="cres0608.jpg" style="width:165.75pt;height:225pt;visibility:visible">
            <v:imagedata r:id="rId24" o:title=""/>
          </v:shape>
        </w:pict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ab/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ab/>
      </w:r>
      <w:r w:rsidRPr="009F3EDD">
        <w:rPr>
          <w:rFonts w:ascii="Times New Roman" w:hAnsi="Times New Roman" w:cs="Times New Roman"/>
          <w:noProof/>
          <w:spacing w:val="4"/>
          <w:sz w:val="24"/>
          <w:szCs w:val="24"/>
          <w:lang w:eastAsia="pt-BR"/>
        </w:rPr>
        <w:pict>
          <v:shape id="Imagem 5" o:spid="_x0000_i1039" type="#_x0000_t75" alt="cres09.jpg" style="width:166.5pt;height:219.75pt;visibility:visible">
            <v:imagedata r:id="rId25" o:title=""/>
          </v:shape>
        </w:pict>
      </w:r>
    </w:p>
    <w:p w:rsidR="00056F90" w:rsidRDefault="00056F90" w:rsidP="00AC6E60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0"/>
          <w:szCs w:val="20"/>
        </w:rPr>
      </w:pPr>
      <w:r w:rsidRPr="00102117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3c: </w:t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 xml:space="preserve">Desaceleração do PIB             </w:t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ab/>
        <w:t xml:space="preserve">                 </w:t>
      </w:r>
      <w:r w:rsidRPr="00102117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3d: </w:t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>Contribuição setorial para o PIB estadual (2009)</w:t>
      </w:r>
    </w:p>
    <w:p w:rsidR="00056F90" w:rsidRDefault="00056F90">
      <w:pPr>
        <w:spacing w:after="0" w:line="240" w:lineRule="auto"/>
        <w:rPr>
          <w:rFonts w:ascii="Times New Roman" w:hAnsi="Times New Roman" w:cs="Times New Roman"/>
          <w:noProof/>
          <w:spacing w:val="4"/>
          <w:sz w:val="24"/>
          <w:szCs w:val="24"/>
          <w:lang w:eastAsia="pt-BR"/>
        </w:rPr>
      </w:pPr>
      <w:r w:rsidRPr="00102117">
        <w:rPr>
          <w:rFonts w:ascii="Times New Roman" w:hAnsi="Times New Roman" w:cs="Times New Roman"/>
          <w:spacing w:val="4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</w:t>
      </w:r>
      <w:r w:rsidRPr="00102117">
        <w:rPr>
          <w:rFonts w:ascii="Times New Roman" w:hAnsi="Times New Roman" w:cs="Times New Roman"/>
          <w:spacing w:val="4"/>
          <w:sz w:val="20"/>
          <w:szCs w:val="20"/>
        </w:rPr>
        <w:t xml:space="preserve">(crescimento de 2009 – crescimento de 2006/08)                                  </w:t>
      </w:r>
    </w:p>
    <w:tbl>
      <w:tblPr>
        <w:tblW w:w="0" w:type="auto"/>
        <w:jc w:val="center"/>
        <w:tblLook w:val="00A0"/>
      </w:tblPr>
      <w:tblGrid>
        <w:gridCol w:w="4322"/>
        <w:gridCol w:w="4322"/>
      </w:tblGrid>
      <w:tr w:rsidR="00056F90" w:rsidRPr="004615AE">
        <w:trPr>
          <w:jc w:val="center"/>
        </w:trPr>
        <w:tc>
          <w:tcPr>
            <w:tcW w:w="4322" w:type="dxa"/>
          </w:tcPr>
          <w:p w:rsidR="00056F90" w:rsidRPr="004615AE" w:rsidRDefault="00056F90" w:rsidP="004615AE">
            <w:pPr>
              <w:tabs>
                <w:tab w:val="left" w:pos="2420"/>
              </w:tabs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9F3EDD">
              <w:rPr>
                <w:rFonts w:ascii="Times New Roman" w:hAnsi="Times New Roman" w:cs="Times New Roman"/>
                <w:b/>
                <w:bCs/>
                <w:noProof/>
                <w:spacing w:val="4"/>
                <w:sz w:val="24"/>
                <w:szCs w:val="24"/>
                <w:lang w:eastAsia="pt-BR"/>
              </w:rPr>
              <w:pict>
                <v:shape id="Imagem 9" o:spid="_x0000_i1040" type="#_x0000_t75" alt="Desaceler09.jpg" style="width:181.5pt;height:222pt;visibility:visible">
                  <v:imagedata r:id="rId26" o:title=""/>
                </v:shape>
              </w:pict>
            </w:r>
          </w:p>
        </w:tc>
        <w:tc>
          <w:tcPr>
            <w:tcW w:w="4322" w:type="dxa"/>
          </w:tcPr>
          <w:p w:rsidR="00056F90" w:rsidRPr="004615AE" w:rsidRDefault="00056F90" w:rsidP="004615AE">
            <w:pPr>
              <w:tabs>
                <w:tab w:val="left" w:pos="2420"/>
              </w:tabs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noProof/>
                <w:lang w:eastAsia="pt-BR"/>
              </w:rPr>
              <w:pict>
                <v:shape id="Imagem 0" o:spid="_x0000_s1027" type="#_x0000_t75" alt="Mapas_Crise_contribuicao setorial.jpg" style="position:absolute;left:0;text-align:left;margin-left:25.85pt;margin-top:19.25pt;width:161.25pt;height:226.5pt;z-index:251656704;visibility:visible;mso-position-horizontal-relative:text;mso-position-vertical-relative:text">
                  <v:imagedata r:id="rId27" o:title=""/>
                </v:shape>
              </w:pict>
            </w:r>
          </w:p>
        </w:tc>
      </w:tr>
    </w:tbl>
    <w:p w:rsidR="00056F90" w:rsidRPr="00C22C3A" w:rsidRDefault="00056F90" w:rsidP="002123C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102117">
        <w:rPr>
          <w:rFonts w:ascii="Times New Roman" w:hAnsi="Times New Roman" w:cs="Times New Roman"/>
          <w:spacing w:val="4"/>
          <w:sz w:val="20"/>
          <w:szCs w:val="20"/>
        </w:rPr>
        <w:t>Fonte: Resultados das simulações do modelo.</w:t>
      </w:r>
    </w:p>
    <w:p w:rsidR="00056F90" w:rsidRDefault="00056F90" w:rsidP="002123C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D69C1" w:rsidRDefault="00056F90" w:rsidP="002123C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Os estados do Amazonas, Pará e Paraná revelaram na decomposição do setorial do crescimento do PIB uma queda impulsionada, sobremodo, pelo setor industrial. A retração desse setor em 2009 se deve pelo cenário adverso do mercado interno (investimento) e externo, o que contribuiu significativamente para a variação negativa do PIB, mesmo diante das medidas anticíclicas vigentes. Por outro lado, na decomposição PIB de Mato Grosso, o setor agropecuário contribuiu significativamente para assegurar o resultado positivo, reflexo do cenário interno e externo de menor retração para esse setor (vide Tabela 2). Aliás, na maioria dos estados também se constatou que o aumento dos gastos da administração pública tenderia a gerar efeitos positivos para os estados menores, como Acre, Amapá, Roraima, Tocantins e o Distrito Federal, nos quais esse setor tem importante participação na estrutura produtiva, ao contrário das exportações e do investimento. Dessa forma, o aumento do consumo do Governo tenderia a expandir a atividade econômica de forma significativa nesses estados e impactar positivamente sobre o seu PIB e nível de emprego. </w:t>
      </w:r>
    </w:p>
    <w:p w:rsidR="00056F90" w:rsidRDefault="00056F90" w:rsidP="00CD69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 w:rsidP="00CD69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4 </w:t>
      </w: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CONSIDERAÇÕES FINAIS</w:t>
      </w:r>
    </w:p>
    <w:p w:rsidR="00056F90" w:rsidRPr="00E5661E" w:rsidRDefault="00056F90" w:rsidP="00E566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4559E1" w:rsidRDefault="00056F90" w:rsidP="004559E1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O objetivo deste trabalho não foi </w:t>
      </w:r>
      <w:r>
        <w:rPr>
          <w:rFonts w:ascii="Times New Roman" w:hAnsi="Times New Roman" w:cs="Times New Roman"/>
          <w:spacing w:val="4"/>
          <w:sz w:val="24"/>
          <w:szCs w:val="24"/>
        </w:rPr>
        <w:t>analisar os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impactos setoriais e regionais da crise econômica de 2009 na economia brasileira</w:t>
      </w:r>
      <w:r>
        <w:rPr>
          <w:rFonts w:ascii="Times New Roman" w:hAnsi="Times New Roman" w:cs="Times New Roman"/>
          <w:spacing w:val="4"/>
          <w:sz w:val="24"/>
          <w:szCs w:val="24"/>
        </w:rPr>
        <w:t>, até porque muitos dos indicadores econômicos oficiais destes impactos ainda não foram produzidos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>. O intuito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deste artigo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foi projetar os efeitos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>prováveis da desaceleração econômica de 2009, refletidos em um conjunto de indicadores macroeconômicos (consumo famílias, consumo governo, investimento) e setoriais (exportações e importações), sobre os setores e regiões da economia, levando em consideração a estrutura de insumo-produto da economia brasileira e a composição setorial e regional dos agregados macroeconômicos.</w:t>
      </w:r>
    </w:p>
    <w:p w:rsidR="00056F90" w:rsidRPr="004559E1" w:rsidRDefault="00056F90" w:rsidP="004559E1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Para isso, um modelo nacional de equilíbrio geral computável (EGC) com dinâmica recursiva e especificação </w:t>
      </w:r>
      <w:r w:rsidRPr="00C970A4">
        <w:rPr>
          <w:rFonts w:ascii="Times New Roman" w:hAnsi="Times New Roman" w:cs="Times New Roman"/>
          <w:i/>
          <w:iCs/>
          <w:spacing w:val="4"/>
          <w:sz w:val="24"/>
          <w:szCs w:val="24"/>
        </w:rPr>
        <w:t>top-down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regional (27 estados) foi utilizado,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calibrado com 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>os dados mais recentes da economia brasileira (matriz insumo-produto e contas nacionais de 2005). Exercícios de simulação com esse modelo para 4 anos (2006 a 2009) permitiram construir e analisar um conjunto de resultados setoriais (produção, consumo, emprego e preços relativos) e regionais (PIB estadual e setorial) consistentes com alguns indicadores observados nesse período. A configuração e implementação de modelos EGC dessa forma é uma novidade na literatura brasileira, e poucos exemplos são encontrados na literatura internacional.</w:t>
      </w:r>
    </w:p>
    <w:p w:rsidR="00056F90" w:rsidRPr="004559E1" w:rsidRDefault="00056F90" w:rsidP="004559E1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Os resultados obtidos neste trabalho permitiram identificar os componentes mais significativos na propagação e limitação dos efeitos da crise de 2009 sobre a economia real, em termos do nível de atividade dos setores e regiões. Os resultados indicaram, por exemplo, o papel da redução do IPI sobre eletrodomésticos e automóveis sobre o nível de atividade destes setores. Em outro conjunto de resultados foi quantificado o papel da expansão do consumo do governo no amortecimento do impacto da crise sobre setores específicos, como os de serviços, e alguns estados da federação. </w:t>
      </w:r>
      <w:r>
        <w:rPr>
          <w:rFonts w:ascii="Times New Roman" w:hAnsi="Times New Roman" w:cs="Times New Roman"/>
          <w:spacing w:val="4"/>
          <w:sz w:val="24"/>
          <w:szCs w:val="24"/>
        </w:rPr>
        <w:t>As projeções apontam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que as políticas anticíclicas pode</w:t>
      </w:r>
      <w:r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contribuir para compensar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ou minimizar os possíveis efeitos negativos da crise econômica em estados com pequena </w:t>
      </w:r>
      <w:r>
        <w:rPr>
          <w:rFonts w:ascii="Times New Roman" w:hAnsi="Times New Roman" w:cs="Times New Roman"/>
          <w:spacing w:val="4"/>
          <w:sz w:val="24"/>
          <w:szCs w:val="24"/>
        </w:rPr>
        <w:t>participação no PIB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(e.g. Ror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ima e Mato Grosso), ao passo que, em economias maiores e mais diversificadas (São Paulo, Minas Gerais e Bahia), tais medidas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podem 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não </w:t>
      </w:r>
      <w:r>
        <w:rPr>
          <w:rFonts w:ascii="Times New Roman" w:hAnsi="Times New Roman" w:cs="Times New Roman"/>
          <w:spacing w:val="4"/>
          <w:sz w:val="24"/>
          <w:szCs w:val="24"/>
        </w:rPr>
        <w:t>contrabalançar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os efeitos negativos </w:t>
      </w:r>
      <w:r>
        <w:rPr>
          <w:rFonts w:ascii="Times New Roman" w:hAnsi="Times New Roman" w:cs="Times New Roman"/>
          <w:spacing w:val="4"/>
          <w:sz w:val="24"/>
          <w:szCs w:val="24"/>
        </w:rPr>
        <w:t>do mercado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externo gerado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pela crise em 2009. </w:t>
      </w:r>
    </w:p>
    <w:p w:rsidR="00056F90" w:rsidRDefault="00056F90" w:rsidP="006C774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t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e trabalho </w:t>
      </w:r>
      <w:r>
        <w:rPr>
          <w:rFonts w:ascii="Times New Roman" w:hAnsi="Times New Roman" w:cs="Times New Roman"/>
          <w:spacing w:val="4"/>
          <w:sz w:val="24"/>
          <w:szCs w:val="24"/>
        </w:rPr>
        <w:t>também pretende contribuir com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uma metodologia </w:t>
      </w:r>
      <w:r>
        <w:rPr>
          <w:rFonts w:ascii="Times New Roman" w:hAnsi="Times New Roman" w:cs="Times New Roman"/>
          <w:spacing w:val="4"/>
          <w:sz w:val="24"/>
          <w:szCs w:val="24"/>
        </w:rPr>
        <w:t>de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auxílio e subsídio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ao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planejamento de políticas públicas </w:t>
      </w:r>
      <w:r>
        <w:rPr>
          <w:rFonts w:ascii="Times New Roman" w:hAnsi="Times New Roman" w:cs="Times New Roman"/>
          <w:spacing w:val="4"/>
          <w:sz w:val="24"/>
          <w:szCs w:val="24"/>
        </w:rPr>
        <w:t>(setoriais e de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desenvolvimento regional</w:t>
      </w:r>
      <w:r>
        <w:rPr>
          <w:rFonts w:ascii="Times New Roman" w:hAnsi="Times New Roman" w:cs="Times New Roman"/>
          <w:spacing w:val="4"/>
          <w:sz w:val="24"/>
          <w:szCs w:val="24"/>
        </w:rPr>
        <w:t>) em cenários de desaceleração econômica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A metodologia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apresentada 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permite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ainda 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vislumbrar futuras aplicações. Entre elas, a calibragem de parâmetros </w:t>
      </w:r>
      <w:r>
        <w:rPr>
          <w:rFonts w:ascii="Times New Roman" w:hAnsi="Times New Roman" w:cs="Times New Roman"/>
          <w:spacing w:val="4"/>
          <w:sz w:val="24"/>
          <w:szCs w:val="24"/>
        </w:rPr>
        <w:t>de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modelo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EGC </w:t>
      </w:r>
      <w:r w:rsidRPr="004559E1">
        <w:rPr>
          <w:rFonts w:ascii="Times New Roman" w:hAnsi="Times New Roman" w:cs="Times New Roman"/>
          <w:spacing w:val="4"/>
          <w:sz w:val="24"/>
          <w:szCs w:val="24"/>
        </w:rPr>
        <w:t>(elasticidades de substituição, por exemplo) de forma a se obter resultados setoriais observados, em determinado período de análise.  Este exercício de validação permitirá maior credibilidade do seu uso em estudos futuros de políticas e fenômenos econômicos.</w:t>
      </w:r>
    </w:p>
    <w:p w:rsidR="00056F90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REFERÊNCIAS</w:t>
      </w:r>
    </w:p>
    <w:p w:rsidR="00056F90" w:rsidRPr="00C22C3A" w:rsidRDefault="00056F90" w:rsidP="00CD69C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 w:rsidP="002659F3">
      <w:pPr>
        <w:spacing w:after="0" w:line="240" w:lineRule="auto"/>
        <w:jc w:val="both"/>
        <w:rPr>
          <w:rFonts w:ascii="TimesNewRoman" w:hAnsi="TimesNewRoman" w:cs="TimesNewRoman"/>
          <w:spacing w:val="4"/>
          <w:sz w:val="24"/>
          <w:szCs w:val="24"/>
        </w:rPr>
      </w:pPr>
      <w:r w:rsidRPr="00102117">
        <w:rPr>
          <w:rFonts w:ascii="TimesNewRoman" w:hAnsi="TimesNewRoman" w:cs="TimesNewRoman"/>
          <w:spacing w:val="4"/>
          <w:sz w:val="24"/>
          <w:szCs w:val="24"/>
        </w:rPr>
        <w:t xml:space="preserve">ALMEIDA, E. S. MINAS-SPACE: </w:t>
      </w:r>
      <w:r w:rsidRPr="005F462C">
        <w:rPr>
          <w:rFonts w:ascii="TimesNewRoman" w:hAnsi="TimesNewRoman" w:cs="TimesNewRoman"/>
          <w:i/>
          <w:iCs/>
          <w:spacing w:val="4"/>
          <w:sz w:val="24"/>
          <w:szCs w:val="24"/>
        </w:rPr>
        <w:t>Modelo de equilíbrio geral espacial para planejamento e análise de políticas de transportes no estado de Minas Gerais</w:t>
      </w:r>
      <w:r w:rsidRPr="00102117">
        <w:rPr>
          <w:rFonts w:ascii="TimesNewRoman" w:hAnsi="TimesNewRoman" w:cs="TimesNewRoman"/>
          <w:spacing w:val="4"/>
          <w:sz w:val="24"/>
          <w:szCs w:val="24"/>
        </w:rPr>
        <w:t>, (Tese de doutorado) Departamento de Economia/IPE, Universidade de São Paulo, São Paulo, 2003.</w:t>
      </w:r>
    </w:p>
    <w:p w:rsidR="00056F90" w:rsidRPr="005F462C" w:rsidRDefault="00056F90" w:rsidP="005F462C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F462C">
        <w:rPr>
          <w:rFonts w:ascii="Times New Roman" w:hAnsi="Times New Roman" w:cs="Times New Roman"/>
          <w:spacing w:val="4"/>
          <w:sz w:val="24"/>
          <w:szCs w:val="24"/>
        </w:rPr>
        <w:t xml:space="preserve">CARNEIRO, D. D.; DUARTE, P.G. </w:t>
      </w:r>
      <w:r w:rsidRPr="005F462C">
        <w:rPr>
          <w:rFonts w:ascii="Times New Roman" w:hAnsi="Times New Roman" w:cs="Times New Roman"/>
          <w:i/>
          <w:iCs/>
          <w:spacing w:val="4"/>
          <w:sz w:val="24"/>
          <w:szCs w:val="24"/>
        </w:rPr>
        <w:t>Inércia de juros e regras de Taylor: explorando as funções de resposta a impulso em um modelo de equilíbrio geral com parâmetros estilizados para o Brasil</w:t>
      </w:r>
      <w:r w:rsidRPr="005F462C">
        <w:rPr>
          <w:rFonts w:ascii="Times New Roman" w:hAnsi="Times New Roman" w:cs="Times New Roman"/>
          <w:spacing w:val="4"/>
          <w:sz w:val="24"/>
          <w:szCs w:val="24"/>
        </w:rPr>
        <w:t>. Anais do Encontro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462C">
        <w:rPr>
          <w:rFonts w:ascii="Times New Roman" w:hAnsi="Times New Roman" w:cs="Times New Roman"/>
          <w:spacing w:val="4"/>
          <w:sz w:val="24"/>
          <w:szCs w:val="24"/>
        </w:rPr>
        <w:t>Anual da Anpec, Salvador/BA, 2001.</w:t>
      </w:r>
    </w:p>
    <w:p w:rsidR="00056F90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CEDEPLAR</w:t>
      </w: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Relatório de Pesquisa: Cenário Tendencial do Modelo Econômico de Projeções Territoriais – Período 2007/202</w:t>
      </w: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.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Centro de Desenvolvimento e Planejamento Regional, Belo Horizonte, 2007.</w:t>
      </w:r>
    </w:p>
    <w:p w:rsidR="00056F90" w:rsidRPr="00C22C3A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r w:rsidRPr="00BC05C2">
        <w:rPr>
          <w:rFonts w:ascii="Times New Roman" w:hAnsi="Times New Roman" w:cs="Times New Roman"/>
          <w:spacing w:val="4"/>
          <w:sz w:val="24"/>
          <w:szCs w:val="24"/>
        </w:rPr>
        <w:t xml:space="preserve">DIXON, P. B.; PARMENTER B. R.; SUTTON, J. M.; VINCENT D. P. </w:t>
      </w:r>
      <w:r w:rsidRPr="00BC05C2">
        <w:rPr>
          <w:rFonts w:ascii="Times New Roman" w:hAnsi="Times New Roman" w:cs="Times New Roman"/>
          <w:i/>
          <w:iCs/>
          <w:spacing w:val="4"/>
          <w:sz w:val="24"/>
          <w:szCs w:val="24"/>
        </w:rPr>
        <w:t>ORANI: A Multisectoral Model of the Australian Economy</w:t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Pr="00102117">
        <w:rPr>
          <w:rFonts w:ascii="Times New Roman" w:hAnsi="Times New Roman" w:cs="Times New Roman"/>
          <w:spacing w:val="4"/>
          <w:sz w:val="24"/>
          <w:szCs w:val="24"/>
          <w:lang w:val="en-US"/>
        </w:rPr>
        <w:t>Amsterdam: North-Holland, 1982.</w:t>
      </w:r>
    </w:p>
    <w:p w:rsidR="00056F90" w:rsidRPr="00C22C3A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DIXON, P.B.; RIMMER, M.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  <w:lang w:val="en-US"/>
        </w:rPr>
        <w:t>Dynamic General Equilibrium Modelling  for Forecasting and Policy: a practical guide and documentation of MONASH</w:t>
      </w:r>
      <w:r w:rsidRPr="00102117">
        <w:rPr>
          <w:rFonts w:ascii="Times New Roman" w:hAnsi="Times New Roman" w:cs="Times New Roman"/>
          <w:spacing w:val="4"/>
          <w:sz w:val="24"/>
          <w:szCs w:val="24"/>
          <w:lang w:val="en-US"/>
        </w:rPr>
        <w:t>. Amsterdan: Elsevier, 2002. 338p.</w:t>
      </w:r>
    </w:p>
    <w:p w:rsidR="00056F90" w:rsidRPr="00C22C3A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DIXON, P.B.; RIMMER, M.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  <w:lang w:val="en-US"/>
        </w:rPr>
        <w:t>Forecasting and Policy Analysis with a Dynamic CGE Model of Australia</w:t>
      </w:r>
      <w:r w:rsidRPr="00102117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.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Working Paper, 1998.</w:t>
      </w:r>
    </w:p>
    <w:p w:rsidR="00056F90" w:rsidRPr="00C22C3A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DOMINGUES, E. P.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Dimensão regional e setorial da integração brasileira na Área de Livre Comércio das Américas.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(Tese de doutorado) IPE/USP, Universidade de São Paulo, São Paulo, 2002.DOMINGUES, E. P.; MAGALHÃES, A. S; FARIA, W. R. Infraestrutura, Crescimento e Desigualdade Regional: Uma Projeção dos Impactos dos Investimentos do Programa de Aceleração do Crescimento (PAC) em Minas Gerais.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Revista Pesquisa e Planejamento Econômico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, v. 39, n. 1, abr. 2009.</w:t>
      </w:r>
    </w:p>
    <w:p w:rsidR="00056F90" w:rsidRDefault="00056F90" w:rsidP="0026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NewRoman" w:hAnsi="TimesNewRoman" w:cs="TimesNewRoman"/>
          <w:spacing w:val="4"/>
          <w:sz w:val="24"/>
          <w:szCs w:val="24"/>
        </w:rPr>
        <w:t xml:space="preserve">FERREIRA FILHO, J. B. S. Ajuste estrutural e agricultura na década de 80: uma abordagem de equilíbrio geral. </w:t>
      </w:r>
      <w:r w:rsidRPr="00102117">
        <w:rPr>
          <w:rFonts w:ascii="TimesNewRoman" w:hAnsi="TimesNewRoman" w:cs="TimesNewRoman"/>
          <w:i/>
          <w:iCs/>
          <w:spacing w:val="4"/>
          <w:sz w:val="24"/>
          <w:szCs w:val="24"/>
        </w:rPr>
        <w:t>Pesquisa e Planejamento Econômico</w:t>
      </w:r>
      <w:r w:rsidRPr="00102117">
        <w:rPr>
          <w:rFonts w:ascii="TimesNewRoman" w:hAnsi="TimesNewRoman" w:cs="TimesNewRoman"/>
          <w:spacing w:val="4"/>
          <w:sz w:val="24"/>
          <w:szCs w:val="24"/>
        </w:rPr>
        <w:t>, v.27, n.2, 1998. 1997.</w:t>
      </w:r>
    </w:p>
    <w:p w:rsidR="00056F90" w:rsidRPr="00C22C3A" w:rsidRDefault="00056F90" w:rsidP="002659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pacing w:val="4"/>
          <w:sz w:val="24"/>
          <w:szCs w:val="24"/>
        </w:rPr>
      </w:pPr>
      <w:r w:rsidRPr="00102117">
        <w:rPr>
          <w:rFonts w:ascii="TimesNewRoman" w:hAnsi="TimesNewRoman" w:cs="TimesNewRoman"/>
          <w:spacing w:val="4"/>
          <w:sz w:val="24"/>
          <w:szCs w:val="24"/>
        </w:rPr>
        <w:t xml:space="preserve">FOCHEZATTO, A., SOUZA, N. J. Estabilização e reformas estruturais no Brasil após o Plano Real: uma análise de equilíbrio geral computável. </w:t>
      </w:r>
      <w:r w:rsidRPr="00102117">
        <w:rPr>
          <w:rFonts w:ascii="TimesNewRoman" w:hAnsi="TimesNewRoman" w:cs="TimesNewRoman"/>
          <w:i/>
          <w:iCs/>
          <w:spacing w:val="4"/>
          <w:sz w:val="24"/>
          <w:szCs w:val="24"/>
        </w:rPr>
        <w:t>Pesquisa e Planejamento Econômico</w:t>
      </w:r>
      <w:r w:rsidRPr="00102117">
        <w:rPr>
          <w:rFonts w:ascii="TimesNewRoman" w:hAnsi="TimesNewRoman" w:cs="TimesNewRoman"/>
          <w:spacing w:val="4"/>
          <w:sz w:val="24"/>
          <w:szCs w:val="24"/>
        </w:rPr>
        <w:t>, v.30, n.3, p.395-426. 2000.</w:t>
      </w:r>
    </w:p>
    <w:p w:rsidR="00056F90" w:rsidRDefault="00056F90" w:rsidP="002659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pacing w:val="4"/>
          <w:sz w:val="24"/>
          <w:szCs w:val="24"/>
        </w:rPr>
      </w:pPr>
      <w:r w:rsidRPr="00102117">
        <w:rPr>
          <w:rFonts w:ascii="TimesNewRoman" w:hAnsi="TimesNewRoman" w:cs="TimesNewRoman"/>
          <w:spacing w:val="4"/>
          <w:sz w:val="24"/>
          <w:szCs w:val="24"/>
        </w:rPr>
        <w:t xml:space="preserve">GUILHOTO, J. J. M. </w:t>
      </w:r>
      <w:r w:rsidRPr="00102117">
        <w:rPr>
          <w:rFonts w:ascii="TimesNewRoman" w:hAnsi="TimesNewRoman" w:cs="TimesNewRoman"/>
          <w:i/>
          <w:iCs/>
          <w:spacing w:val="4"/>
          <w:sz w:val="24"/>
          <w:szCs w:val="24"/>
        </w:rPr>
        <w:t>Um modelo computável de equilíbrio geral para planejamento e análise de políticas agrícolas (PAPA) na economia brasileira</w:t>
      </w:r>
      <w:r w:rsidRPr="00102117">
        <w:rPr>
          <w:rFonts w:ascii="TimesNewRoman" w:hAnsi="TimesNewRoman" w:cs="TimesNewRoman"/>
          <w:spacing w:val="4"/>
          <w:sz w:val="24"/>
          <w:szCs w:val="24"/>
        </w:rPr>
        <w:t>. (Tese de Livre- Docência). ESALq, Universidade de São Paulo, Piracicaba, 1995.</w:t>
      </w:r>
    </w:p>
    <w:p w:rsidR="00056F90" w:rsidRPr="00CF3783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GUILHOTO, J. J. M.; SESSO FILHO, U. A. Estimação da matriz insumo-produto a partir de dados preliminares das Contas Nacionais. </w:t>
      </w:r>
      <w:r w:rsidRPr="00CF3783">
        <w:rPr>
          <w:rFonts w:ascii="Times New Roman" w:hAnsi="Times New Roman" w:cs="Times New Roman"/>
          <w:i/>
          <w:iCs/>
          <w:spacing w:val="4"/>
          <w:sz w:val="24"/>
          <w:szCs w:val="24"/>
        </w:rPr>
        <w:t>Revista de Economia Aplicada</w:t>
      </w:r>
      <w:r w:rsidRPr="00CF3783">
        <w:rPr>
          <w:rFonts w:ascii="Times New Roman" w:hAnsi="Times New Roman" w:cs="Times New Roman"/>
          <w:spacing w:val="4"/>
          <w:sz w:val="24"/>
          <w:szCs w:val="24"/>
        </w:rPr>
        <w:t>, São Paulo, v. 9, n. 2, p. 277-299, 2005.</w:t>
      </w:r>
    </w:p>
    <w:p w:rsidR="00056F90" w:rsidRDefault="00056F90" w:rsidP="0026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F3783">
        <w:rPr>
          <w:rFonts w:ascii="TimesNewRoman" w:hAnsi="TimesNewRoman" w:cs="TimesNewRoman"/>
          <w:spacing w:val="4"/>
          <w:sz w:val="24"/>
          <w:szCs w:val="24"/>
        </w:rPr>
        <w:t xml:space="preserve">HADDAD, E. A. </w:t>
      </w:r>
      <w:r w:rsidRPr="00CF3783">
        <w:rPr>
          <w:rFonts w:ascii="TimesNewRoman" w:hAnsi="TimesNewRoman" w:cs="TimesNewRoman"/>
          <w:i/>
          <w:iCs/>
          <w:spacing w:val="4"/>
          <w:sz w:val="24"/>
          <w:szCs w:val="24"/>
        </w:rPr>
        <w:t>Regional inequality and structural changes: lessons from the Brazilian experience</w:t>
      </w:r>
      <w:r w:rsidRPr="00CF3783">
        <w:rPr>
          <w:rFonts w:ascii="TimesNewRoman" w:hAnsi="TimesNewRoman" w:cs="TimesNewRoman"/>
          <w:spacing w:val="4"/>
          <w:sz w:val="24"/>
          <w:szCs w:val="24"/>
        </w:rPr>
        <w:t xml:space="preserve">. </w:t>
      </w:r>
      <w:r w:rsidRPr="00102117">
        <w:rPr>
          <w:rFonts w:ascii="TimesNewRoman" w:hAnsi="TimesNewRoman" w:cs="TimesNewRoman"/>
          <w:spacing w:val="4"/>
          <w:sz w:val="24"/>
          <w:szCs w:val="24"/>
        </w:rPr>
        <w:t>Aldershot: Ashgate. 1999.</w:t>
      </w:r>
    </w:p>
    <w:p w:rsidR="00056F90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HADDAD, E. A.; DOMINGUES, E. P. EFES: Um modelo aplicado de equilíbrio geral para a economia brasileira: projeções setoriais para 1999-2004.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Estudos Econômicos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. São Paulo, 31 (1): 89-125, jan-mar. 2001.</w:t>
      </w:r>
    </w:p>
    <w:p w:rsidR="00056F90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HASEGAWA, M. M.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Políticas públicas na economia brasileira: uma aplicação do modelo MIBRA, um modelo inter-regional aplicado de equilíbrio geral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. 2003. Tese (Doutorado em Economia) – ESALQ/USP, Piracicaba/SP, 2003.</w:t>
      </w:r>
    </w:p>
    <w:p w:rsidR="00056F90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r w:rsidRPr="00BC05C2">
        <w:rPr>
          <w:rFonts w:ascii="Times New Roman" w:hAnsi="Times New Roman" w:cs="Times New Roman"/>
          <w:spacing w:val="4"/>
          <w:sz w:val="24"/>
          <w:szCs w:val="24"/>
        </w:rPr>
        <w:t xml:space="preserve">HORRIDGE, M. ORANI-G: </w:t>
      </w:r>
      <w:r w:rsidRPr="00BC05C2">
        <w:rPr>
          <w:rFonts w:ascii="Times New Roman" w:hAnsi="Times New Roman" w:cs="Times New Roman"/>
          <w:i/>
          <w:iCs/>
          <w:spacing w:val="4"/>
          <w:sz w:val="24"/>
          <w:szCs w:val="24"/>
        </w:rPr>
        <w:t>A Generic Single-Country Computable General Equilibrium Model</w:t>
      </w:r>
      <w:r w:rsidRPr="00BC05C2">
        <w:rPr>
          <w:rFonts w:ascii="Times New Roman" w:hAnsi="Times New Roman" w:cs="Times New Roman"/>
          <w:b/>
          <w:bCs/>
          <w:spacing w:val="4"/>
          <w:sz w:val="24"/>
          <w:szCs w:val="24"/>
        </w:rPr>
        <w:t>.</w:t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02117">
        <w:rPr>
          <w:rFonts w:ascii="Times New Roman" w:hAnsi="Times New Roman" w:cs="Times New Roman"/>
          <w:spacing w:val="4"/>
          <w:sz w:val="24"/>
          <w:szCs w:val="24"/>
          <w:lang w:val="en-US"/>
        </w:rPr>
        <w:t>Centre of Policy Studies and Impact Project, Monash University, Austrália, 2006, 78 p.</w:t>
      </w:r>
    </w:p>
    <w:p w:rsidR="00056F90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INSTITUTO BRASILEIRO DE GEOGRAFIA E ESTATÍSTICA (IBGE).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Sistema de Contas Nacionais</w:t>
      </w: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.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2007. Disponível em: &lt;http://www.ibge.gov.br/&gt;.</w:t>
      </w:r>
    </w:p>
    <w:p w:rsidR="00056F90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JOHANSEN, L.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  <w:lang w:val="en-US"/>
        </w:rPr>
        <w:t>A Multisectoral Model of Economic Growth</w:t>
      </w: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>.</w:t>
      </w:r>
      <w:r w:rsidRPr="00102117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Amsterdam: North-Holland, 1960, (2nd edition 1974).</w:t>
      </w:r>
    </w:p>
    <w:p w:rsidR="00056F90" w:rsidRPr="00C22C3A" w:rsidRDefault="00056F90" w:rsidP="0026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MORANDI, L.; E. J. REIS. Estoque de capital fixo no Brasil, 1950-2002. In: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Anais do XXXII Encontro Nacional de Economia – ANPEC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, 7 a 9 de dezembro, João Pessoa, PB, 2004.</w:t>
      </w:r>
    </w:p>
    <w:p w:rsidR="00056F90" w:rsidRPr="00C22C3A" w:rsidRDefault="00056F90" w:rsidP="002659F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OREIRO, J.L.; LEMOS, B.P.; MISSIO, F.J.; PADILHA, R.A. Qual a taxa de potencial de crescimento da economia brasileira?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I Semana de Estudos de Economia da UFPr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, ago. 2004.</w:t>
      </w:r>
    </w:p>
    <w:p w:rsidR="00056F90" w:rsidRDefault="00056F90" w:rsidP="0026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PEROBELLI, F. S.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Análise das Interações Econômicas entre os Estados Brasileiros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. 2004 (Tese de Doutorado). Departamento de Economia/IPE, Universidade de São Paulo, São Paulo, 2004.</w:t>
      </w:r>
    </w:p>
    <w:p w:rsidR="00056F90" w:rsidRDefault="00056F90" w:rsidP="0026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PETER, W. W. HORRIDGE, M.; MEGUER, G.A. NAVQUI, F.; PARMENTER, B. R. </w:t>
      </w:r>
      <w:r w:rsidRPr="0010211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The theoritical structure of MONASH-MRF</w:t>
      </w:r>
      <w:r w:rsidRPr="00102117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. Cayton: Center of Policy Studies, 1996. 121 p. (Preliminary working paper, OP-85). </w:t>
      </w:r>
      <w:r w:rsidRPr="0010211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Disponível em: </w:t>
      </w:r>
      <w:hyperlink r:id="rId28" w:history="1">
        <w:r w:rsidRPr="00102117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http://www.monash.edu.au/polycy</w:t>
        </w:r>
      </w:hyperlink>
      <w:r w:rsidRPr="0010211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Acesso em: 12 jul. 2010. </w:t>
      </w:r>
    </w:p>
    <w:p w:rsidR="00056F90" w:rsidRPr="006B3B41" w:rsidRDefault="00056F90" w:rsidP="0026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D69C1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ROMER, D. </w:t>
      </w:r>
      <w:r w:rsidRPr="00CD69C1">
        <w:rPr>
          <w:rFonts w:ascii="Times New Roman" w:hAnsi="Times New Roman" w:cs="Times New Roman"/>
          <w:i/>
          <w:iCs/>
          <w:spacing w:val="4"/>
          <w:sz w:val="24"/>
          <w:szCs w:val="24"/>
          <w:lang w:val="en-US"/>
        </w:rPr>
        <w:t>Advanced macroeconomics</w:t>
      </w:r>
      <w:r w:rsidRPr="00CD69C1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. 2. ed. </w:t>
      </w:r>
      <w:r w:rsidRPr="006B3B41">
        <w:rPr>
          <w:rFonts w:ascii="Times New Roman" w:hAnsi="Times New Roman" w:cs="Times New Roman"/>
          <w:spacing w:val="4"/>
          <w:sz w:val="24"/>
          <w:szCs w:val="24"/>
        </w:rPr>
        <w:t>Nova Iorque: McGraw-Hill, 2001.</w:t>
      </w:r>
    </w:p>
    <w:p w:rsidR="00056F90" w:rsidRPr="00D463C2" w:rsidRDefault="00056F90" w:rsidP="00D4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B3B41">
        <w:rPr>
          <w:rFonts w:ascii="Times New Roman" w:hAnsi="Times New Roman" w:cs="Times New Roman"/>
          <w:spacing w:val="4"/>
          <w:sz w:val="24"/>
          <w:szCs w:val="24"/>
        </w:rPr>
        <w:t xml:space="preserve">TOURINHO, O. A. F; KUME, H.; PEDROSO, A. C. S. Elasticidades de Armington para o Brasil: 1986-2002. </w:t>
      </w:r>
      <w:r w:rsidRPr="00D94487">
        <w:rPr>
          <w:rFonts w:ascii="Times New Roman" w:hAnsi="Times New Roman" w:cs="Times New Roman"/>
          <w:i/>
          <w:iCs/>
          <w:spacing w:val="4"/>
          <w:sz w:val="24"/>
          <w:szCs w:val="24"/>
        </w:rPr>
        <w:t>Revista Brasileira de Economia</w:t>
      </w:r>
      <w:r w:rsidRPr="006B3B41">
        <w:rPr>
          <w:rFonts w:ascii="Times New Roman" w:hAnsi="Times New Roman" w:cs="Times New Roman"/>
          <w:spacing w:val="4"/>
          <w:sz w:val="24"/>
          <w:szCs w:val="24"/>
        </w:rPr>
        <w:t>. v. 61 n.2, Rio de Janeiro, Abril./Junho 2007.</w:t>
      </w:r>
    </w:p>
    <w:p w:rsidR="00056F90" w:rsidRDefault="00056F90">
      <w:pPr>
        <w:spacing w:after="0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 w:rsidP="006C7743">
      <w:pPr>
        <w:spacing w:after="0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 w:rsidP="006C7743">
      <w:pPr>
        <w:spacing w:after="0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 w:rsidP="006C7743">
      <w:pPr>
        <w:spacing w:after="0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</w:p>
    <w:p w:rsidR="00056F90" w:rsidRDefault="00056F90" w:rsidP="006C7743">
      <w:pPr>
        <w:spacing w:after="0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ANEXO 1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. Modelo BRIDGE: base de dados e calibragem</w:t>
      </w:r>
    </w:p>
    <w:p w:rsidR="00056F90" w:rsidRDefault="00056F90" w:rsidP="006C7743">
      <w:pPr>
        <w:spacing w:after="0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O modelo ORANIG foi desenvolvido a partir do modelo ORANI (DIXON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et alii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, 1982) no final da década de 1970 por um grupo de pesquisadores financiados pelo governo australiano, envolvidos com a construção de um sistema de análise de políticas econômicas. A estrutura central do modelo ORANIG, concebido sob inspiração do modelo de JOHANSEN (1960), é composta por blocos de equações que determinam relações de oferta e demanda derivadas de hipóteses de otimização e condições de equilíbrio de mercado.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A calibragem do modelo BRIDGE neste artigo segue a estrutura do ORANIG – determinação de valores para coeficientes e parâmetros que originam uma solução inicial do modelo – teve como referência os dados da matriz de Insumo-Produto (IP) nacional de 2005 do IBGE</w:t>
      </w:r>
      <w:r w:rsidRPr="00102117">
        <w:rPr>
          <w:rStyle w:val="FootnoteReference"/>
          <w:rFonts w:ascii="Times New Roman" w:hAnsi="Times New Roman" w:cs="Times New Roman"/>
          <w:spacing w:val="4"/>
          <w:sz w:val="24"/>
          <w:szCs w:val="24"/>
        </w:rPr>
        <w:footnoteReference w:id="2"/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. A Figura 5 ilustra a estrutura central do modelo ORANIG, a qual, em face dos referenciais específicos de calibragem, guarda estreita similaridade com a matriz IP. Nessa figura, as matrizes são dimensionadas por índices (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c, s, i, m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e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o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) que correspondem aos conjuntos definidos no modelo.</w:t>
      </w:r>
    </w:p>
    <w:p w:rsidR="00056F90" w:rsidRPr="00FC4CE8" w:rsidRDefault="00056F90" w:rsidP="00C22C3A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16"/>
          <w:szCs w:val="16"/>
        </w:rPr>
      </w:pPr>
    </w:p>
    <w:p w:rsidR="00056F90" w:rsidRPr="00C22C3A" w:rsidRDefault="00056F90" w:rsidP="00FB305A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b/>
          <w:bCs/>
          <w:spacing w:val="4"/>
          <w:sz w:val="24"/>
          <w:szCs w:val="24"/>
        </w:rPr>
        <w:t>FIGURA4: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Estrutura da Base de Dados do Modelo BRIDGE</w:t>
      </w:r>
    </w:p>
    <w:p w:rsidR="00056F90" w:rsidRPr="00C22C3A" w:rsidRDefault="00056F90" w:rsidP="00896923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noProof/>
          <w:lang w:eastAsia="pt-BR"/>
        </w:rPr>
      </w:r>
      <w:r w:rsidRPr="007D7243">
        <w:rPr>
          <w:rFonts w:ascii="Times New Roman" w:hAnsi="Times New Roman" w:cs="Times New Roman"/>
          <w:spacing w:val="4"/>
          <w:sz w:val="24"/>
          <w:szCs w:val="24"/>
        </w:rPr>
        <w:pict>
          <v:group id="_x0000_s1028" style="width:312.4pt;height:210.3pt;mso-position-horizontal-relative:char;mso-position-vertical-relative:line" coordorigin="1598,2705" coordsize="9072,6108">
            <o:lock v:ext="edit" aspectratio="t"/>
            <v:shape id="_x0000_s1029" type="#_x0000_t75" style="position:absolute;left:1598;top:2705;width:9072;height:6108">
              <v:imagedata r:id="rId29" o:title=""/>
            </v:shape>
            <v:shape id="_x0000_s1030" type="#_x0000_t75" style="position:absolute;left:5378;top:6125;width:5220;height:2592">
              <v:imagedata r:id="rId30" o:title=""/>
            </v:shape>
            <w10:anchorlock/>
          </v:group>
        </w:pict>
      </w:r>
    </w:p>
    <w:p w:rsidR="00056F90" w:rsidRPr="00C22C3A" w:rsidRDefault="00056F90" w:rsidP="008969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18"/>
          <w:szCs w:val="18"/>
        </w:rPr>
      </w:pPr>
      <w:r w:rsidRPr="00102117">
        <w:rPr>
          <w:rFonts w:ascii="Times New Roman" w:hAnsi="Times New Roman" w:cs="Times New Roman"/>
          <w:spacing w:val="4"/>
          <w:sz w:val="18"/>
          <w:szCs w:val="18"/>
        </w:rPr>
        <w:t>Fonte: Adaptado de Horridge (2006, p. 9).</w:t>
      </w:r>
    </w:p>
    <w:p w:rsidR="00056F90" w:rsidRDefault="00056F90" w:rsidP="00FC4CE8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C22C3A" w:rsidRDefault="00056F90" w:rsidP="00FC4CE8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2C3A">
        <w:rPr>
          <w:rFonts w:ascii="Times New Roman" w:hAnsi="Times New Roman" w:cs="Times New Roman"/>
          <w:spacing w:val="4"/>
          <w:sz w:val="24"/>
          <w:szCs w:val="24"/>
        </w:rPr>
        <w:t>Os fluxos básicos mostram a demanda a preços básicos (valor de produção) dos bens (“</w:t>
      </w:r>
      <w:r w:rsidRPr="00C22C3A">
        <w:rPr>
          <w:rFonts w:ascii="Times New Roman" w:hAnsi="Times New Roman" w:cs="Times New Roman"/>
          <w:i/>
          <w:iCs/>
          <w:spacing w:val="4"/>
          <w:sz w:val="24"/>
          <w:szCs w:val="24"/>
        </w:rPr>
        <w:t>c</w:t>
      </w:r>
      <w:r w:rsidRPr="00C22C3A">
        <w:rPr>
          <w:rFonts w:ascii="Times New Roman" w:hAnsi="Times New Roman" w:cs="Times New Roman"/>
          <w:spacing w:val="4"/>
          <w:sz w:val="24"/>
          <w:szCs w:val="24"/>
        </w:rPr>
        <w:t>” em COM), de origem doméstica ou importada (“</w:t>
      </w:r>
      <w:r w:rsidRPr="00C22C3A">
        <w:rPr>
          <w:rFonts w:ascii="Times New Roman" w:hAnsi="Times New Roman" w:cs="Times New Roman"/>
          <w:i/>
          <w:iCs/>
          <w:spacing w:val="4"/>
          <w:sz w:val="24"/>
          <w:szCs w:val="24"/>
        </w:rPr>
        <w:t>s</w:t>
      </w:r>
      <w:r w:rsidRPr="00C22C3A">
        <w:rPr>
          <w:rFonts w:ascii="Times New Roman" w:hAnsi="Times New Roman" w:cs="Times New Roman"/>
          <w:spacing w:val="4"/>
          <w:sz w:val="24"/>
          <w:szCs w:val="24"/>
        </w:rPr>
        <w:t>” em SRC), pelas indústrias (“</w:t>
      </w:r>
      <w:r w:rsidRPr="00C22C3A">
        <w:rPr>
          <w:rFonts w:ascii="Times New Roman" w:hAnsi="Times New Roman" w:cs="Times New Roman"/>
          <w:i/>
          <w:iCs/>
          <w:spacing w:val="4"/>
          <w:sz w:val="24"/>
          <w:szCs w:val="24"/>
        </w:rPr>
        <w:t>i</w:t>
      </w:r>
      <w:r w:rsidRPr="00C22C3A">
        <w:rPr>
          <w:rFonts w:ascii="Times New Roman" w:hAnsi="Times New Roman" w:cs="Times New Roman"/>
          <w:spacing w:val="4"/>
          <w:sz w:val="24"/>
          <w:szCs w:val="24"/>
        </w:rPr>
        <w:t>” em IND) e dos usuários finais (da demanda final). Esses fluxos estão representados, por exemplo, pelos coeficientes V1BAS (consumo intermediário – firmas), V2BAS (investimento ou formação bruta de capital fixo). Vale destacar que os preços básicos (</w:t>
      </w:r>
      <w:r w:rsidRPr="00C22C3A">
        <w:rPr>
          <w:rFonts w:ascii="Times New Roman" w:hAnsi="Times New Roman" w:cs="Times New Roman"/>
          <w:i/>
          <w:iCs/>
          <w:spacing w:val="4"/>
          <w:sz w:val="24"/>
          <w:szCs w:val="24"/>
        </w:rPr>
        <w:t>pb</w:t>
      </w:r>
      <w:r w:rsidRPr="00C22C3A">
        <w:rPr>
          <w:rFonts w:ascii="Times New Roman" w:hAnsi="Times New Roman" w:cs="Times New Roman"/>
          <w:spacing w:val="4"/>
          <w:sz w:val="24"/>
          <w:szCs w:val="24"/>
        </w:rPr>
        <w:t>) mais margens e impostos líquidos de subsídios correspondem aos fluxos a preços de mercado (</w:t>
      </w:r>
      <w:r w:rsidRPr="00C22C3A">
        <w:rPr>
          <w:rFonts w:ascii="Times New Roman" w:hAnsi="Times New Roman" w:cs="Times New Roman"/>
          <w:i/>
          <w:iCs/>
          <w:spacing w:val="4"/>
          <w:sz w:val="24"/>
          <w:szCs w:val="24"/>
        </w:rPr>
        <w:t>pm</w:t>
      </w:r>
      <w:r w:rsidRPr="00C22C3A">
        <w:rPr>
          <w:rFonts w:ascii="Times New Roman" w:hAnsi="Times New Roman" w:cs="Times New Roman"/>
          <w:spacing w:val="4"/>
          <w:sz w:val="24"/>
          <w:szCs w:val="24"/>
        </w:rPr>
        <w:t>).</w:t>
      </w:r>
    </w:p>
    <w:p w:rsidR="00056F90" w:rsidRDefault="00056F90" w:rsidP="00FC4CE8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2C3A">
        <w:rPr>
          <w:rFonts w:ascii="Times New Roman" w:hAnsi="Times New Roman" w:cs="Times New Roman"/>
          <w:spacing w:val="4"/>
          <w:sz w:val="24"/>
          <w:szCs w:val="24"/>
        </w:rPr>
        <w:t>As tabelas 3 e 4 do IBGE trazem apenas os vetores da formação bruta de capital fixo (investimento), ao passo que o coeficiente V2BAS (investimentos) necessita de uma distribuição dos valores por indústria (“i” em IND). Portanto, em consonância com o modelo, os valores básicos de investimentos foram distribuídos a partir da estrutura de V1CAP (remunerações do capital – Excedente Operacional Bruto), resultando assim em três dimensões: COM x SRC x IND.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2C3A">
        <w:rPr>
          <w:rFonts w:ascii="Times New Roman" w:hAnsi="Times New Roman" w:cs="Times New Roman"/>
          <w:spacing w:val="4"/>
          <w:sz w:val="24"/>
          <w:szCs w:val="24"/>
        </w:rPr>
        <w:t>Os coeficientes representativos das margens (e.g. V1MAR), por seu turno, se traduzem na própria demanda por serviços de comércio e de transporte pelos setores e usuários finais (exceto estoque). Conceitualmente os bens que produzem margens têm por finalidade facilitar o fluxo de bens da sua origem de produção, domésticos ou importados, até o destino dos usuários. No entanto, nos dados do IBGE as margens também não estavam divididas por origens (doméstico e importado) e nem distribuídas por usuários (indústrias e usuários finais), conforme requerem, por exemplo, os coeficientes V1MAR e V2MAR. Como solução, primeiramente calculou-se a tarifa das margens de cada bem (margem / total valor básico) e, posteriormente, multiplicou-se com os valores básicos de origem doméstica (Tabela 3) e importada (Tabela 4). O procedimento adotado não se aplicou para o Governo e Variação de Estoque, uma vez que ambos os usuários, na prática, não são demandante de margens.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Os coeficientes de impostos, por sua vez, tratam a soma dos valores de IPI, ICMS e “Outros impostos menos subsídios” para todos os usuários (menos estoque). Embora o modelo permita o tratamento de incidência dos impostos sobre o fluxo das exportações, no caso brasileiro, tais exportações estão desoneradas por lei. Assim, a calibragem dos coeficientes representativos aos impostos sobre os fluxos básicos (e.g. V1TAX) teve um procedimento semelhante aos coeficientes das margens. Os vetores de IPI, ICMS e Outros Impostos (-Subsídios) da tabela 1 do IBGE também foram distribuídos por indústria, particularmente, para V1TAX e V2TAX e, nos demais coeficientes, apenas por origem (doméstico e importado), a partir das tarifas calculadas sobre o total do valor básico. A exceção a esse procedimento se concentrou no Governo, nas Exportações e nas Variações de Estoque, os quais não sofrem incidência de impostos.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Para calibrar os coeficientes dos fatores de produção no modelo, foi necessário recalcular a estrutura do valor adicionado bruto com base nos valores dos últimos anos, uma vez que dois setores apresentaram valores negativos na sua composição. Tais valores precisaram ser corrigidos porque a sua estrutura foi utilizada para a distribuição dos valores básicos de investimento (V2BAS). Com base na tabela 2 do IBGE, V1LAB(i,o) corresponde os salários e contribuições efetivas, V1CAP(i) refere-se ao excedente operacional bruto (EOB), V1PTX(i) representa “Outros impostos sobre a produção” e V1OCT(i) denota outros custos calculados de forma residual. Vale salientar que, em virtude da ausência de informações nas tabelas utilizadas, os elementos do coeficiente V1LND (remunerações fundiárias) mantiveram-se com valores nulos.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Modelos EGC utilizam em suas calibragens estimativas de elasticidades e parâmetros (i.e.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behavioral parameters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) extraídas diretamente da literatura. Em consonância com essa assertiva, foram utilizadas estimativas econométricas de parâmetros encontrados na literatura, sobretudo, para a calibragem das elasticidades ao modelo e às novas dimensões de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commodities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e setores do modelo. Em sua maioria, as estimativas dos parâmetros e elasticidades foram obtidas das estimativas econométricas contidas no Modelo de Equilíbrio Geral Computável Multi-Regional TERM-CEDEPLAR (CEDEPLAR, 2006).</w:t>
      </w:r>
      <w:r w:rsidRPr="00102117">
        <w:rPr>
          <w:rStyle w:val="FootnoteReference"/>
          <w:rFonts w:ascii="Times New Roman" w:hAnsi="Times New Roman" w:cs="Times New Roman"/>
          <w:spacing w:val="4"/>
          <w:sz w:val="24"/>
          <w:szCs w:val="24"/>
        </w:rPr>
        <w:footnoteReference w:id="3"/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A extensão regional do modelo para os 27 Estados brasileiros exibem coeficientes de participação que também necessitaram ser calibrados. A calibragem desses coeficientes é fundamental para garantir uma estrutura consistente de decomposição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top-down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estadual. Basicamente foram 7 coeficientes de participações estaduais, a saber: investimento (REGSHR2), consumo das famílias (REGSHR3), exportação (REGSHR4), outros (REGSHR5), estoques (REGSHR6) e oferta de bens e serviços (REGMAKE). As participações estaduais do coeficiente REGSHR2 foram calibradas a partir das informações de massa salarial oriundas da Relação Anual de Informações Sociais (RAIS). A construção dessa matriz exigiu a compatibilização entre as 614 categorias da Classe de Atividade Econômica segundo a classificação CNAE/95 (CNAE 1.0, revisada em 2002) e as 55 indústrias por Estado no ano de 2005.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De forma semelhante, para as calibragens dos coeficientes REGSHR5, REGSHR6 e REGMAKE foram compatibilizados as 614 categorias da CNAE/95 com as 110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commoditites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por Estado. Entretanto, nem todas as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commodities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do modelo foram compatíveis com as categorias CNEA/95, sendo, portanto, completadas por fontes de dados auxiliares (IBGE e ANP – Agência Nacional do Petróleo). Por exemplo, a distribuição estadual da produção de arroz em casca se baseou nas informações do IBGE, enquanto que as estrutura estadual do produto “Óleo combustível” teve como base os dados da ANP.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A calibragem do coeficiente de participação regional de exportação (REGSHR4) exigiu a compatibilização entre as 8831 mercadorias de Nomenclatura Comum do Mercosul (NCM), constantes no sistema AliceWeb do Ministério do Desenvolvimento da Indústria e Comércio, e as 110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commodities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do modelo. Essa compatibilização precisou ser trabalhada num nível de desagregação estadual para o ano de 2005. Por fim, para a calibragem do coeficiente de participação estadual do consumo das famílias (REGSHR3) foram adotados os dados da POF (Pesquisa de Orçamento Familiar) do IBGE.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A especificação de dinâmica recursiva requer dados de estoque de capital da economia brasileira de 2005. O Instituto de Pesquisa Econômica Aplicada (IPEA) fornece os valores do estoque de capital líquido a preços constantes de 2000, estimados por Moranti e Reis (2004). Com esses valores estima-se o estoque de capital setorial [CAPSTOK(i)] já inflacionada para 2005 com base no deflator implícito do capital fixo. A distribuição entre indústria do estoque de capital seguiu o procedimento de Haddad e Domingues (2001), o valor do estoque de capital é distribuído a partir da composição do valor básico de investimentos (V2BAS(i)).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Com esses valores especificados, calcula-se a razão entre o valor a preço de mercado do investimento e o estoque capital, homogêneo por setor. Esta razão computada é de 6,42% e define a taxa bruta de investimento [GROSSGRO(i)]:</w:t>
      </w:r>
    </w:p>
    <w:p w:rsidR="00056F90" w:rsidRPr="000F6914" w:rsidRDefault="00056F90" w:rsidP="00DE781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F6914">
        <w:rPr>
          <w:rFonts w:ascii="Times New Roman" w:hAnsi="Times New Roman" w:cs="Times New Roman"/>
          <w:spacing w:val="4"/>
          <w:sz w:val="24"/>
          <w:szCs w:val="24"/>
        </w:rPr>
        <w:t xml:space="preserve">GROSSGRO(i)=V2TOT(i)/CAPSTOK(i); </w:t>
      </w:r>
      <w:r w:rsidRPr="000F6914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F6914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F6914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F6914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F6914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F6914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F6914">
        <w:rPr>
          <w:rFonts w:ascii="Times New Roman" w:hAnsi="Times New Roman" w:cs="Times New Roman"/>
          <w:spacing w:val="4"/>
          <w:sz w:val="24"/>
          <w:szCs w:val="24"/>
        </w:rPr>
        <w:tab/>
        <w:t xml:space="preserve">           (1)</w:t>
      </w:r>
    </w:p>
    <w:p w:rsidR="00056F90" w:rsidRPr="00C22C3A" w:rsidRDefault="00056F90" w:rsidP="00DE781A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ou</w:t>
      </w:r>
    </w:p>
    <w:p w:rsidR="00056F90" w:rsidRPr="00BC05C2" w:rsidRDefault="00056F9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C05C2">
        <w:rPr>
          <w:rFonts w:ascii="Times New Roman" w:hAnsi="Times New Roman" w:cs="Times New Roman"/>
          <w:spacing w:val="4"/>
          <w:sz w:val="24"/>
          <w:szCs w:val="24"/>
        </w:rPr>
        <w:t>V2TOT(i)=GROSSGRO(i) * CAPSTOK(i)</w:t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  <w:t xml:space="preserve">           (2)</w:t>
      </w:r>
    </w:p>
    <w:p w:rsidR="00056F90" w:rsidRPr="00BC05C2" w:rsidRDefault="00056F9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Assumindo que esse valor representa uma tendência comportamental ao longo dos anos para todas as indústrias, foi possível usá-lo na calibragem do respectivo coeficiente tendencial [GROTREND(i)]. Assim, por hipótese, estabelece-se que a razão entre investimento e capital segue uma tendência secular, portanto, um estado estacionário de longo-prazo. O limite máximo [GROMAX(i)] desse coeficiente tendencial foi calibrado para ser três vezes [QRATIO(i] maior que o valor tendencial.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Aliada a essa especificação, assumimos que o crescimento econômico no estado estacionário da economia brasileira é de 3%. Assim, o estoque de capital adicionado [CAPADD(i)] no primeiro periodo cresce nessa taxa. Com isso temos:</w:t>
      </w:r>
    </w:p>
    <w:p w:rsidR="00056F90" w:rsidRPr="00BC05C2" w:rsidRDefault="00056F90" w:rsidP="004E2E60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C05C2">
        <w:rPr>
          <w:rFonts w:ascii="Times New Roman" w:hAnsi="Times New Roman" w:cs="Times New Roman"/>
          <w:spacing w:val="4"/>
          <w:sz w:val="24"/>
          <w:szCs w:val="24"/>
        </w:rPr>
        <w:t>CAPADD(i)=V2TOT(i)-DPRC(i)*CAPSTOK(i)</w:t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BC05C2">
        <w:rPr>
          <w:rFonts w:ascii="Times New Roman" w:hAnsi="Times New Roman" w:cs="Times New Roman"/>
          <w:spacing w:val="4"/>
          <w:sz w:val="24"/>
          <w:szCs w:val="24"/>
        </w:rPr>
        <w:tab/>
        <w:t xml:space="preserve">          (3)</w:t>
      </w:r>
    </w:p>
    <w:p w:rsidR="00056F90" w:rsidRDefault="00056F9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Substituindo (</w:t>
      </w:r>
      <w:r>
        <w:rPr>
          <w:rFonts w:ascii="Times New Roman" w:hAnsi="Times New Roman" w:cs="Times New Roman"/>
          <w:spacing w:val="4"/>
          <w:sz w:val="24"/>
          <w:szCs w:val="24"/>
        </w:rPr>
        <w:t>1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) em (</w:t>
      </w:r>
      <w:r>
        <w:rPr>
          <w:rFonts w:ascii="Times New Roman" w:hAnsi="Times New Roman" w:cs="Times New Roman"/>
          <w:spacing w:val="4"/>
          <w:sz w:val="24"/>
          <w:szCs w:val="24"/>
        </w:rPr>
        <w:t>2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):</w:t>
      </w:r>
    </w:p>
    <w:p w:rsidR="00056F90" w:rsidRPr="00C22C3A" w:rsidRDefault="00056F9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CAPADD(i)= [GROSSGRO(i) - DPRC(i)] * CAPSTOK(i)</w:t>
      </w:r>
    </w:p>
    <w:p w:rsidR="00056F90" w:rsidRPr="00C22C3A" w:rsidRDefault="00056F9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ou</w:t>
      </w:r>
    </w:p>
    <w:p w:rsidR="00056F90" w:rsidRPr="00C22C3A" w:rsidRDefault="00056F9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CAPADD(i)/ CAPSTOK(i)= [GROSSGRO(i) - DPRC(i)]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                               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spacing w:val="4"/>
          <w:sz w:val="24"/>
          <w:szCs w:val="24"/>
        </w:rPr>
        <w:t>4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)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Se o estoque do capital adicionado cresce por hipótese 3% [CAPADD(i)/ CAPSTOK(i)] e se a razão entre investimento e capital é de 6,42% [GROSSGRO(i)], então a taxa de depreciação [DPRC(i)] calibrada no modelo resulta em 3,42%. Resumidamente, o modelo foi calibrado com um estado estacionário de 3%, sustentado por uma taxa de depreciação do capital na ordem de 3,42%. Esse percentual está muito próximo a taxa de 3,5% usada em Oreiro 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et alii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 (2004). Esses autores se basearam na estimativa de Romer (2001) de uma taxa de depreciação do estoque de capital para a economia americana entre 3 a 4%. Haddad e Domingues (2001), aplicando o modelo de equilíbrio geral EFES (</w:t>
      </w:r>
      <w:r w:rsidRPr="00102117">
        <w:rPr>
          <w:rFonts w:ascii="Times New Roman" w:hAnsi="Times New Roman" w:cs="Times New Roman"/>
          <w:i/>
          <w:iCs/>
          <w:spacing w:val="4"/>
          <w:sz w:val="24"/>
          <w:szCs w:val="24"/>
        </w:rPr>
        <w:t>Economic Forecasting Equilibrium System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>), usaram uma taxa implícita de 3,7%. Portanto, os trabalhos evidenciados ratificam a taxa de depreciação calculada endogenamente no nosso modelo.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>De forma similar ao modelo ORANIG-RD, calibramos a taxa normal bruta de retorno do investimento (RNORMAL) com base na relação entre rentabilidade do capital (V1CAP) e estoque do capital medido a preço corrente (CAPSTOCK). Portanto, a taxa normal bruta de retorno do investimento computada foi de 14,3%. Por hipótese, admite-se que essa taxa seja a esperada no mecanismo de acumulação de capital, ou seja, a taxa esperada de retorno do investimento [GRETEXP(i)] não difere ao seu estado normal quando avaliado no estado estacionário da economia. Em virtude da ausência na literatura da elasticidade de investimento para o Brasil, considerou-se o valor utilizado pelo modelo ORANIG-RD.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3"/>
          <w:szCs w:val="23"/>
        </w:rPr>
      </w:pP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O ajuste inter-temporal do mercado de trabalho  foi calibrado de forma que no estado estacionário não há divergência entre o nível de emprego atual e o tendencial, sendo, portanto, a variação do salário real igual a taxa de crescimento econômico. Assim, a razão entre o nível de emprego atual e tendencial foi calibrada no </w:t>
      </w:r>
      <w:r>
        <w:rPr>
          <w:rFonts w:ascii="Times New Roman" w:hAnsi="Times New Roman" w:cs="Times New Roman"/>
          <w:spacing w:val="4"/>
          <w:sz w:val="24"/>
          <w:szCs w:val="24"/>
        </w:rPr>
        <w:t>perí</w:t>
      </w:r>
      <w:r w:rsidRPr="00102117">
        <w:rPr>
          <w:rFonts w:ascii="Times New Roman" w:hAnsi="Times New Roman" w:cs="Times New Roman"/>
          <w:spacing w:val="4"/>
          <w:sz w:val="24"/>
          <w:szCs w:val="24"/>
        </w:rPr>
        <w:t xml:space="preserve">odo inicial como 1 (EMPRAT=1). A elasticidade salário-emprego foi calibrada com um valor de 0,5 (ELASTWAGE), cujo valor se aproxima aos calibrados por Carneiro e Duarte (2001), que empregaram 0,58 para a </w:t>
      </w:r>
      <w:r w:rsidRPr="00102117">
        <w:rPr>
          <w:rFonts w:ascii="Times New Roman" w:hAnsi="Times New Roman" w:cs="Times New Roman"/>
          <w:spacing w:val="4"/>
          <w:sz w:val="23"/>
          <w:szCs w:val="23"/>
        </w:rPr>
        <w:t>elasticidade da desutilidade marginal do trabalho em relação à oferta de trabalho.</w:t>
      </w:r>
    </w:p>
    <w:p w:rsidR="00056F90" w:rsidRDefault="00056F9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3"/>
          <w:szCs w:val="23"/>
        </w:rPr>
      </w:pPr>
    </w:p>
    <w:p w:rsidR="00056F90" w:rsidRPr="006C7743" w:rsidRDefault="00056F90" w:rsidP="006C77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6C7743">
        <w:rPr>
          <w:rFonts w:ascii="Times New Roman" w:hAnsi="Times New Roman" w:cs="Times New Roman"/>
          <w:b/>
          <w:bCs/>
          <w:spacing w:val="4"/>
          <w:sz w:val="24"/>
          <w:szCs w:val="24"/>
        </w:rPr>
        <w:t>ANEXO 2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. Especificação recursiva no modelo BRIDGE</w:t>
      </w:r>
    </w:p>
    <w:p w:rsidR="00056F90" w:rsidRPr="006C7743" w:rsidRDefault="00056F90" w:rsidP="006C77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No modelo BRIDGE, a</w:t>
      </w:r>
      <w:r w:rsidRPr="006C7743">
        <w:rPr>
          <w:rFonts w:ascii="Times New Roman" w:hAnsi="Times New Roman" w:cs="Times New Roman"/>
          <w:spacing w:val="-2"/>
          <w:sz w:val="24"/>
          <w:szCs w:val="24"/>
        </w:rPr>
        <w:t xml:space="preserve"> acumulação de capital físico pode ser formalizar matematicamente da seguinte maneira (DIXON e RIMMER, 2002):</w:t>
      </w: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3360" w:dyaOrig="380">
          <v:shape id="_x0000_i1042" type="#_x0000_t75" style="width:168pt;height:19.5pt" o:ole="">
            <v:imagedata r:id="rId31" o:title=""/>
          </v:shape>
          <o:OLEObject Type="Embed" ProgID="Equation.3" ShapeID="_x0000_i1042" DrawAspect="Content" ObjectID="_1340804094" r:id="rId32"/>
        </w:object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(5)</w:t>
      </w:r>
    </w:p>
    <w:p w:rsidR="00056F90" w:rsidRPr="006C7743" w:rsidRDefault="00056F90" w:rsidP="006C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>na qual: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600" w:dyaOrig="380">
          <v:shape id="_x0000_i1043" type="#_x0000_t75" style="width:30.75pt;height:19.5pt" o:ole="">
            <v:imagedata r:id="rId33" o:title=""/>
          </v:shape>
          <o:OLEObject Type="Embed" ProgID="Equation.3" ShapeID="_x0000_i1043" DrawAspect="Content" ObjectID="_1340804095" r:id="rId34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a quantidade de capital disponível na indústria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 durante 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>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4" type="#_x0000_t75" style="width:25.5pt;height:19.5pt" o:ole="">
            <v:imagedata r:id="rId35" o:title=""/>
          </v:shape>
          <o:OLEObject Type="Embed" ProgID="Equation.3" ShapeID="_x0000_i1044" DrawAspect="Content" ObjectID="_1340804096" r:id="rId36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investimento da indústria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 durante 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 xml:space="preserve">; e 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45" type="#_x0000_t75" style="width:15.75pt;height:19.5pt" o:ole="">
            <v:imagedata r:id="rId37" o:title=""/>
          </v:shape>
          <o:OLEObject Type="Embed" ProgID="Equation.3" ShapeID="_x0000_i1045" DrawAspect="Content" ObjectID="_1340804097" r:id="rId38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a taxa de depreciação, tratada como um parâmetro conhecido.</w:t>
      </w:r>
    </w:p>
    <w:p w:rsidR="00056F90" w:rsidRPr="006C7743" w:rsidRDefault="00056F90" w:rsidP="006C77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>Com estoque inicial de [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C77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>(0)] e com mecanismo para determinar o investimento [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C77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>(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 xml:space="preserve">)], a equação (5) pode ser usada para esboçar o caminho do estoque de capital em 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>Retirando os subscritos de tempo para simplificar a notação, tem-se:</w:t>
      </w: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3580" w:dyaOrig="380">
          <v:shape id="_x0000_i1046" type="#_x0000_t75" style="width:179.25pt;height:19.5pt" o:ole="">
            <v:imagedata r:id="rId39" o:title=""/>
          </v:shape>
          <o:OLEObject Type="Embed" ProgID="Equation.3" ShapeID="_x0000_i1046" DrawAspect="Content" ObjectID="_1340804098" r:id="rId40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  <w:t>(6)</w:t>
      </w: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>em que: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1260" w:dyaOrig="380">
          <v:shape id="_x0000_i1047" type="#_x0000_t75" style="width:61.5pt;height:19.5pt" o:ole="">
            <v:imagedata r:id="rId41" o:title=""/>
          </v:shape>
          <o:OLEObject Type="Embed" ProgID="Equation.3" ShapeID="_x0000_i1047" DrawAspect="Content" ObjectID="_1340804099" r:id="rId42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a taxa de retorno esperada no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 xml:space="preserve"> para os proprietários de capital de 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>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1080" w:dyaOrig="380">
          <v:shape id="_x0000_i1048" type="#_x0000_t75" style="width:54.75pt;height:19.5pt" o:ole="">
            <v:imagedata r:id="rId43" o:title=""/>
          </v:shape>
          <o:OLEObject Type="Embed" ProgID="Equation.3" ShapeID="_x0000_i1048" DrawAspect="Content" ObjectID="_1340804100" r:id="rId44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a taxa de retorno de equilíbrio esperada, isto é, a taxa esperada de retorno exigida para sustentar indefinidamente a taxa corrente de crescimento do capital em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>, e;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28"/>
          <w:sz w:val="24"/>
          <w:szCs w:val="24"/>
        </w:rPr>
        <w:object w:dxaOrig="840" w:dyaOrig="520">
          <v:shape id="_x0000_i1049" type="#_x0000_t75" style="width:41.25pt;height:25.5pt" o:ole="">
            <v:imagedata r:id="rId45" o:title=""/>
          </v:shape>
          <o:OLEObject Type="Embed" ProgID="Equation.3" ShapeID="_x0000_i1049" DrawAspect="Content" ObjectID="_1340804101" r:id="rId46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a medida de desequilíbrio na taxa de retorno corrente de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>.</w:t>
      </w:r>
    </w:p>
    <w:p w:rsidR="00056F90" w:rsidRPr="006C7743" w:rsidRDefault="00056F90" w:rsidP="006C77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 xml:space="preserve">Na maioria das aplicações de modelos dinâmicos de EGC, o mecanismo para determinar o investimento em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 pode ser representado por: </w:t>
      </w:r>
    </w:p>
    <w:p w:rsidR="00056F90" w:rsidRPr="006C7743" w:rsidRDefault="00056F90" w:rsidP="006C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32"/>
          <w:sz w:val="24"/>
          <w:szCs w:val="24"/>
        </w:rPr>
        <w:object w:dxaOrig="6940" w:dyaOrig="740">
          <v:shape id="_x0000_i1050" type="#_x0000_t75" style="width:347.25pt;height:36.75pt" o:ole="">
            <v:imagedata r:id="rId47" o:title=""/>
          </v:shape>
          <o:OLEObject Type="Embed" ProgID="Equation.3" ShapeID="_x0000_i1050" DrawAspect="Content" ObjectID="_1340804102" r:id="rId48"/>
        </w:object>
      </w:r>
      <w:r w:rsidRPr="006C77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(7)</w:t>
      </w: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>e</w:t>
      </w:r>
    </w:p>
    <w:p w:rsidR="00056F90" w:rsidRPr="006C7743" w:rsidRDefault="00056F90" w:rsidP="006C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34"/>
          <w:sz w:val="24"/>
          <w:szCs w:val="24"/>
        </w:rPr>
        <w:object w:dxaOrig="3240" w:dyaOrig="800">
          <v:shape id="_x0000_i1051" type="#_x0000_t75" style="width:162pt;height:39.75pt" o:ole="">
            <v:imagedata r:id="rId49" o:title=""/>
          </v:shape>
          <o:OLEObject Type="Embed" ProgID="Equation.3" ShapeID="_x0000_i1051" DrawAspect="Content" ObjectID="_1340804103" r:id="rId50"/>
        </w:object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C77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(8)</w:t>
      </w: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 xml:space="preserve">na qual: 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52" type="#_x0000_t75" style="width:12.75pt;height:17.25pt" o:ole="">
            <v:imagedata r:id="rId51" o:title=""/>
          </v:shape>
          <o:OLEObject Type="Embed" ProgID="Equation.3" ShapeID="_x0000_i1052" DrawAspect="Content" ObjectID="_1340804104" r:id="rId52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denota a expectativa no ano t;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880" w:dyaOrig="380">
          <v:shape id="_x0000_i1053" type="#_x0000_t75" style="width:42.75pt;height:19.5pt" o:ole="">
            <v:imagedata r:id="rId53" o:title=""/>
          </v:shape>
          <o:OLEObject Type="Embed" ProgID="Equation.3" ShapeID="_x0000_i1053" DrawAspect="Content" ObjectID="_1340804105" r:id="rId54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a taxa de retorno do investimento na indústria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 realizado no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>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859" w:dyaOrig="380">
          <v:shape id="_x0000_i1054" type="#_x0000_t75" style="width:43.5pt;height:19.5pt" o:ole="">
            <v:imagedata r:id="rId55" o:title=""/>
          </v:shape>
          <o:OLEObject Type="Embed" ProgID="Equation.3" ShapeID="_x0000_i1054" DrawAspect="Content" ObjectID="_1340804106" r:id="rId56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representam o retorno sobre o capital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 no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 xml:space="preserve"> + 1;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55" type="#_x0000_t75" style="width:9.75pt;height:9.75pt" o:ole="">
            <v:imagedata r:id="rId57" o:title=""/>
          </v:shape>
          <o:OLEObject Type="Embed" ProgID="Equation.3" ShapeID="_x0000_i1055" DrawAspect="Content" ObjectID="_1340804107" r:id="rId58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a taxa de juros;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580" w:dyaOrig="380">
          <v:shape id="_x0000_i1056" type="#_x0000_t75" style="width:28.5pt;height:19.5pt" o:ole="">
            <v:imagedata r:id="rId59" o:title=""/>
          </v:shape>
          <o:OLEObject Type="Embed" ProgID="Equation.3" ShapeID="_x0000_i1056" DrawAspect="Content" ObjectID="_1340804108" r:id="rId60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é o custo de uma unidade extra de capital instalado na indústria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6C7743">
        <w:rPr>
          <w:rFonts w:ascii="Times New Roman" w:hAnsi="Times New Roman" w:cs="Times New Roman"/>
          <w:sz w:val="24"/>
          <w:szCs w:val="24"/>
        </w:rPr>
        <w:t xml:space="preserve">no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>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57" type="#_x0000_t75" style="width:15.75pt;height:19.5pt" o:ole="">
            <v:imagedata r:id="rId61" o:title=""/>
          </v:shape>
          <o:OLEObject Type="Embed" ProgID="Equation.3" ShapeID="_x0000_i1057" DrawAspect="Content" ObjectID="_1340804109" r:id="rId62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é uma função não-decrescente.</w:t>
      </w:r>
    </w:p>
    <w:p w:rsidR="00056F90" w:rsidRPr="006C7743" w:rsidRDefault="00056F90" w:rsidP="006C77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 xml:space="preserve">A equação (7) define a taxa de retorno esperada da indústria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 no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 xml:space="preserve"> como o valor presente de um real extra de investimento, isto é, um real de investimento compra </w:t>
      </w: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58" type="#_x0000_t75" style="width:39.75pt;height:19.5pt" o:ole="">
            <v:imagedata r:id="rId63" o:title=""/>
          </v:shape>
          <o:OLEObject Type="Embed" ProgID="Equation.3" ShapeID="_x0000_i1058" DrawAspect="Content" ObjectID="_1340804110" r:id="rId64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unidades de capital no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 xml:space="preserve">. Além disso, diante dessa equação, espera-se gerar uma renda no ano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7743">
        <w:rPr>
          <w:rFonts w:ascii="Times New Roman" w:hAnsi="Times New Roman" w:cs="Times New Roman"/>
          <w:sz w:val="24"/>
          <w:szCs w:val="24"/>
        </w:rPr>
        <w:t xml:space="preserve"> +1 de </w:t>
      </w: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1920" w:dyaOrig="380">
          <v:shape id="_x0000_i1059" type="#_x0000_t75" style="width:96pt;height:19.5pt" o:ole="">
            <v:imagedata r:id="rId65" o:title=""/>
          </v:shape>
          <o:OLEObject Type="Embed" ProgID="Equation.3" ShapeID="_x0000_i1059" DrawAspect="Content" ObjectID="_1340804111" r:id="rId66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e reduzir a necessidade de gastos em investimento em </w:t>
      </w: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2860" w:dyaOrig="380">
          <v:shape id="_x0000_i1060" type="#_x0000_t75" style="width:141.75pt;height:19.5pt" o:ole="">
            <v:imagedata r:id="rId67" o:title=""/>
          </v:shape>
          <o:OLEObject Type="Embed" ProgID="Equation.3" ShapeID="_x0000_i1060" DrawAspect="Content" ObjectID="_1340804112" r:id="rId68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. A equação (4), por sua vez, define uma curva de oferta-investimento e mostra que a taxa de retorno exigida pelos investidores quando eles gastam um real extra na indústria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 depende da taxa de crescimento do estoque de capital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. Essa equação tem por hipótese a redução da disponibilidade de fundos de investimento de tal modo que, diante da inclinação positiva da função </w:t>
      </w:r>
      <w:r w:rsidRPr="006C7743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61" type="#_x0000_t75" style="width:15.75pt;height:19.5pt" o:ole="">
            <v:imagedata r:id="rId61" o:title=""/>
          </v:shape>
          <o:OLEObject Type="Embed" ProgID="Equation.3" ShapeID="_x0000_i1061" DrawAspect="Content" ObjectID="_1340804113" r:id="rId69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, a indústria </w:t>
      </w:r>
      <w:r w:rsidRPr="006C774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7743">
        <w:rPr>
          <w:rFonts w:ascii="Times New Roman" w:hAnsi="Times New Roman" w:cs="Times New Roman"/>
          <w:sz w:val="24"/>
          <w:szCs w:val="24"/>
        </w:rPr>
        <w:t xml:space="preserve"> atraí consideráveis fundos de investimento dado uma alta taxa de crescimento do capital, e, com isso, provoca a alta na taxa esperada de retorno para atrair o investidor marginal</w:t>
      </w:r>
      <w:r w:rsidRPr="006C7743">
        <w:rPr>
          <w:rFonts w:ascii="Times New Roman" w:hAnsi="Times New Roman" w:cs="Times New Roman"/>
          <w:spacing w:val="-2"/>
          <w:sz w:val="24"/>
          <w:szCs w:val="24"/>
        </w:rPr>
        <w:t xml:space="preserve"> Cabe notar que é usual assumir que a oferta de fundos de investimento é infinitamente elástica em relação à taxa de juros.</w:t>
      </w:r>
      <w:r w:rsidRPr="006C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90" w:rsidRPr="006C7743" w:rsidRDefault="00056F90" w:rsidP="006C77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sz w:val="24"/>
          <w:szCs w:val="24"/>
        </w:rPr>
        <w:t>O mercado de trabalho pode ser definido matematicamente como:</w:t>
      </w: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6C7743" w:rsidRDefault="00056F90" w:rsidP="006C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32"/>
          <w:sz w:val="24"/>
          <w:szCs w:val="24"/>
        </w:rPr>
        <w:object w:dxaOrig="2500" w:dyaOrig="760">
          <v:shape id="_x0000_i1062" type="#_x0000_t75" style="width:123.75pt;height:38.25pt" o:ole="">
            <v:imagedata r:id="rId70" o:title=""/>
          </v:shape>
          <o:OLEObject Type="Embed" ProgID="Equation.3" ShapeID="_x0000_i1062" DrawAspect="Content" ObjectID="_1340804114" r:id="rId71"/>
        </w:object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6C774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  <w:t>(9)</w:t>
      </w:r>
    </w:p>
    <w:p w:rsidR="00056F90" w:rsidRPr="006C7743" w:rsidRDefault="00056F90" w:rsidP="006C7743">
      <w:pPr>
        <w:spacing w:after="0" w:line="240" w:lineRule="auto"/>
        <w:jc w:val="both"/>
        <w:rPr>
          <w:rFonts w:ascii="Times New Roman" w:hAnsi="Times New Roman" w:cs="Times New Roman"/>
          <w:position w:val="-34"/>
          <w:sz w:val="24"/>
          <w:szCs w:val="24"/>
        </w:rPr>
      </w:pPr>
      <w:r w:rsidRPr="006C7743">
        <w:rPr>
          <w:rFonts w:ascii="Times New Roman" w:hAnsi="Times New Roman" w:cs="Times New Roman"/>
          <w:position w:val="-34"/>
          <w:sz w:val="24"/>
          <w:szCs w:val="24"/>
        </w:rPr>
        <w:t>em que: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3" type="#_x0000_t75" style="width:11.25pt;height:12.75pt" o:ole="">
            <v:imagedata r:id="rId72" o:title=""/>
          </v:shape>
          <o:OLEObject Type="Embed" ProgID="Equation.3" ShapeID="_x0000_i1063" DrawAspect="Content" ObjectID="_1340804115" r:id="rId73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corresponde ao nível de emprego atual;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4" type="#_x0000_t75" style="width:11.25pt;height:12.75pt" o:ole="">
            <v:imagedata r:id="rId74" o:title=""/>
          </v:shape>
          <o:OLEObject Type="Embed" ProgID="Equation.3" ShapeID="_x0000_i1064" DrawAspect="Content" ObjectID="_1340804116" r:id="rId75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representa ao nível de emprego tendencial; e</w:t>
      </w:r>
    </w:p>
    <w:p w:rsidR="00056F90" w:rsidRPr="006C7743" w:rsidRDefault="00056F90" w:rsidP="006C7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743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65" type="#_x0000_t75" style="width:12.75pt;height:11.25pt" o:ole="">
            <v:imagedata r:id="rId76" o:title=""/>
          </v:shape>
          <o:OLEObject Type="Embed" ProgID="Equation.3" ShapeID="_x0000_i1065" DrawAspect="Content" ObjectID="_1340804117" r:id="rId77"/>
        </w:object>
      </w:r>
      <w:r w:rsidRPr="006C7743">
        <w:rPr>
          <w:rFonts w:ascii="Times New Roman" w:hAnsi="Times New Roman" w:cs="Times New Roman"/>
          <w:sz w:val="24"/>
          <w:szCs w:val="24"/>
        </w:rPr>
        <w:t xml:space="preserve"> refere-se ao salário real.</w:t>
      </w:r>
    </w:p>
    <w:p w:rsidR="00056F90" w:rsidRPr="006C7743" w:rsidRDefault="00056F90" w:rsidP="006C774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Default="00056F90" w:rsidP="00E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ANEXO 3</w:t>
      </w:r>
    </w:p>
    <w:p w:rsidR="00056F90" w:rsidRPr="001B457B" w:rsidRDefault="00056F90" w:rsidP="00335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Default="00056F90" w:rsidP="001B45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variações da produção doméstica de um determinado bem nas simulações podem decorrer de três causas: </w:t>
      </w:r>
    </w:p>
    <w:p w:rsidR="00056F90" w:rsidRDefault="00056F90" w:rsidP="00421CAB">
      <w:pPr>
        <w:numPr>
          <w:ilvl w:val="0"/>
          <w:numId w:val="10"/>
          <w:numberingChange w:id="4" w:author="Unknown" w:date="2010-07-16T16:48:00Z" w:original="%1:1:2:)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efeito do mercado local, que captura as variações no uso local, tanto de bens produzidos domesticamente quanto importados.</w:t>
      </w:r>
      <w:r w:rsidRPr="00421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90" w:rsidRPr="00421CAB" w:rsidRDefault="00056F90" w:rsidP="00421CAB">
      <w:pPr>
        <w:numPr>
          <w:ilvl w:val="0"/>
          <w:numId w:val="10"/>
          <w:numberingChange w:id="5" w:author="Unknown" w:date="2010-07-16T16:48:00Z" w:original="%1:1:2:)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efeito da participação doméstica, que se refere à mudança de composição do uso local do bem entre as origens domésticas e importadas. </w:t>
      </w:r>
    </w:p>
    <w:p w:rsidR="00056F90" w:rsidRDefault="00056F90" w:rsidP="001B457B">
      <w:pPr>
        <w:numPr>
          <w:ilvl w:val="0"/>
          <w:numId w:val="10"/>
          <w:numberingChange w:id="6" w:author="Unknown" w:date="2010-07-16T16:48:00Z" w:original="%1:3:2:)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efeito das exportações, que identifica as variações neste componente.</w:t>
      </w:r>
    </w:p>
    <w:p w:rsidR="00056F90" w:rsidRDefault="00056F90" w:rsidP="00F776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Estes três componentes podem seguir direções</w:t>
      </w:r>
      <w:r w:rsidRPr="00F77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distintas. Um aumento da demanda externa, por exemplo, pode deslocar a curva de oferta de um determinado bem, aumentando assim o preço no mercado interno, o que por sua vez, incentivaria as importações. A decomposição, desta forma, pretende mostrar a magnitude destas contribuições para variação da produção de determinado bem.</w:t>
      </w:r>
    </w:p>
    <w:p w:rsidR="00056F90" w:rsidRDefault="00056F90" w:rsidP="008474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Matematicamente, tem-se 3 equações para cada um dos efeitos citados:</w:t>
      </w:r>
    </w:p>
    <w:p w:rsidR="00056F90" w:rsidRDefault="00056F90" w:rsidP="008474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equação 10 define que a mudança percentual nas vendas locais para ambas as origens (doméstica e importada) representada por x0loc(c), ponderada pelo valor das vendas domésticas locais (DOMSALES(c)) fornece o componente do mercado local na decomposição da produção doméstica. (INITSALES(c)) corresponde ao valor inicial das vendas totais, atualizadas pelas alterações de preços do modelo. Assim, tem-se: </w:t>
      </w:r>
    </w:p>
    <w:p w:rsidR="00056F90" w:rsidRDefault="00056F90" w:rsidP="008474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6F90" w:rsidRPr="00B030E1" w:rsidRDefault="00056F90" w:rsidP="008A31AE">
      <w:pPr>
        <w:spacing w:after="0" w:line="240" w:lineRule="auto"/>
        <w:ind w:firstLine="360"/>
        <w:jc w:val="both"/>
      </w:pPr>
      <w:r w:rsidRPr="008A31AE">
        <w:rPr>
          <w:rFonts w:ascii="Times New Roman" w:hAnsi="Times New Roman" w:cs="Times New Roman"/>
          <w:position w:val="-10"/>
          <w:sz w:val="24"/>
          <w:szCs w:val="24"/>
        </w:rPr>
        <w:object w:dxaOrig="7300" w:dyaOrig="320">
          <v:shape id="_x0000_i1066" type="#_x0000_t75" style="width:361.5pt;height:15.75pt" o:ole="">
            <v:imagedata r:id="rId78" o:title=""/>
          </v:shape>
          <o:OLEObject Type="Embed" ProgID="Equation.3" ShapeID="_x0000_i1066" DrawAspect="Content" ObjectID="_1340804118" r:id="rId7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7743">
        <w:rPr>
          <w:rFonts w:ascii="Times New Roman" w:hAnsi="Times New Roman" w:cs="Times New Roman"/>
          <w:sz w:val="24"/>
          <w:szCs w:val="24"/>
        </w:rPr>
        <w:t xml:space="preserve">  </w:t>
      </w:r>
      <w:r w:rsidRPr="006C7743"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C7743">
        <w:rPr>
          <w:rFonts w:ascii="Times New Roman" w:hAnsi="Times New Roman" w:cs="Times New Roman"/>
          <w:sz w:val="24"/>
          <w:szCs w:val="24"/>
        </w:rPr>
        <w:t>)</w:t>
      </w:r>
    </w:p>
    <w:p w:rsidR="00056F90" w:rsidRDefault="00056F90" w:rsidP="006B47CF">
      <w:pPr>
        <w:spacing w:after="0" w:line="240" w:lineRule="auto"/>
        <w:ind w:firstLine="360"/>
        <w:jc w:val="both"/>
        <w:rPr>
          <w:rFonts w:ascii="Times New Roman" w:hAnsi="Times New Roman" w:cs="Times New Roman"/>
          <w:position w:val="-14"/>
          <w:sz w:val="24"/>
          <w:szCs w:val="24"/>
        </w:rPr>
      </w:pPr>
    </w:p>
    <w:p w:rsidR="00056F90" w:rsidRPr="00004DAB" w:rsidRDefault="00056F90" w:rsidP="006B47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4DAB">
        <w:rPr>
          <w:rFonts w:ascii="Times New Roman" w:hAnsi="Times New Roman" w:cs="Times New Roman"/>
          <w:sz w:val="24"/>
          <w:szCs w:val="24"/>
        </w:rPr>
        <w:t>De forma similar, o efeito de composição doméstico/importado é tido dividindo-se as vendas domésticas locais ponderadas pela taxa entre o uso do bem considerando as origens: doméstic</w:t>
      </w:r>
      <w:r>
        <w:rPr>
          <w:rFonts w:ascii="Times New Roman" w:hAnsi="Times New Roman" w:cs="Times New Roman"/>
          <w:sz w:val="24"/>
          <w:szCs w:val="24"/>
        </w:rPr>
        <w:t>a e importada</w:t>
      </w:r>
      <w:r w:rsidRPr="00004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(sdom(c)),</w:t>
      </w:r>
    </w:p>
    <w:p w:rsidR="00056F90" w:rsidRPr="00B030E1" w:rsidRDefault="00056F90" w:rsidP="000C285B">
      <w:pPr>
        <w:spacing w:after="0" w:line="240" w:lineRule="auto"/>
        <w:ind w:firstLine="360"/>
        <w:jc w:val="both"/>
      </w:pPr>
      <w:r w:rsidRPr="00004DAB">
        <w:rPr>
          <w:rFonts w:ascii="Times New Roman" w:hAnsi="Times New Roman" w:cs="Times New Roman"/>
          <w:position w:val="-10"/>
          <w:sz w:val="24"/>
          <w:szCs w:val="24"/>
        </w:rPr>
        <w:object w:dxaOrig="8000" w:dyaOrig="320">
          <v:shape id="_x0000_i1067" type="#_x0000_t75" style="width:396pt;height:15.75pt" o:ole="">
            <v:imagedata r:id="rId80" o:title=""/>
          </v:shape>
          <o:OLEObject Type="Embed" ProgID="Equation.3" ShapeID="_x0000_i1067" DrawAspect="Content" ObjectID="_1340804119" r:id="rId81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C774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C7743">
        <w:rPr>
          <w:rFonts w:ascii="Times New Roman" w:hAnsi="Times New Roman" w:cs="Times New Roman"/>
          <w:sz w:val="24"/>
          <w:szCs w:val="24"/>
        </w:rPr>
        <w:t>)</w:t>
      </w:r>
    </w:p>
    <w:p w:rsidR="00056F90" w:rsidRPr="008A31AE" w:rsidRDefault="00056F90" w:rsidP="00F776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por fim, a equação 12 explica o componente de exportações, onde V4BAS(c) que representa o fluxo de exportações, ponderado pela demanda por exportações x4(c), fornece o efeito das exportações para a decomposição da variação do produção.</w:t>
      </w:r>
    </w:p>
    <w:p w:rsidR="00056F90" w:rsidRPr="00B030E1" w:rsidRDefault="00056F90" w:rsidP="000C285B">
      <w:pPr>
        <w:spacing w:after="0" w:line="240" w:lineRule="auto"/>
        <w:ind w:firstLine="360"/>
        <w:jc w:val="both"/>
      </w:pPr>
      <w:r w:rsidRPr="00C31208">
        <w:rPr>
          <w:rFonts w:ascii="Times New Roman" w:hAnsi="Times New Roman" w:cs="Times New Roman"/>
          <w:position w:val="-10"/>
          <w:sz w:val="24"/>
          <w:szCs w:val="24"/>
        </w:rPr>
        <w:object w:dxaOrig="5920" w:dyaOrig="320">
          <v:shape id="_x0000_i1068" type="#_x0000_t75" style="width:296.25pt;height:15.75pt" o:ole="">
            <v:imagedata r:id="rId82" o:title=""/>
          </v:shape>
          <o:OLEObject Type="Embed" ProgID="Equation.3" ShapeID="_x0000_i1068" DrawAspect="Content" ObjectID="_1340804120" r:id="rId83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7743">
        <w:rPr>
          <w:rFonts w:ascii="Times New Roman" w:hAnsi="Times New Roman" w:cs="Times New Roman"/>
          <w:sz w:val="24"/>
          <w:szCs w:val="24"/>
        </w:rPr>
        <w:t xml:space="preserve">  </w:t>
      </w:r>
      <w:r w:rsidRPr="006C77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774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C7743">
        <w:rPr>
          <w:rFonts w:ascii="Times New Roman" w:hAnsi="Times New Roman" w:cs="Times New Roman"/>
          <w:sz w:val="24"/>
          <w:szCs w:val="24"/>
        </w:rPr>
        <w:t>)</w:t>
      </w:r>
    </w:p>
    <w:p w:rsidR="00056F90" w:rsidRPr="008A31AE" w:rsidRDefault="00056F90" w:rsidP="00CA4264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056F90" w:rsidRDefault="00056F90" w:rsidP="00E419A2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ANEXO 4</w:t>
      </w:r>
      <w:r w:rsidRPr="006C7743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: </w:t>
      </w:r>
      <w:r w:rsidRPr="006C7743">
        <w:rPr>
          <w:rFonts w:ascii="Times New Roman" w:hAnsi="Times New Roman" w:cs="Times New Roman"/>
          <w:spacing w:val="4"/>
          <w:sz w:val="24"/>
          <w:szCs w:val="24"/>
        </w:rPr>
        <w:t>Compatibilização e classificação entre setores da FUNCEX e do modelo EGC para os choques de exportações e importações</w:t>
      </w:r>
    </w:p>
    <w:p w:rsidR="00056F90" w:rsidRPr="006C7743" w:rsidRDefault="00056F90" w:rsidP="00E419A2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056F90" w:rsidRPr="006C7743" w:rsidRDefault="00056F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9F3EDD">
        <w:rPr>
          <w:rFonts w:ascii="Times New Roman" w:hAnsi="Times New Roman" w:cs="Times New Roman"/>
          <w:noProof/>
          <w:spacing w:val="4"/>
          <w:sz w:val="24"/>
          <w:szCs w:val="24"/>
          <w:lang w:eastAsia="pt-BR"/>
        </w:rPr>
        <w:pict>
          <v:shape id="_x0000_i1069" type="#_x0000_t75" style="width:393pt;height:521.25pt;visibility:visible">
            <v:imagedata r:id="rId84" o:title=""/>
          </v:shape>
        </w:pict>
      </w:r>
    </w:p>
    <w:sectPr w:rsidR="00056F90" w:rsidRPr="006C7743" w:rsidSect="006C7743">
      <w:footerReference w:type="default" r:id="rId8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90" w:rsidRDefault="00056F90" w:rsidP="00827B15">
      <w:pPr>
        <w:spacing w:after="0" w:line="240" w:lineRule="auto"/>
      </w:pPr>
      <w:r>
        <w:separator/>
      </w:r>
    </w:p>
  </w:endnote>
  <w:endnote w:type="continuationSeparator" w:id="0">
    <w:p w:rsidR="00056F90" w:rsidRDefault="00056F90" w:rsidP="0082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onospace82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90" w:rsidRPr="00B23370" w:rsidRDefault="00056F9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102117">
      <w:rPr>
        <w:rFonts w:ascii="Times New Roman" w:hAnsi="Times New Roman" w:cs="Times New Roman"/>
        <w:sz w:val="24"/>
        <w:szCs w:val="24"/>
      </w:rPr>
      <w:fldChar w:fldCharType="begin"/>
    </w:r>
    <w:r w:rsidRPr="001021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0211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102117">
      <w:rPr>
        <w:rFonts w:ascii="Times New Roman" w:hAnsi="Times New Roman" w:cs="Times New Roman"/>
        <w:sz w:val="24"/>
        <w:szCs w:val="24"/>
      </w:rPr>
      <w:fldChar w:fldCharType="end"/>
    </w:r>
  </w:p>
  <w:p w:rsidR="00056F90" w:rsidRDefault="00056F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90" w:rsidRDefault="00056F90" w:rsidP="00827B15">
      <w:pPr>
        <w:spacing w:after="0" w:line="240" w:lineRule="auto"/>
      </w:pPr>
      <w:r>
        <w:separator/>
      </w:r>
    </w:p>
  </w:footnote>
  <w:footnote w:type="continuationSeparator" w:id="0">
    <w:p w:rsidR="00056F90" w:rsidRDefault="00056F90" w:rsidP="00827B15">
      <w:pPr>
        <w:spacing w:after="0" w:line="240" w:lineRule="auto"/>
      </w:pPr>
      <w:r>
        <w:continuationSeparator/>
      </w:r>
    </w:p>
  </w:footnote>
  <w:footnote w:id="1">
    <w:p w:rsidR="00056F90" w:rsidRDefault="00056F90" w:rsidP="00746312">
      <w:pPr>
        <w:pStyle w:val="FootnoteText"/>
        <w:jc w:val="both"/>
      </w:pPr>
      <w:r w:rsidRPr="00640787">
        <w:rPr>
          <w:rStyle w:val="FootnoteReference"/>
          <w:sz w:val="20"/>
          <w:szCs w:val="20"/>
        </w:rPr>
        <w:footnoteRef/>
      </w:r>
      <w:r w:rsidRPr="00640787">
        <w:rPr>
          <w:sz w:val="20"/>
          <w:szCs w:val="20"/>
        </w:rPr>
        <w:t xml:space="preserve"> Num modelo EGC não se pode ter como exógenos preços e quantidades simultaneamente. Assim opta-se pela quantidade das exportações (preços endógenos) e preços das importações (quantidades endógenas).</w:t>
      </w:r>
      <w:r>
        <w:rPr>
          <w:sz w:val="20"/>
          <w:szCs w:val="20"/>
        </w:rPr>
        <w:t xml:space="preserve"> Aqui assume-se a hipótese de país pequeno relativamente ao comércio internacional, assim tanto a quantidade exportada como importada pelo país não afetam os preços internacionais.</w:t>
      </w:r>
    </w:p>
  </w:footnote>
  <w:footnote w:id="2">
    <w:p w:rsidR="00056F90" w:rsidRDefault="00056F90" w:rsidP="00640787">
      <w:pPr>
        <w:pStyle w:val="FootnoteText"/>
        <w:jc w:val="both"/>
      </w:pPr>
      <w:r w:rsidRPr="00640787">
        <w:rPr>
          <w:rStyle w:val="FootnoteReference"/>
          <w:sz w:val="20"/>
          <w:szCs w:val="20"/>
        </w:rPr>
        <w:footnoteRef/>
      </w:r>
      <w:r w:rsidRPr="00640787">
        <w:rPr>
          <w:sz w:val="20"/>
          <w:szCs w:val="20"/>
        </w:rPr>
        <w:t xml:space="preserve"> Foram utilizadas as seguintes tabelas (referentes ao ano de 2005) de composição da matriz IP do IBGE: (i) Tabela 1 - Recursos de Bens e Serviços; (ii) Tabela 2 - Usos de Bens e Serviços a Preços de Consumidor; (iii) Tabela 3 - Oferta e Demanda da Produção Nacional a Preço Básico; e (iv) Tabela 4 - Oferta e Demanda de Produtos Importados.</w:t>
      </w:r>
    </w:p>
  </w:footnote>
  <w:footnote w:id="3">
    <w:p w:rsidR="00056F90" w:rsidRPr="00640787" w:rsidRDefault="00056F90" w:rsidP="0064078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7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40787">
        <w:rPr>
          <w:rFonts w:ascii="Times New Roman" w:hAnsi="Times New Roman" w:cs="Times New Roman"/>
          <w:sz w:val="20"/>
          <w:szCs w:val="20"/>
        </w:rPr>
        <w:t xml:space="preserve"> Para maiores detalhes do modelo TERM-CEDEPLAR, consultar Domingues </w:t>
      </w:r>
      <w:r w:rsidRPr="00640787">
        <w:rPr>
          <w:rFonts w:ascii="Times New Roman" w:hAnsi="Times New Roman" w:cs="Times New Roman"/>
          <w:i/>
          <w:iCs/>
          <w:sz w:val="20"/>
          <w:szCs w:val="20"/>
        </w:rPr>
        <w:t xml:space="preserve">et alii </w:t>
      </w:r>
      <w:r w:rsidRPr="00640787">
        <w:rPr>
          <w:rFonts w:ascii="Times New Roman" w:hAnsi="Times New Roman" w:cs="Times New Roman"/>
          <w:sz w:val="20"/>
          <w:szCs w:val="20"/>
        </w:rPr>
        <w:t xml:space="preserve">(2009). </w:t>
      </w:r>
    </w:p>
    <w:p w:rsidR="00056F90" w:rsidRDefault="00056F90" w:rsidP="00640787">
      <w:pPr>
        <w:spacing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3CC"/>
    <w:multiLevelType w:val="multilevel"/>
    <w:tmpl w:val="3BC2EE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1">
    <w:nsid w:val="143A28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605D1C"/>
    <w:multiLevelType w:val="hybridMultilevel"/>
    <w:tmpl w:val="F84E6B5E"/>
    <w:lvl w:ilvl="0" w:tplc="F0126B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49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D643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1209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CD54DD5"/>
    <w:multiLevelType w:val="hybridMultilevel"/>
    <w:tmpl w:val="1BB8E10C"/>
    <w:lvl w:ilvl="0" w:tplc="551218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4274"/>
    <w:multiLevelType w:val="hybridMultilevel"/>
    <w:tmpl w:val="8754230A"/>
    <w:lvl w:ilvl="0" w:tplc="D82EF9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07319"/>
    <w:multiLevelType w:val="multilevel"/>
    <w:tmpl w:val="B7C6C6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AB556E"/>
    <w:multiLevelType w:val="hybridMultilevel"/>
    <w:tmpl w:val="A29CED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6B5"/>
    <w:rsid w:val="00004DAB"/>
    <w:rsid w:val="00007446"/>
    <w:rsid w:val="00012D2D"/>
    <w:rsid w:val="00016E63"/>
    <w:rsid w:val="00020ED3"/>
    <w:rsid w:val="00022BBD"/>
    <w:rsid w:val="00025FB9"/>
    <w:rsid w:val="00030521"/>
    <w:rsid w:val="00030AEF"/>
    <w:rsid w:val="00031A4E"/>
    <w:rsid w:val="00033157"/>
    <w:rsid w:val="00041405"/>
    <w:rsid w:val="000416A0"/>
    <w:rsid w:val="00050C13"/>
    <w:rsid w:val="0005413D"/>
    <w:rsid w:val="000542CB"/>
    <w:rsid w:val="000553D7"/>
    <w:rsid w:val="00056F90"/>
    <w:rsid w:val="000617B1"/>
    <w:rsid w:val="0006188B"/>
    <w:rsid w:val="000623E0"/>
    <w:rsid w:val="00063329"/>
    <w:rsid w:val="000747E3"/>
    <w:rsid w:val="00077E3B"/>
    <w:rsid w:val="0008081A"/>
    <w:rsid w:val="000828A2"/>
    <w:rsid w:val="00084FE1"/>
    <w:rsid w:val="0008580B"/>
    <w:rsid w:val="00086A0F"/>
    <w:rsid w:val="000909A4"/>
    <w:rsid w:val="000935AC"/>
    <w:rsid w:val="000A0410"/>
    <w:rsid w:val="000A0B47"/>
    <w:rsid w:val="000A30F2"/>
    <w:rsid w:val="000B30B5"/>
    <w:rsid w:val="000C06E0"/>
    <w:rsid w:val="000C285B"/>
    <w:rsid w:val="000D3474"/>
    <w:rsid w:val="000D5D7C"/>
    <w:rsid w:val="000E2568"/>
    <w:rsid w:val="000F1744"/>
    <w:rsid w:val="000F4659"/>
    <w:rsid w:val="000F6914"/>
    <w:rsid w:val="00102117"/>
    <w:rsid w:val="00106C1C"/>
    <w:rsid w:val="00124FDE"/>
    <w:rsid w:val="00125996"/>
    <w:rsid w:val="001344AB"/>
    <w:rsid w:val="0014095B"/>
    <w:rsid w:val="001703BE"/>
    <w:rsid w:val="00172E88"/>
    <w:rsid w:val="00175722"/>
    <w:rsid w:val="00176C35"/>
    <w:rsid w:val="001814C5"/>
    <w:rsid w:val="00181634"/>
    <w:rsid w:val="001820BD"/>
    <w:rsid w:val="00184D09"/>
    <w:rsid w:val="00185E74"/>
    <w:rsid w:val="00185F8F"/>
    <w:rsid w:val="0018734A"/>
    <w:rsid w:val="001930A7"/>
    <w:rsid w:val="001949C8"/>
    <w:rsid w:val="001A5686"/>
    <w:rsid w:val="001A7294"/>
    <w:rsid w:val="001A7C56"/>
    <w:rsid w:val="001A7D7E"/>
    <w:rsid w:val="001B3588"/>
    <w:rsid w:val="001B457B"/>
    <w:rsid w:val="001B47EA"/>
    <w:rsid w:val="001B5943"/>
    <w:rsid w:val="001B6A5E"/>
    <w:rsid w:val="001C3B32"/>
    <w:rsid w:val="001C548D"/>
    <w:rsid w:val="001C564F"/>
    <w:rsid w:val="001C7D8F"/>
    <w:rsid w:val="001D0B10"/>
    <w:rsid w:val="001D2D8F"/>
    <w:rsid w:val="001D69B8"/>
    <w:rsid w:val="001D71D7"/>
    <w:rsid w:val="001E2DE0"/>
    <w:rsid w:val="001E3406"/>
    <w:rsid w:val="001E374A"/>
    <w:rsid w:val="001F3A5F"/>
    <w:rsid w:val="001F602C"/>
    <w:rsid w:val="00203DC9"/>
    <w:rsid w:val="00211AE0"/>
    <w:rsid w:val="002123CE"/>
    <w:rsid w:val="00215C6D"/>
    <w:rsid w:val="00221BEF"/>
    <w:rsid w:val="00223421"/>
    <w:rsid w:val="00226DB4"/>
    <w:rsid w:val="002273AC"/>
    <w:rsid w:val="00227784"/>
    <w:rsid w:val="00227F56"/>
    <w:rsid w:val="002329FD"/>
    <w:rsid w:val="00236EA5"/>
    <w:rsid w:val="0024634B"/>
    <w:rsid w:val="0025229D"/>
    <w:rsid w:val="00252CAB"/>
    <w:rsid w:val="00256FDB"/>
    <w:rsid w:val="00260D6A"/>
    <w:rsid w:val="00261193"/>
    <w:rsid w:val="00261BC1"/>
    <w:rsid w:val="00264397"/>
    <w:rsid w:val="002659F3"/>
    <w:rsid w:val="002806B5"/>
    <w:rsid w:val="00280828"/>
    <w:rsid w:val="00285B42"/>
    <w:rsid w:val="00286A42"/>
    <w:rsid w:val="002872F0"/>
    <w:rsid w:val="00290D72"/>
    <w:rsid w:val="002951B6"/>
    <w:rsid w:val="002A27C2"/>
    <w:rsid w:val="002A783F"/>
    <w:rsid w:val="002B54BC"/>
    <w:rsid w:val="002B6A15"/>
    <w:rsid w:val="002B7AB7"/>
    <w:rsid w:val="002C14F5"/>
    <w:rsid w:val="002C59F6"/>
    <w:rsid w:val="002D10FD"/>
    <w:rsid w:val="002D5DEB"/>
    <w:rsid w:val="002D7764"/>
    <w:rsid w:val="002E10FD"/>
    <w:rsid w:val="002E79FB"/>
    <w:rsid w:val="002F2F66"/>
    <w:rsid w:val="002F6268"/>
    <w:rsid w:val="002F7504"/>
    <w:rsid w:val="002F7C2C"/>
    <w:rsid w:val="0030175B"/>
    <w:rsid w:val="00302A55"/>
    <w:rsid w:val="00305AB4"/>
    <w:rsid w:val="00306D8C"/>
    <w:rsid w:val="00315F56"/>
    <w:rsid w:val="0032781F"/>
    <w:rsid w:val="00330B34"/>
    <w:rsid w:val="0033151E"/>
    <w:rsid w:val="003317FE"/>
    <w:rsid w:val="00335E38"/>
    <w:rsid w:val="003361A0"/>
    <w:rsid w:val="00337AE2"/>
    <w:rsid w:val="003408A8"/>
    <w:rsid w:val="00341264"/>
    <w:rsid w:val="00346DB5"/>
    <w:rsid w:val="00351D3A"/>
    <w:rsid w:val="00366B57"/>
    <w:rsid w:val="003711CD"/>
    <w:rsid w:val="003801F2"/>
    <w:rsid w:val="00380EA8"/>
    <w:rsid w:val="00381181"/>
    <w:rsid w:val="003848B4"/>
    <w:rsid w:val="0038647B"/>
    <w:rsid w:val="003934F0"/>
    <w:rsid w:val="00393C7C"/>
    <w:rsid w:val="00396F09"/>
    <w:rsid w:val="003978BD"/>
    <w:rsid w:val="003B223B"/>
    <w:rsid w:val="003B4CE6"/>
    <w:rsid w:val="003C5881"/>
    <w:rsid w:val="003D05E8"/>
    <w:rsid w:val="003D4CBE"/>
    <w:rsid w:val="003D6635"/>
    <w:rsid w:val="003D749C"/>
    <w:rsid w:val="003F455C"/>
    <w:rsid w:val="004033C2"/>
    <w:rsid w:val="00404F5E"/>
    <w:rsid w:val="00405F4F"/>
    <w:rsid w:val="00412A26"/>
    <w:rsid w:val="00414F6F"/>
    <w:rsid w:val="00415578"/>
    <w:rsid w:val="0042050C"/>
    <w:rsid w:val="00421CAB"/>
    <w:rsid w:val="004235FB"/>
    <w:rsid w:val="00425BD7"/>
    <w:rsid w:val="004330D2"/>
    <w:rsid w:val="00445404"/>
    <w:rsid w:val="00446A67"/>
    <w:rsid w:val="00451962"/>
    <w:rsid w:val="004559E1"/>
    <w:rsid w:val="00457FDF"/>
    <w:rsid w:val="004615AE"/>
    <w:rsid w:val="00471ABF"/>
    <w:rsid w:val="0047426D"/>
    <w:rsid w:val="0048114D"/>
    <w:rsid w:val="00486C16"/>
    <w:rsid w:val="004912CB"/>
    <w:rsid w:val="00495D0D"/>
    <w:rsid w:val="004B0A0D"/>
    <w:rsid w:val="004C3BA4"/>
    <w:rsid w:val="004D23AF"/>
    <w:rsid w:val="004D3B98"/>
    <w:rsid w:val="004D6F2C"/>
    <w:rsid w:val="004E0CFB"/>
    <w:rsid w:val="004E2E60"/>
    <w:rsid w:val="00513453"/>
    <w:rsid w:val="00513ED6"/>
    <w:rsid w:val="00523EBB"/>
    <w:rsid w:val="005257D1"/>
    <w:rsid w:val="00547F0A"/>
    <w:rsid w:val="005556FC"/>
    <w:rsid w:val="00555921"/>
    <w:rsid w:val="00565C6D"/>
    <w:rsid w:val="0057042A"/>
    <w:rsid w:val="00581FAA"/>
    <w:rsid w:val="00583016"/>
    <w:rsid w:val="00596D11"/>
    <w:rsid w:val="005A4661"/>
    <w:rsid w:val="005B06F6"/>
    <w:rsid w:val="005B083E"/>
    <w:rsid w:val="005C0113"/>
    <w:rsid w:val="005C0967"/>
    <w:rsid w:val="005D3F7A"/>
    <w:rsid w:val="005E0BF3"/>
    <w:rsid w:val="005E287E"/>
    <w:rsid w:val="005F0CAE"/>
    <w:rsid w:val="005F2663"/>
    <w:rsid w:val="005F462C"/>
    <w:rsid w:val="005F620F"/>
    <w:rsid w:val="006038AA"/>
    <w:rsid w:val="00604C03"/>
    <w:rsid w:val="0060536E"/>
    <w:rsid w:val="00605400"/>
    <w:rsid w:val="00610E76"/>
    <w:rsid w:val="0061294E"/>
    <w:rsid w:val="006146CB"/>
    <w:rsid w:val="00615AAE"/>
    <w:rsid w:val="00620147"/>
    <w:rsid w:val="00621A00"/>
    <w:rsid w:val="00623597"/>
    <w:rsid w:val="00630237"/>
    <w:rsid w:val="0063030F"/>
    <w:rsid w:val="0063513A"/>
    <w:rsid w:val="00640787"/>
    <w:rsid w:val="0065175C"/>
    <w:rsid w:val="00654077"/>
    <w:rsid w:val="00662818"/>
    <w:rsid w:val="00662ED2"/>
    <w:rsid w:val="00670257"/>
    <w:rsid w:val="00670A9A"/>
    <w:rsid w:val="00671990"/>
    <w:rsid w:val="00672F3D"/>
    <w:rsid w:val="006833BD"/>
    <w:rsid w:val="00683709"/>
    <w:rsid w:val="006911DF"/>
    <w:rsid w:val="0069179D"/>
    <w:rsid w:val="00694673"/>
    <w:rsid w:val="006B03C4"/>
    <w:rsid w:val="006B3B41"/>
    <w:rsid w:val="006B3D59"/>
    <w:rsid w:val="006B3F3B"/>
    <w:rsid w:val="006B47CF"/>
    <w:rsid w:val="006C15D3"/>
    <w:rsid w:val="006C1A5E"/>
    <w:rsid w:val="006C292F"/>
    <w:rsid w:val="006C7743"/>
    <w:rsid w:val="006E00CD"/>
    <w:rsid w:val="006E460D"/>
    <w:rsid w:val="006E4D63"/>
    <w:rsid w:val="006E6BFB"/>
    <w:rsid w:val="006F2220"/>
    <w:rsid w:val="006F495C"/>
    <w:rsid w:val="006F6DCA"/>
    <w:rsid w:val="006F70E4"/>
    <w:rsid w:val="007034E7"/>
    <w:rsid w:val="00703EA8"/>
    <w:rsid w:val="00711EB1"/>
    <w:rsid w:val="00715D98"/>
    <w:rsid w:val="00716904"/>
    <w:rsid w:val="00716F2D"/>
    <w:rsid w:val="0072315F"/>
    <w:rsid w:val="007268C5"/>
    <w:rsid w:val="00727564"/>
    <w:rsid w:val="00735841"/>
    <w:rsid w:val="00737A0A"/>
    <w:rsid w:val="0074547D"/>
    <w:rsid w:val="00746312"/>
    <w:rsid w:val="007464A9"/>
    <w:rsid w:val="00750966"/>
    <w:rsid w:val="00754579"/>
    <w:rsid w:val="00757A1F"/>
    <w:rsid w:val="00760932"/>
    <w:rsid w:val="007614D8"/>
    <w:rsid w:val="00766B52"/>
    <w:rsid w:val="007721CC"/>
    <w:rsid w:val="007731D5"/>
    <w:rsid w:val="007751CF"/>
    <w:rsid w:val="00781303"/>
    <w:rsid w:val="00781398"/>
    <w:rsid w:val="00781D1E"/>
    <w:rsid w:val="00785D7A"/>
    <w:rsid w:val="00787315"/>
    <w:rsid w:val="00787B1D"/>
    <w:rsid w:val="0079038C"/>
    <w:rsid w:val="007A2BAF"/>
    <w:rsid w:val="007A524B"/>
    <w:rsid w:val="007A69CF"/>
    <w:rsid w:val="007B1BB5"/>
    <w:rsid w:val="007B43F1"/>
    <w:rsid w:val="007C0963"/>
    <w:rsid w:val="007C0B6C"/>
    <w:rsid w:val="007C0F9B"/>
    <w:rsid w:val="007C3714"/>
    <w:rsid w:val="007C6C1D"/>
    <w:rsid w:val="007D21F7"/>
    <w:rsid w:val="007D2B5F"/>
    <w:rsid w:val="007D7243"/>
    <w:rsid w:val="007E05A0"/>
    <w:rsid w:val="007E12B7"/>
    <w:rsid w:val="007E2167"/>
    <w:rsid w:val="007E2E6E"/>
    <w:rsid w:val="007E5C5F"/>
    <w:rsid w:val="007F5203"/>
    <w:rsid w:val="00803652"/>
    <w:rsid w:val="00803928"/>
    <w:rsid w:val="00804EDF"/>
    <w:rsid w:val="008101ED"/>
    <w:rsid w:val="008113D2"/>
    <w:rsid w:val="00811AF6"/>
    <w:rsid w:val="00811C84"/>
    <w:rsid w:val="00812A73"/>
    <w:rsid w:val="00813A3A"/>
    <w:rsid w:val="00815E07"/>
    <w:rsid w:val="00821C4B"/>
    <w:rsid w:val="0082418B"/>
    <w:rsid w:val="00827B15"/>
    <w:rsid w:val="008361CE"/>
    <w:rsid w:val="008474ED"/>
    <w:rsid w:val="00852AE9"/>
    <w:rsid w:val="0086059E"/>
    <w:rsid w:val="00862A55"/>
    <w:rsid w:val="00864E24"/>
    <w:rsid w:val="008663AB"/>
    <w:rsid w:val="00872750"/>
    <w:rsid w:val="00873053"/>
    <w:rsid w:val="00881005"/>
    <w:rsid w:val="0088305D"/>
    <w:rsid w:val="0088620E"/>
    <w:rsid w:val="0088777C"/>
    <w:rsid w:val="0089233F"/>
    <w:rsid w:val="00893587"/>
    <w:rsid w:val="00893D4B"/>
    <w:rsid w:val="00896923"/>
    <w:rsid w:val="008A31AE"/>
    <w:rsid w:val="008A6E1E"/>
    <w:rsid w:val="008A6EC2"/>
    <w:rsid w:val="008B1972"/>
    <w:rsid w:val="008D4E02"/>
    <w:rsid w:val="008D6257"/>
    <w:rsid w:val="008D6B50"/>
    <w:rsid w:val="008D7227"/>
    <w:rsid w:val="008E497D"/>
    <w:rsid w:val="008E7189"/>
    <w:rsid w:val="008F0190"/>
    <w:rsid w:val="008F52F9"/>
    <w:rsid w:val="008F62DA"/>
    <w:rsid w:val="008F67EF"/>
    <w:rsid w:val="00900EFD"/>
    <w:rsid w:val="0090115C"/>
    <w:rsid w:val="00903F2B"/>
    <w:rsid w:val="009060BF"/>
    <w:rsid w:val="0090647F"/>
    <w:rsid w:val="00907935"/>
    <w:rsid w:val="00913BBB"/>
    <w:rsid w:val="00922B2A"/>
    <w:rsid w:val="00927BD1"/>
    <w:rsid w:val="00927FB1"/>
    <w:rsid w:val="00930D57"/>
    <w:rsid w:val="009330A4"/>
    <w:rsid w:val="00941C1A"/>
    <w:rsid w:val="00946591"/>
    <w:rsid w:val="009465AD"/>
    <w:rsid w:val="00960BCC"/>
    <w:rsid w:val="0096634E"/>
    <w:rsid w:val="00970163"/>
    <w:rsid w:val="0098424A"/>
    <w:rsid w:val="009862DD"/>
    <w:rsid w:val="00987595"/>
    <w:rsid w:val="0098796D"/>
    <w:rsid w:val="00991827"/>
    <w:rsid w:val="00992F45"/>
    <w:rsid w:val="00994EA8"/>
    <w:rsid w:val="00994EF9"/>
    <w:rsid w:val="009A3A64"/>
    <w:rsid w:val="009B14CD"/>
    <w:rsid w:val="009B45BE"/>
    <w:rsid w:val="009C1D02"/>
    <w:rsid w:val="009D51FE"/>
    <w:rsid w:val="009E1710"/>
    <w:rsid w:val="009E17D3"/>
    <w:rsid w:val="009E583B"/>
    <w:rsid w:val="009E6473"/>
    <w:rsid w:val="009F3EDD"/>
    <w:rsid w:val="009F51EC"/>
    <w:rsid w:val="009F6080"/>
    <w:rsid w:val="00A12278"/>
    <w:rsid w:val="00A12835"/>
    <w:rsid w:val="00A273C3"/>
    <w:rsid w:val="00A34509"/>
    <w:rsid w:val="00A3513D"/>
    <w:rsid w:val="00A47739"/>
    <w:rsid w:val="00A53C8C"/>
    <w:rsid w:val="00A53FC5"/>
    <w:rsid w:val="00A548AE"/>
    <w:rsid w:val="00A63315"/>
    <w:rsid w:val="00A64743"/>
    <w:rsid w:val="00A6618E"/>
    <w:rsid w:val="00A7000E"/>
    <w:rsid w:val="00A719D5"/>
    <w:rsid w:val="00A7230C"/>
    <w:rsid w:val="00A77347"/>
    <w:rsid w:val="00A778BD"/>
    <w:rsid w:val="00A81A77"/>
    <w:rsid w:val="00A81B62"/>
    <w:rsid w:val="00A81F38"/>
    <w:rsid w:val="00A8597F"/>
    <w:rsid w:val="00A86A96"/>
    <w:rsid w:val="00A95A23"/>
    <w:rsid w:val="00A97E4F"/>
    <w:rsid w:val="00AA08B1"/>
    <w:rsid w:val="00AA28AA"/>
    <w:rsid w:val="00AA44AC"/>
    <w:rsid w:val="00AA5622"/>
    <w:rsid w:val="00AB2B4A"/>
    <w:rsid w:val="00AB4147"/>
    <w:rsid w:val="00AB45C7"/>
    <w:rsid w:val="00AC23D0"/>
    <w:rsid w:val="00AC58BF"/>
    <w:rsid w:val="00AC655D"/>
    <w:rsid w:val="00AC6564"/>
    <w:rsid w:val="00AC6E60"/>
    <w:rsid w:val="00AC7CA6"/>
    <w:rsid w:val="00AD410A"/>
    <w:rsid w:val="00AD5549"/>
    <w:rsid w:val="00AD7090"/>
    <w:rsid w:val="00AE01D7"/>
    <w:rsid w:val="00AE03DE"/>
    <w:rsid w:val="00AE0429"/>
    <w:rsid w:val="00AE299D"/>
    <w:rsid w:val="00AE5281"/>
    <w:rsid w:val="00AE5D78"/>
    <w:rsid w:val="00AF2797"/>
    <w:rsid w:val="00AF36AD"/>
    <w:rsid w:val="00B030E1"/>
    <w:rsid w:val="00B06FFF"/>
    <w:rsid w:val="00B130B9"/>
    <w:rsid w:val="00B13CA0"/>
    <w:rsid w:val="00B14FE8"/>
    <w:rsid w:val="00B15CB7"/>
    <w:rsid w:val="00B21E6D"/>
    <w:rsid w:val="00B21FE4"/>
    <w:rsid w:val="00B23370"/>
    <w:rsid w:val="00B2565D"/>
    <w:rsid w:val="00B25752"/>
    <w:rsid w:val="00B342FB"/>
    <w:rsid w:val="00B41935"/>
    <w:rsid w:val="00B51B9F"/>
    <w:rsid w:val="00B52959"/>
    <w:rsid w:val="00B5387B"/>
    <w:rsid w:val="00B55E89"/>
    <w:rsid w:val="00B64C82"/>
    <w:rsid w:val="00B65775"/>
    <w:rsid w:val="00B67B1A"/>
    <w:rsid w:val="00B73867"/>
    <w:rsid w:val="00B75664"/>
    <w:rsid w:val="00B84791"/>
    <w:rsid w:val="00B902C8"/>
    <w:rsid w:val="00B92B7E"/>
    <w:rsid w:val="00B950D2"/>
    <w:rsid w:val="00BB2213"/>
    <w:rsid w:val="00BB39B3"/>
    <w:rsid w:val="00BB7A9D"/>
    <w:rsid w:val="00BC05C2"/>
    <w:rsid w:val="00BC53FD"/>
    <w:rsid w:val="00BD4117"/>
    <w:rsid w:val="00BD4DA6"/>
    <w:rsid w:val="00BD5CFA"/>
    <w:rsid w:val="00BE0959"/>
    <w:rsid w:val="00BE0BE8"/>
    <w:rsid w:val="00BF3F68"/>
    <w:rsid w:val="00C01EC6"/>
    <w:rsid w:val="00C06ADF"/>
    <w:rsid w:val="00C13905"/>
    <w:rsid w:val="00C22C3A"/>
    <w:rsid w:val="00C2349A"/>
    <w:rsid w:val="00C25EB3"/>
    <w:rsid w:val="00C302B3"/>
    <w:rsid w:val="00C31208"/>
    <w:rsid w:val="00C32FBD"/>
    <w:rsid w:val="00C3430D"/>
    <w:rsid w:val="00C35DB1"/>
    <w:rsid w:val="00C375A3"/>
    <w:rsid w:val="00C43885"/>
    <w:rsid w:val="00C50BB1"/>
    <w:rsid w:val="00C50FCF"/>
    <w:rsid w:val="00C52C3C"/>
    <w:rsid w:val="00C532E1"/>
    <w:rsid w:val="00C53923"/>
    <w:rsid w:val="00C67033"/>
    <w:rsid w:val="00C711D5"/>
    <w:rsid w:val="00C77207"/>
    <w:rsid w:val="00C77588"/>
    <w:rsid w:val="00C84B10"/>
    <w:rsid w:val="00C86B1A"/>
    <w:rsid w:val="00C93D3C"/>
    <w:rsid w:val="00C9492D"/>
    <w:rsid w:val="00C970A4"/>
    <w:rsid w:val="00CA10AB"/>
    <w:rsid w:val="00CA312D"/>
    <w:rsid w:val="00CA4264"/>
    <w:rsid w:val="00CA7716"/>
    <w:rsid w:val="00CB26C9"/>
    <w:rsid w:val="00CB49E3"/>
    <w:rsid w:val="00CB5921"/>
    <w:rsid w:val="00CB7111"/>
    <w:rsid w:val="00CC2B19"/>
    <w:rsid w:val="00CD23E8"/>
    <w:rsid w:val="00CD69C1"/>
    <w:rsid w:val="00CD6CB7"/>
    <w:rsid w:val="00CF2C14"/>
    <w:rsid w:val="00CF3783"/>
    <w:rsid w:val="00CF3B30"/>
    <w:rsid w:val="00D10A95"/>
    <w:rsid w:val="00D11DDE"/>
    <w:rsid w:val="00D14E74"/>
    <w:rsid w:val="00D16E80"/>
    <w:rsid w:val="00D20B4B"/>
    <w:rsid w:val="00D24A62"/>
    <w:rsid w:val="00D25291"/>
    <w:rsid w:val="00D26535"/>
    <w:rsid w:val="00D26681"/>
    <w:rsid w:val="00D45891"/>
    <w:rsid w:val="00D463C2"/>
    <w:rsid w:val="00D50159"/>
    <w:rsid w:val="00D523BC"/>
    <w:rsid w:val="00D54608"/>
    <w:rsid w:val="00D610C4"/>
    <w:rsid w:val="00D7019C"/>
    <w:rsid w:val="00D73816"/>
    <w:rsid w:val="00D847D0"/>
    <w:rsid w:val="00D8799A"/>
    <w:rsid w:val="00D87F62"/>
    <w:rsid w:val="00D939E1"/>
    <w:rsid w:val="00D93B5A"/>
    <w:rsid w:val="00D94487"/>
    <w:rsid w:val="00D950D4"/>
    <w:rsid w:val="00DA0567"/>
    <w:rsid w:val="00DA06B2"/>
    <w:rsid w:val="00DA484E"/>
    <w:rsid w:val="00DA7024"/>
    <w:rsid w:val="00DB0DBA"/>
    <w:rsid w:val="00DB49C9"/>
    <w:rsid w:val="00DB5B15"/>
    <w:rsid w:val="00DC26C6"/>
    <w:rsid w:val="00DC27C5"/>
    <w:rsid w:val="00DC584D"/>
    <w:rsid w:val="00DC63E2"/>
    <w:rsid w:val="00DC6F72"/>
    <w:rsid w:val="00DD00BE"/>
    <w:rsid w:val="00DD166F"/>
    <w:rsid w:val="00DD190B"/>
    <w:rsid w:val="00DD39EA"/>
    <w:rsid w:val="00DD5C86"/>
    <w:rsid w:val="00DD5EA4"/>
    <w:rsid w:val="00DE21A3"/>
    <w:rsid w:val="00DE781A"/>
    <w:rsid w:val="00DF0800"/>
    <w:rsid w:val="00DF0E19"/>
    <w:rsid w:val="00DF4936"/>
    <w:rsid w:val="00DF66EB"/>
    <w:rsid w:val="00DF7619"/>
    <w:rsid w:val="00DF7EFC"/>
    <w:rsid w:val="00E022C8"/>
    <w:rsid w:val="00E0555D"/>
    <w:rsid w:val="00E156B8"/>
    <w:rsid w:val="00E16CA2"/>
    <w:rsid w:val="00E20FA7"/>
    <w:rsid w:val="00E2242C"/>
    <w:rsid w:val="00E2304F"/>
    <w:rsid w:val="00E24981"/>
    <w:rsid w:val="00E24ABE"/>
    <w:rsid w:val="00E27523"/>
    <w:rsid w:val="00E31122"/>
    <w:rsid w:val="00E32007"/>
    <w:rsid w:val="00E34B79"/>
    <w:rsid w:val="00E419A2"/>
    <w:rsid w:val="00E4622C"/>
    <w:rsid w:val="00E50B0D"/>
    <w:rsid w:val="00E52D38"/>
    <w:rsid w:val="00E53433"/>
    <w:rsid w:val="00E537B3"/>
    <w:rsid w:val="00E54E15"/>
    <w:rsid w:val="00E5661E"/>
    <w:rsid w:val="00E67B8B"/>
    <w:rsid w:val="00E70378"/>
    <w:rsid w:val="00E76FC3"/>
    <w:rsid w:val="00E771ED"/>
    <w:rsid w:val="00E7723B"/>
    <w:rsid w:val="00E80BEA"/>
    <w:rsid w:val="00E9643E"/>
    <w:rsid w:val="00EA03AA"/>
    <w:rsid w:val="00EA03C4"/>
    <w:rsid w:val="00EA0C84"/>
    <w:rsid w:val="00EA0D20"/>
    <w:rsid w:val="00EA13D5"/>
    <w:rsid w:val="00EA4ED8"/>
    <w:rsid w:val="00EB208F"/>
    <w:rsid w:val="00EB2603"/>
    <w:rsid w:val="00EC18FB"/>
    <w:rsid w:val="00EC5BFE"/>
    <w:rsid w:val="00EC5E9A"/>
    <w:rsid w:val="00EC79F3"/>
    <w:rsid w:val="00ED0C68"/>
    <w:rsid w:val="00ED1B56"/>
    <w:rsid w:val="00ED5441"/>
    <w:rsid w:val="00EE2086"/>
    <w:rsid w:val="00EE5C01"/>
    <w:rsid w:val="00EE5F6C"/>
    <w:rsid w:val="00EF19FD"/>
    <w:rsid w:val="00F0379A"/>
    <w:rsid w:val="00F04076"/>
    <w:rsid w:val="00F06A78"/>
    <w:rsid w:val="00F07166"/>
    <w:rsid w:val="00F111AE"/>
    <w:rsid w:val="00F111BB"/>
    <w:rsid w:val="00F12810"/>
    <w:rsid w:val="00F16359"/>
    <w:rsid w:val="00F179CA"/>
    <w:rsid w:val="00F21760"/>
    <w:rsid w:val="00F21C19"/>
    <w:rsid w:val="00F22F2C"/>
    <w:rsid w:val="00F254D8"/>
    <w:rsid w:val="00F265A2"/>
    <w:rsid w:val="00F26B20"/>
    <w:rsid w:val="00F27042"/>
    <w:rsid w:val="00F32186"/>
    <w:rsid w:val="00F36CB0"/>
    <w:rsid w:val="00F40C37"/>
    <w:rsid w:val="00F43997"/>
    <w:rsid w:val="00F474E7"/>
    <w:rsid w:val="00F54010"/>
    <w:rsid w:val="00F54116"/>
    <w:rsid w:val="00F5535C"/>
    <w:rsid w:val="00F57B96"/>
    <w:rsid w:val="00F624D2"/>
    <w:rsid w:val="00F6496D"/>
    <w:rsid w:val="00F71970"/>
    <w:rsid w:val="00F724DF"/>
    <w:rsid w:val="00F72BC2"/>
    <w:rsid w:val="00F740E7"/>
    <w:rsid w:val="00F767FA"/>
    <w:rsid w:val="00F776D5"/>
    <w:rsid w:val="00F77780"/>
    <w:rsid w:val="00F8041D"/>
    <w:rsid w:val="00F814ED"/>
    <w:rsid w:val="00F81796"/>
    <w:rsid w:val="00F81BE5"/>
    <w:rsid w:val="00F914AA"/>
    <w:rsid w:val="00F91DDB"/>
    <w:rsid w:val="00F947B4"/>
    <w:rsid w:val="00F96352"/>
    <w:rsid w:val="00FA368B"/>
    <w:rsid w:val="00FA3942"/>
    <w:rsid w:val="00FA428E"/>
    <w:rsid w:val="00FA7E5D"/>
    <w:rsid w:val="00FB0211"/>
    <w:rsid w:val="00FB305A"/>
    <w:rsid w:val="00FB4818"/>
    <w:rsid w:val="00FB50BD"/>
    <w:rsid w:val="00FB57F8"/>
    <w:rsid w:val="00FC4CE8"/>
    <w:rsid w:val="00FC4DAD"/>
    <w:rsid w:val="00FD5F12"/>
    <w:rsid w:val="00FD7594"/>
    <w:rsid w:val="00FD77C8"/>
    <w:rsid w:val="00FD7F36"/>
    <w:rsid w:val="00FE2701"/>
    <w:rsid w:val="00FE45B8"/>
    <w:rsid w:val="00FF19B3"/>
    <w:rsid w:val="00FF2150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6B5"/>
    <w:pPr>
      <w:ind w:left="720"/>
      <w:contextualSpacing/>
    </w:pPr>
  </w:style>
  <w:style w:type="table" w:styleId="TableGrid">
    <w:name w:val="Table Grid"/>
    <w:basedOn w:val="TableNormal"/>
    <w:uiPriority w:val="99"/>
    <w:rsid w:val="003C588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6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827B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7B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7B15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DC26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C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6C6"/>
    <w:rPr>
      <w:rFonts w:ascii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semiHidden/>
    <w:rsid w:val="00716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2D"/>
  </w:style>
  <w:style w:type="paragraph" w:styleId="Footer">
    <w:name w:val="footer"/>
    <w:basedOn w:val="Normal"/>
    <w:link w:val="FooterChar"/>
    <w:uiPriority w:val="99"/>
    <w:rsid w:val="00716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2D"/>
  </w:style>
  <w:style w:type="character" w:styleId="Hyperlink">
    <w:name w:val="Hyperlink"/>
    <w:basedOn w:val="DefaultParagraphFont"/>
    <w:uiPriority w:val="99"/>
    <w:rsid w:val="006F2220"/>
    <w:rPr>
      <w:color w:val="00824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1B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A5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Excerpt">
    <w:name w:val="Excerpt"/>
    <w:basedOn w:val="Normal"/>
    <w:uiPriority w:val="99"/>
    <w:rsid w:val="008474ED"/>
    <w:pPr>
      <w:keepLines/>
      <w:suppressAutoHyphens/>
      <w:spacing w:after="0" w:line="230" w:lineRule="exact"/>
      <w:ind w:left="403"/>
    </w:pPr>
    <w:rPr>
      <w:rFonts w:ascii="Monospace821" w:eastAsia="Times New Roman" w:hAnsi="Monospace821" w:cs="Monospace821"/>
      <w:sz w:val="18"/>
      <w:szCs w:val="18"/>
      <w:lang w:val="en-AU" w:eastAsia="pt-BR"/>
    </w:rPr>
  </w:style>
  <w:style w:type="character" w:customStyle="1" w:styleId="longtext1">
    <w:name w:val="long_text1"/>
    <w:basedOn w:val="DefaultParagraphFont"/>
    <w:uiPriority w:val="99"/>
    <w:rsid w:val="00C312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image" Target="media/image16.jpeg"/><Relationship Id="rId39" Type="http://schemas.openxmlformats.org/officeDocument/2006/relationships/image" Target="media/image24.wmf"/><Relationship Id="rId21" Type="http://schemas.openxmlformats.org/officeDocument/2006/relationships/image" Target="media/image11.emf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28.wmf"/><Relationship Id="rId50" Type="http://schemas.openxmlformats.org/officeDocument/2006/relationships/oleObject" Target="embeddings/oleObject14.bin"/><Relationship Id="rId55" Type="http://schemas.openxmlformats.org/officeDocument/2006/relationships/image" Target="media/image32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3.bin"/><Relationship Id="rId76" Type="http://schemas.openxmlformats.org/officeDocument/2006/relationships/image" Target="media/image42.wmf"/><Relationship Id="rId84" Type="http://schemas.openxmlformats.org/officeDocument/2006/relationships/image" Target="media/image46.emf"/><Relationship Id="rId7" Type="http://schemas.openxmlformats.org/officeDocument/2006/relationships/image" Target="media/image1.emf"/><Relationship Id="rId71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image" Target="media/image18.emf"/><Relationship Id="rId11" Type="http://schemas.openxmlformats.org/officeDocument/2006/relationships/oleObject" Target="embeddings/oleObject2.bin"/><Relationship Id="rId24" Type="http://schemas.openxmlformats.org/officeDocument/2006/relationships/image" Target="media/image14.jpeg"/><Relationship Id="rId32" Type="http://schemas.openxmlformats.org/officeDocument/2006/relationships/oleObject" Target="embeddings/oleObject5.bin"/><Relationship Id="rId37" Type="http://schemas.openxmlformats.org/officeDocument/2006/relationships/image" Target="media/image23.wmf"/><Relationship Id="rId40" Type="http://schemas.openxmlformats.org/officeDocument/2006/relationships/oleObject" Target="embeddings/oleObject9.bin"/><Relationship Id="rId45" Type="http://schemas.openxmlformats.org/officeDocument/2006/relationships/image" Target="media/image27.wmf"/><Relationship Id="rId53" Type="http://schemas.openxmlformats.org/officeDocument/2006/relationships/image" Target="media/image31.wmf"/><Relationship Id="rId58" Type="http://schemas.openxmlformats.org/officeDocument/2006/relationships/oleObject" Target="embeddings/oleObject18.bin"/><Relationship Id="rId66" Type="http://schemas.openxmlformats.org/officeDocument/2006/relationships/oleObject" Target="embeddings/oleObject22.bin"/><Relationship Id="rId74" Type="http://schemas.openxmlformats.org/officeDocument/2006/relationships/image" Target="media/image41.wmf"/><Relationship Id="rId79" Type="http://schemas.openxmlformats.org/officeDocument/2006/relationships/oleObject" Target="embeddings/oleObject29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5.wmf"/><Relationship Id="rId82" Type="http://schemas.openxmlformats.org/officeDocument/2006/relationships/image" Target="media/image45.wmf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12.emf"/><Relationship Id="rId27" Type="http://schemas.openxmlformats.org/officeDocument/2006/relationships/image" Target="media/image17.jpeg"/><Relationship Id="rId30" Type="http://schemas.openxmlformats.org/officeDocument/2006/relationships/image" Target="media/image19.emf"/><Relationship Id="rId35" Type="http://schemas.openxmlformats.org/officeDocument/2006/relationships/image" Target="media/image22.wmf"/><Relationship Id="rId43" Type="http://schemas.openxmlformats.org/officeDocument/2006/relationships/image" Target="media/image26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oleObject" Target="embeddings/oleObject21.bin"/><Relationship Id="rId69" Type="http://schemas.openxmlformats.org/officeDocument/2006/relationships/oleObject" Target="embeddings/oleObject24.bin"/><Relationship Id="rId77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image" Target="media/image15.jpeg"/><Relationship Id="rId33" Type="http://schemas.openxmlformats.org/officeDocument/2006/relationships/image" Target="media/image21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image" Target="media/image34.wmf"/><Relationship Id="rId67" Type="http://schemas.openxmlformats.org/officeDocument/2006/relationships/image" Target="media/image38.wmf"/><Relationship Id="rId20" Type="http://schemas.openxmlformats.org/officeDocument/2006/relationships/image" Target="media/image10.emf"/><Relationship Id="rId41" Type="http://schemas.openxmlformats.org/officeDocument/2006/relationships/image" Target="media/image25.wmf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70" Type="http://schemas.openxmlformats.org/officeDocument/2006/relationships/image" Target="media/image39.wmf"/><Relationship Id="rId75" Type="http://schemas.openxmlformats.org/officeDocument/2006/relationships/oleObject" Target="embeddings/oleObject27.bin"/><Relationship Id="rId83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yperlink" Target="http://www.monash.edu.au/polycy" TargetMode="External"/><Relationship Id="rId36" Type="http://schemas.openxmlformats.org/officeDocument/2006/relationships/oleObject" Target="embeddings/oleObject7.bin"/><Relationship Id="rId49" Type="http://schemas.openxmlformats.org/officeDocument/2006/relationships/image" Target="media/image29.wmf"/><Relationship Id="rId57" Type="http://schemas.openxmlformats.org/officeDocument/2006/relationships/image" Target="media/image33.wmf"/><Relationship Id="rId10" Type="http://schemas.openxmlformats.org/officeDocument/2006/relationships/image" Target="media/image3.wmf"/><Relationship Id="rId31" Type="http://schemas.openxmlformats.org/officeDocument/2006/relationships/image" Target="media/image20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image" Target="media/image37.wmf"/><Relationship Id="rId73" Type="http://schemas.openxmlformats.org/officeDocument/2006/relationships/oleObject" Target="embeddings/oleObject26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8448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Repercussões setoriais e regionais da Crise Econômica de 2009: simulações em um modelo de equilíbrio geral computável de dinâmica recursiva</dc:title>
  <dc:subject/>
  <dc:creator>sil</dc:creator>
  <cp:keywords/>
  <dc:description/>
  <cp:lastModifiedBy>Rede Face </cp:lastModifiedBy>
  <cp:revision>2</cp:revision>
  <dcterms:created xsi:type="dcterms:W3CDTF">2010-07-16T19:48:00Z</dcterms:created>
  <dcterms:modified xsi:type="dcterms:W3CDTF">2010-07-16T19:48:00Z</dcterms:modified>
</cp:coreProperties>
</file>